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050" w:rsidRPr="003C0F9F" w:rsidRDefault="00360B9F">
      <w:pPr>
        <w:rPr>
          <w:rFonts w:asciiTheme="minorHAnsi" w:hAnsiTheme="minorHAnsi" w:cstheme="minorHAnsi"/>
          <w:b/>
        </w:rPr>
      </w:pPr>
      <w:r w:rsidRPr="003C0F9F">
        <w:rPr>
          <w:rFonts w:asciiTheme="minorHAnsi" w:hAnsiTheme="minorHAnsi" w:cstheme="minorHAnsi"/>
          <w:b/>
        </w:rPr>
        <w:t xml:space="preserve">Targets </w:t>
      </w:r>
      <w:r w:rsidR="00C733FE" w:rsidRPr="003C0F9F">
        <w:rPr>
          <w:rFonts w:asciiTheme="minorHAnsi" w:hAnsiTheme="minorHAnsi" w:cstheme="minorHAnsi"/>
          <w:b/>
        </w:rPr>
        <w:t>for Health Star Rating Uptake</w:t>
      </w:r>
      <w:r w:rsidR="001D1284" w:rsidRPr="003C0F9F">
        <w:rPr>
          <w:rFonts w:asciiTheme="minorHAnsi" w:hAnsiTheme="minorHAnsi" w:cstheme="minorHAnsi"/>
          <w:b/>
        </w:rPr>
        <w:t xml:space="preserve"> </w:t>
      </w:r>
      <w:r w:rsidRPr="003C0F9F">
        <w:rPr>
          <w:rFonts w:asciiTheme="minorHAnsi" w:hAnsiTheme="minorHAnsi" w:cstheme="minorHAnsi"/>
          <w:b/>
        </w:rPr>
        <w:t xml:space="preserve">Summary Paper </w:t>
      </w:r>
    </w:p>
    <w:p w:rsidR="00CF6473" w:rsidRDefault="00455B81" w:rsidP="00455B81">
      <w:pPr>
        <w:rPr>
          <w:rFonts w:asciiTheme="minorHAnsi" w:hAnsiTheme="minorHAnsi" w:cstheme="minorHAnsi"/>
        </w:rPr>
      </w:pPr>
      <w:r>
        <w:rPr>
          <w:rFonts w:asciiTheme="minorHAnsi" w:hAnsiTheme="minorHAnsi" w:cstheme="minorHAnsi"/>
        </w:rPr>
        <w:t xml:space="preserve">Recommendation 9 </w:t>
      </w:r>
      <w:r w:rsidR="00C733FE">
        <w:rPr>
          <w:rFonts w:asciiTheme="minorHAnsi" w:hAnsiTheme="minorHAnsi" w:cstheme="minorHAnsi"/>
        </w:rPr>
        <w:t>of the Health Star Rating System Five Year Review was that:</w:t>
      </w:r>
      <w:r>
        <w:rPr>
          <w:rFonts w:asciiTheme="minorHAnsi" w:hAnsiTheme="minorHAnsi" w:cstheme="minorHAnsi"/>
        </w:rPr>
        <w:t xml:space="preserve"> </w:t>
      </w:r>
    </w:p>
    <w:p w:rsidR="00455B81" w:rsidRDefault="00C733FE" w:rsidP="00455B81">
      <w:pPr>
        <w:rPr>
          <w:rFonts w:asciiTheme="minorHAnsi" w:hAnsiTheme="minorHAnsi" w:cstheme="minorHAnsi"/>
        </w:rPr>
      </w:pPr>
      <w:r w:rsidRPr="004F7622">
        <w:rPr>
          <w:rFonts w:asciiTheme="minorHAnsi" w:hAnsiTheme="minorHAnsi" w:cstheme="minorHAnsi"/>
          <w:i/>
        </w:rPr>
        <w:t xml:space="preserve">The </w:t>
      </w:r>
      <w:r w:rsidR="00455B81" w:rsidRPr="004F7622">
        <w:rPr>
          <w:rFonts w:asciiTheme="minorHAnsi" w:hAnsiTheme="minorHAnsi" w:cstheme="minorHAnsi"/>
          <w:i/>
        </w:rPr>
        <w:t>HSR system remain voluntary, but with clear uptake targets set and all stakeholders working together to drive uptake. If the HSR System continues to perform well</w:t>
      </w:r>
      <w:r w:rsidR="003C0F9F" w:rsidRPr="004F7622">
        <w:rPr>
          <w:rFonts w:asciiTheme="minorHAnsi" w:hAnsiTheme="minorHAnsi" w:cstheme="minorHAnsi"/>
          <w:i/>
        </w:rPr>
        <w:t>,</w:t>
      </w:r>
      <w:r w:rsidR="00455B81" w:rsidRPr="004F7622">
        <w:rPr>
          <w:rFonts w:asciiTheme="minorHAnsi" w:hAnsiTheme="minorHAnsi" w:cstheme="minorHAnsi"/>
          <w:i/>
        </w:rPr>
        <w:t xml:space="preserve"> but the HSR is not displayed on 70% of target products within five years of a government decision on these recommendations, the HSR System should be mandated</w:t>
      </w:r>
      <w:r w:rsidR="00455B81" w:rsidRPr="00FF48F8">
        <w:rPr>
          <w:rFonts w:asciiTheme="minorHAnsi" w:hAnsiTheme="minorHAnsi" w:cstheme="minorHAnsi"/>
        </w:rPr>
        <w:t>.</w:t>
      </w:r>
      <w:r w:rsidR="00455B81">
        <w:rPr>
          <w:rFonts w:asciiTheme="minorHAnsi" w:hAnsiTheme="minorHAnsi" w:cstheme="minorHAnsi"/>
        </w:rPr>
        <w:t xml:space="preserve"> </w:t>
      </w:r>
    </w:p>
    <w:p w:rsidR="006B5979" w:rsidRDefault="00CF6473" w:rsidP="00F33376">
      <w:pPr>
        <w:rPr>
          <w:rFonts w:asciiTheme="minorHAnsi" w:hAnsiTheme="minorHAnsi" w:cstheme="minorHAnsi"/>
        </w:rPr>
      </w:pPr>
      <w:r>
        <w:rPr>
          <w:rFonts w:asciiTheme="minorHAnsi" w:hAnsiTheme="minorHAnsi" w:cstheme="minorHAnsi"/>
        </w:rPr>
        <w:t xml:space="preserve">At </w:t>
      </w:r>
      <w:r w:rsidR="006B5979">
        <w:rPr>
          <w:rFonts w:asciiTheme="minorHAnsi" w:hAnsiTheme="minorHAnsi" w:cstheme="minorHAnsi"/>
        </w:rPr>
        <w:t>its December 2019 meeting</w:t>
      </w:r>
      <w:r w:rsidR="003C0F9F">
        <w:rPr>
          <w:rFonts w:asciiTheme="minorHAnsi" w:hAnsiTheme="minorHAnsi" w:cstheme="minorHAnsi"/>
        </w:rPr>
        <w:t>,</w:t>
      </w:r>
      <w:r w:rsidR="006B5979">
        <w:rPr>
          <w:rFonts w:asciiTheme="minorHAnsi" w:hAnsiTheme="minorHAnsi" w:cstheme="minorHAnsi"/>
        </w:rPr>
        <w:t xml:space="preserve"> t</w:t>
      </w:r>
      <w:r w:rsidR="006B5979" w:rsidRPr="00455B81">
        <w:rPr>
          <w:rFonts w:asciiTheme="minorHAnsi" w:hAnsiTheme="minorHAnsi" w:cstheme="minorHAnsi"/>
        </w:rPr>
        <w:t>he Australia and New Zealand Ministerial F</w:t>
      </w:r>
      <w:r w:rsidR="006B5979">
        <w:rPr>
          <w:rFonts w:asciiTheme="minorHAnsi" w:hAnsiTheme="minorHAnsi" w:cstheme="minorHAnsi"/>
        </w:rPr>
        <w:t xml:space="preserve">orum on Food Regulation (the Forum) supported Recommendation 9 </w:t>
      </w:r>
      <w:r w:rsidR="00F33376" w:rsidRPr="00F33376">
        <w:rPr>
          <w:rFonts w:asciiTheme="minorHAnsi" w:hAnsiTheme="minorHAnsi" w:cstheme="minorHAnsi"/>
        </w:rPr>
        <w:t>subject to agreeing interim and final target metrics</w:t>
      </w:r>
      <w:r w:rsidR="00F33376">
        <w:rPr>
          <w:rFonts w:asciiTheme="minorHAnsi" w:hAnsiTheme="minorHAnsi" w:cstheme="minorHAnsi"/>
        </w:rPr>
        <w:t>.</w:t>
      </w:r>
      <w:r w:rsidR="00F33376" w:rsidRPr="00F33376">
        <w:rPr>
          <w:rFonts w:asciiTheme="minorHAnsi" w:hAnsiTheme="minorHAnsi" w:cstheme="minorHAnsi"/>
        </w:rPr>
        <w:t xml:space="preserve"> The Forum requested that both interim and five-year targets be considered </w:t>
      </w:r>
      <w:r w:rsidR="00F33376">
        <w:rPr>
          <w:rFonts w:asciiTheme="minorHAnsi" w:hAnsiTheme="minorHAnsi" w:cstheme="minorHAnsi"/>
        </w:rPr>
        <w:t xml:space="preserve">by the Food Regulation Standing Committee (FRSC) </w:t>
      </w:r>
      <w:r w:rsidR="00F33376" w:rsidRPr="00F33376">
        <w:rPr>
          <w:rFonts w:asciiTheme="minorHAnsi" w:hAnsiTheme="minorHAnsi" w:cstheme="minorHAnsi"/>
        </w:rPr>
        <w:t>to demonstrate the commitment to increasing use of the system and the potenti</w:t>
      </w:r>
      <w:r w:rsidR="00F33376">
        <w:rPr>
          <w:rFonts w:asciiTheme="minorHAnsi" w:hAnsiTheme="minorHAnsi" w:cstheme="minorHAnsi"/>
        </w:rPr>
        <w:t xml:space="preserve">al need for a mandatory system. </w:t>
      </w:r>
    </w:p>
    <w:p w:rsidR="00A003B5" w:rsidRDefault="00A003B5" w:rsidP="00F33376">
      <w:pPr>
        <w:rPr>
          <w:rFonts w:asciiTheme="minorHAnsi" w:hAnsiTheme="minorHAnsi" w:cstheme="minorHAnsi"/>
        </w:rPr>
      </w:pPr>
      <w:r>
        <w:rPr>
          <w:rFonts w:asciiTheme="minorHAnsi" w:hAnsiTheme="minorHAnsi" w:cstheme="minorHAnsi"/>
        </w:rPr>
        <w:t>If the HSR system continues to perform well, but the interim and final uptake targets are not met, consideration may be given to a mandatory system subject to a Regulation Impact Statement being undertaken.</w:t>
      </w:r>
    </w:p>
    <w:p w:rsidR="00455B81" w:rsidRPr="00455B81" w:rsidRDefault="00455B81" w:rsidP="00455B81">
      <w:pPr>
        <w:rPr>
          <w:rFonts w:asciiTheme="minorHAnsi" w:hAnsiTheme="minorHAnsi" w:cstheme="minorHAnsi"/>
          <w:b/>
        </w:rPr>
      </w:pPr>
      <w:r>
        <w:rPr>
          <w:rFonts w:asciiTheme="minorHAnsi" w:hAnsiTheme="minorHAnsi" w:cstheme="minorHAnsi"/>
          <w:b/>
        </w:rPr>
        <w:t>What are the targets</w:t>
      </w:r>
      <w:r w:rsidR="00007D43">
        <w:rPr>
          <w:rFonts w:asciiTheme="minorHAnsi" w:hAnsiTheme="minorHAnsi" w:cstheme="minorHAnsi"/>
          <w:b/>
        </w:rPr>
        <w:t xml:space="preserve"> and timeframes</w:t>
      </w:r>
      <w:r>
        <w:rPr>
          <w:rFonts w:asciiTheme="minorHAnsi" w:hAnsiTheme="minorHAnsi" w:cstheme="minorHAnsi"/>
          <w:b/>
        </w:rPr>
        <w:t xml:space="preserve">? </w:t>
      </w:r>
    </w:p>
    <w:p w:rsidR="00360B9F" w:rsidRDefault="00455B81">
      <w:pPr>
        <w:rPr>
          <w:rFonts w:asciiTheme="minorHAnsi" w:hAnsiTheme="minorHAnsi" w:cstheme="minorHAnsi"/>
        </w:rPr>
      </w:pPr>
      <w:r>
        <w:rPr>
          <w:rFonts w:asciiTheme="minorHAnsi" w:hAnsiTheme="minorHAnsi" w:cstheme="minorHAnsi"/>
        </w:rPr>
        <w:t>At its 17 July 2020 meeting, t</w:t>
      </w:r>
      <w:r w:rsidRPr="00455B81">
        <w:rPr>
          <w:rFonts w:asciiTheme="minorHAnsi" w:hAnsiTheme="minorHAnsi" w:cstheme="minorHAnsi"/>
        </w:rPr>
        <w:t xml:space="preserve">he </w:t>
      </w:r>
      <w:r w:rsidR="00F33376">
        <w:rPr>
          <w:rFonts w:asciiTheme="minorHAnsi" w:hAnsiTheme="minorHAnsi" w:cstheme="minorHAnsi"/>
        </w:rPr>
        <w:t>Forum</w:t>
      </w:r>
      <w:r>
        <w:rPr>
          <w:rFonts w:asciiTheme="minorHAnsi" w:hAnsiTheme="minorHAnsi" w:cstheme="minorHAnsi"/>
        </w:rPr>
        <w:t xml:space="preserve"> </w:t>
      </w:r>
      <w:r w:rsidR="00F33376">
        <w:rPr>
          <w:rFonts w:asciiTheme="minorHAnsi" w:hAnsiTheme="minorHAnsi" w:cstheme="minorHAnsi"/>
        </w:rPr>
        <w:t xml:space="preserve">considered the additional work undertaken by FRSC and </w:t>
      </w:r>
      <w:r w:rsidRPr="00455B81">
        <w:rPr>
          <w:rFonts w:asciiTheme="minorHAnsi" w:hAnsiTheme="minorHAnsi" w:cstheme="minorHAnsi"/>
        </w:rPr>
        <w:t>agreed to interim uptake targets of 50% at three yea</w:t>
      </w:r>
      <w:r w:rsidR="00007D43">
        <w:rPr>
          <w:rFonts w:asciiTheme="minorHAnsi" w:hAnsiTheme="minorHAnsi" w:cstheme="minorHAnsi"/>
        </w:rPr>
        <w:t>rs,</w:t>
      </w:r>
      <w:r>
        <w:rPr>
          <w:rFonts w:asciiTheme="minorHAnsi" w:hAnsiTheme="minorHAnsi" w:cstheme="minorHAnsi"/>
        </w:rPr>
        <w:t xml:space="preserve"> 60% at four years </w:t>
      </w:r>
      <w:r w:rsidR="00007D43">
        <w:rPr>
          <w:rFonts w:asciiTheme="minorHAnsi" w:hAnsiTheme="minorHAnsi" w:cstheme="minorHAnsi"/>
        </w:rPr>
        <w:t xml:space="preserve">and 70% at five years </w:t>
      </w:r>
      <w:r>
        <w:rPr>
          <w:rFonts w:asciiTheme="minorHAnsi" w:hAnsiTheme="minorHAnsi" w:cstheme="minorHAnsi"/>
        </w:rPr>
        <w:t xml:space="preserve">across </w:t>
      </w:r>
      <w:r w:rsidRPr="00455B81">
        <w:rPr>
          <w:rFonts w:asciiTheme="minorHAnsi" w:hAnsiTheme="minorHAnsi" w:cstheme="minorHAnsi"/>
        </w:rPr>
        <w:t>all intended products.</w:t>
      </w:r>
      <w:r w:rsidR="00007D43">
        <w:rPr>
          <w:rFonts w:asciiTheme="minorHAnsi" w:hAnsiTheme="minorHAnsi" w:cstheme="minorHAnsi"/>
        </w:rPr>
        <w:t xml:space="preserve"> </w:t>
      </w:r>
    </w:p>
    <w:p w:rsidR="00F33376" w:rsidRDefault="00F33376" w:rsidP="00F33376">
      <w:pPr>
        <w:pStyle w:val="ListParagraph"/>
        <w:numPr>
          <w:ilvl w:val="0"/>
          <w:numId w:val="4"/>
        </w:numPr>
        <w:rPr>
          <w:rFonts w:asciiTheme="minorHAnsi" w:hAnsiTheme="minorHAnsi" w:cstheme="minorHAnsi"/>
        </w:rPr>
      </w:pPr>
      <w:r>
        <w:rPr>
          <w:rFonts w:asciiTheme="minorHAnsi" w:hAnsiTheme="minorHAnsi" w:cstheme="minorHAnsi"/>
        </w:rPr>
        <w:t>Implementation start date – 1</w:t>
      </w:r>
      <w:r w:rsidR="00CF6473">
        <w:rPr>
          <w:rFonts w:asciiTheme="minorHAnsi" w:hAnsiTheme="minorHAnsi" w:cstheme="minorHAnsi"/>
        </w:rPr>
        <w:t>5</w:t>
      </w:r>
      <w:r>
        <w:rPr>
          <w:rFonts w:asciiTheme="minorHAnsi" w:hAnsiTheme="minorHAnsi" w:cstheme="minorHAnsi"/>
        </w:rPr>
        <w:t xml:space="preserve"> November 2020 </w:t>
      </w:r>
    </w:p>
    <w:p w:rsidR="00F33376" w:rsidRDefault="00F33376" w:rsidP="00F33376">
      <w:pPr>
        <w:pStyle w:val="ListParagraph"/>
        <w:numPr>
          <w:ilvl w:val="0"/>
          <w:numId w:val="4"/>
        </w:numPr>
        <w:rPr>
          <w:rFonts w:asciiTheme="minorHAnsi" w:hAnsiTheme="minorHAnsi" w:cstheme="minorHAnsi"/>
        </w:rPr>
      </w:pPr>
      <w:r>
        <w:rPr>
          <w:rFonts w:asciiTheme="minorHAnsi" w:hAnsiTheme="minorHAnsi" w:cstheme="minorHAnsi"/>
        </w:rPr>
        <w:t>Interim target 1</w:t>
      </w:r>
      <w:r w:rsidR="003C0F9F">
        <w:rPr>
          <w:rFonts w:asciiTheme="minorHAnsi" w:hAnsiTheme="minorHAnsi" w:cstheme="minorHAnsi"/>
        </w:rPr>
        <w:t xml:space="preserve"> </w:t>
      </w:r>
      <w:r>
        <w:rPr>
          <w:rFonts w:asciiTheme="minorHAnsi" w:hAnsiTheme="minorHAnsi" w:cstheme="minorHAnsi"/>
        </w:rPr>
        <w:t>(50%) – 1</w:t>
      </w:r>
      <w:r w:rsidR="00CF6473">
        <w:rPr>
          <w:rFonts w:asciiTheme="minorHAnsi" w:hAnsiTheme="minorHAnsi" w:cstheme="minorHAnsi"/>
        </w:rPr>
        <w:t>5</w:t>
      </w:r>
      <w:r>
        <w:rPr>
          <w:rFonts w:asciiTheme="minorHAnsi" w:hAnsiTheme="minorHAnsi" w:cstheme="minorHAnsi"/>
        </w:rPr>
        <w:t xml:space="preserve"> November  2023 </w:t>
      </w:r>
    </w:p>
    <w:p w:rsidR="00F33376" w:rsidRDefault="00F33376" w:rsidP="00F33376">
      <w:pPr>
        <w:pStyle w:val="ListParagraph"/>
        <w:numPr>
          <w:ilvl w:val="0"/>
          <w:numId w:val="4"/>
        </w:numPr>
        <w:rPr>
          <w:rFonts w:asciiTheme="minorHAnsi" w:hAnsiTheme="minorHAnsi" w:cstheme="minorHAnsi"/>
        </w:rPr>
      </w:pPr>
      <w:r>
        <w:rPr>
          <w:rFonts w:asciiTheme="minorHAnsi" w:hAnsiTheme="minorHAnsi" w:cstheme="minorHAnsi"/>
        </w:rPr>
        <w:t>Interim target 2 (60%) – 1</w:t>
      </w:r>
      <w:r w:rsidR="00CF6473">
        <w:rPr>
          <w:rFonts w:asciiTheme="minorHAnsi" w:hAnsiTheme="minorHAnsi" w:cstheme="minorHAnsi"/>
        </w:rPr>
        <w:t>5</w:t>
      </w:r>
      <w:r>
        <w:rPr>
          <w:rFonts w:asciiTheme="minorHAnsi" w:hAnsiTheme="minorHAnsi" w:cstheme="minorHAnsi"/>
        </w:rPr>
        <w:t xml:space="preserve"> November 2024 </w:t>
      </w:r>
    </w:p>
    <w:p w:rsidR="00F33376" w:rsidRPr="00F33376" w:rsidRDefault="00F33376" w:rsidP="00F33376">
      <w:pPr>
        <w:pStyle w:val="ListParagraph"/>
        <w:numPr>
          <w:ilvl w:val="0"/>
          <w:numId w:val="4"/>
        </w:numPr>
        <w:rPr>
          <w:rFonts w:asciiTheme="minorHAnsi" w:hAnsiTheme="minorHAnsi" w:cstheme="minorHAnsi"/>
        </w:rPr>
      </w:pPr>
      <w:r>
        <w:rPr>
          <w:rFonts w:asciiTheme="minorHAnsi" w:hAnsiTheme="minorHAnsi" w:cstheme="minorHAnsi"/>
        </w:rPr>
        <w:t>Interim target 3 (70%) – 1</w:t>
      </w:r>
      <w:r w:rsidR="00CF6473">
        <w:rPr>
          <w:rFonts w:asciiTheme="minorHAnsi" w:hAnsiTheme="minorHAnsi" w:cstheme="minorHAnsi"/>
        </w:rPr>
        <w:t>5</w:t>
      </w:r>
      <w:r>
        <w:rPr>
          <w:rFonts w:asciiTheme="minorHAnsi" w:hAnsiTheme="minorHAnsi" w:cstheme="minorHAnsi"/>
        </w:rPr>
        <w:t xml:space="preserve"> November 2025 </w:t>
      </w:r>
    </w:p>
    <w:p w:rsidR="005F0306" w:rsidRDefault="00360B9F">
      <w:pPr>
        <w:rPr>
          <w:rFonts w:asciiTheme="minorHAnsi" w:hAnsiTheme="minorHAnsi" w:cstheme="minorHAnsi"/>
          <w:b/>
        </w:rPr>
      </w:pPr>
      <w:r w:rsidRPr="00662491">
        <w:rPr>
          <w:rFonts w:asciiTheme="minorHAnsi" w:hAnsiTheme="minorHAnsi" w:cstheme="minorHAnsi"/>
          <w:b/>
        </w:rPr>
        <w:t>What are the intended foods</w:t>
      </w:r>
      <w:r w:rsidR="005F0306">
        <w:rPr>
          <w:rFonts w:asciiTheme="minorHAnsi" w:hAnsiTheme="minorHAnsi" w:cstheme="minorHAnsi"/>
          <w:b/>
        </w:rPr>
        <w:t xml:space="preserve">? </w:t>
      </w:r>
    </w:p>
    <w:p w:rsidR="005F0306" w:rsidRPr="00007D43" w:rsidRDefault="005F0306" w:rsidP="005F0306">
      <w:pPr>
        <w:rPr>
          <w:rFonts w:asciiTheme="minorHAnsi" w:hAnsiTheme="minorHAnsi" w:cstheme="minorHAnsi"/>
        </w:rPr>
      </w:pPr>
      <w:r w:rsidRPr="00007D43">
        <w:rPr>
          <w:rFonts w:asciiTheme="minorHAnsi" w:hAnsiTheme="minorHAnsi" w:cstheme="minorHAnsi"/>
        </w:rPr>
        <w:t>Foods intended to carry</w:t>
      </w:r>
      <w:r>
        <w:rPr>
          <w:rFonts w:asciiTheme="minorHAnsi" w:hAnsiTheme="minorHAnsi" w:cstheme="minorHAnsi"/>
        </w:rPr>
        <w:t xml:space="preserve"> the HSR </w:t>
      </w:r>
      <w:r w:rsidRPr="00007D43">
        <w:rPr>
          <w:rFonts w:asciiTheme="minorHAnsi" w:hAnsiTheme="minorHAnsi" w:cstheme="minorHAnsi"/>
        </w:rPr>
        <w:t>system are foods:</w:t>
      </w:r>
    </w:p>
    <w:p w:rsidR="005F0306" w:rsidRDefault="003C0F9F" w:rsidP="005F0306">
      <w:pPr>
        <w:pStyle w:val="ListParagraph"/>
        <w:numPr>
          <w:ilvl w:val="0"/>
          <w:numId w:val="1"/>
        </w:numPr>
        <w:rPr>
          <w:rFonts w:asciiTheme="minorHAnsi" w:hAnsiTheme="minorHAnsi" w:cstheme="minorHAnsi"/>
        </w:rPr>
      </w:pPr>
      <w:r>
        <w:rPr>
          <w:rFonts w:asciiTheme="minorHAnsi" w:hAnsiTheme="minorHAnsi" w:cstheme="minorHAnsi"/>
        </w:rPr>
        <w:t>p</w:t>
      </w:r>
      <w:r w:rsidR="005F0306" w:rsidRPr="00007D43">
        <w:rPr>
          <w:rFonts w:asciiTheme="minorHAnsi" w:hAnsiTheme="minorHAnsi" w:cstheme="minorHAnsi"/>
        </w:rPr>
        <w:t>ermitted to use the system; and</w:t>
      </w:r>
      <w:r w:rsidR="005F0306">
        <w:rPr>
          <w:rFonts w:asciiTheme="minorHAnsi" w:hAnsiTheme="minorHAnsi" w:cstheme="minorHAnsi"/>
        </w:rPr>
        <w:t xml:space="preserve"> </w:t>
      </w:r>
    </w:p>
    <w:p w:rsidR="005F0306" w:rsidRDefault="005F0306" w:rsidP="005F0306">
      <w:pPr>
        <w:pStyle w:val="ListParagraph"/>
        <w:numPr>
          <w:ilvl w:val="0"/>
          <w:numId w:val="1"/>
        </w:numPr>
        <w:rPr>
          <w:rFonts w:asciiTheme="minorHAnsi" w:hAnsiTheme="minorHAnsi" w:cstheme="minorHAnsi"/>
        </w:rPr>
      </w:pPr>
      <w:r w:rsidRPr="00007D43">
        <w:rPr>
          <w:rFonts w:asciiTheme="minorHAnsi" w:hAnsiTheme="minorHAnsi" w:cstheme="minorHAnsi"/>
        </w:rPr>
        <w:t xml:space="preserve">required to have a nutrition information panel </w:t>
      </w:r>
      <w:r w:rsidR="003C0F9F">
        <w:rPr>
          <w:rFonts w:asciiTheme="minorHAnsi" w:hAnsiTheme="minorHAnsi" w:cstheme="minorHAnsi"/>
        </w:rPr>
        <w:t xml:space="preserve">(NIP) </w:t>
      </w:r>
      <w:r w:rsidRPr="00007D43">
        <w:rPr>
          <w:rFonts w:asciiTheme="minorHAnsi" w:hAnsiTheme="minorHAnsi" w:cstheme="minorHAnsi"/>
        </w:rPr>
        <w:t xml:space="preserve">in the Australia New Zealand Food Standards Code; and </w:t>
      </w:r>
    </w:p>
    <w:p w:rsidR="005F0306" w:rsidRPr="00007D43" w:rsidRDefault="005F0306" w:rsidP="005F0306">
      <w:pPr>
        <w:pStyle w:val="ListParagraph"/>
        <w:numPr>
          <w:ilvl w:val="0"/>
          <w:numId w:val="1"/>
        </w:numPr>
        <w:rPr>
          <w:rFonts w:asciiTheme="minorHAnsi" w:hAnsiTheme="minorHAnsi" w:cstheme="minorHAnsi"/>
        </w:rPr>
      </w:pPr>
      <w:proofErr w:type="gramStart"/>
      <w:r w:rsidRPr="00007D43">
        <w:rPr>
          <w:rFonts w:asciiTheme="minorHAnsi" w:hAnsiTheme="minorHAnsi" w:cstheme="minorHAnsi"/>
        </w:rPr>
        <w:t>that</w:t>
      </w:r>
      <w:proofErr w:type="gramEnd"/>
      <w:r w:rsidRPr="00007D43">
        <w:rPr>
          <w:rFonts w:asciiTheme="minorHAnsi" w:hAnsiTheme="minorHAnsi" w:cstheme="minorHAnsi"/>
        </w:rPr>
        <w:t xml:space="preserve"> can vary in nutritional composition. This includes foods </w:t>
      </w:r>
      <w:r w:rsidR="00CF6473">
        <w:rPr>
          <w:rFonts w:asciiTheme="minorHAnsi" w:hAnsiTheme="minorHAnsi" w:cstheme="minorHAnsi"/>
        </w:rPr>
        <w:t>with a</w:t>
      </w:r>
      <w:r w:rsidR="00CF6473" w:rsidRPr="00007D43">
        <w:rPr>
          <w:rFonts w:asciiTheme="minorHAnsi" w:hAnsiTheme="minorHAnsi" w:cstheme="minorHAnsi"/>
        </w:rPr>
        <w:t xml:space="preserve"> </w:t>
      </w:r>
      <w:r w:rsidRPr="00007D43">
        <w:rPr>
          <w:rFonts w:asciiTheme="minorHAnsi" w:hAnsiTheme="minorHAnsi" w:cstheme="minorHAnsi"/>
        </w:rPr>
        <w:t>nutrient composition can be altered (multi-ingredient processed packaged foods) or foods where similar products can vary in nutritional composition (for example foods such as flour and oils).</w:t>
      </w:r>
    </w:p>
    <w:p w:rsidR="005F0306" w:rsidRPr="00007D43" w:rsidRDefault="005F0306" w:rsidP="005F0306">
      <w:pPr>
        <w:rPr>
          <w:rFonts w:asciiTheme="minorHAnsi" w:hAnsiTheme="minorHAnsi" w:cstheme="minorHAnsi"/>
        </w:rPr>
      </w:pPr>
      <w:r w:rsidRPr="00007D43">
        <w:rPr>
          <w:rFonts w:asciiTheme="minorHAnsi" w:hAnsiTheme="minorHAnsi" w:cstheme="minorHAnsi"/>
        </w:rPr>
        <w:t xml:space="preserve">If the composition of a food can be varied, within regulatory constraints, to yield different foods, and a profiling mechanism exists within the </w:t>
      </w:r>
      <w:r>
        <w:rPr>
          <w:rFonts w:asciiTheme="minorHAnsi" w:hAnsiTheme="minorHAnsi" w:cstheme="minorHAnsi"/>
        </w:rPr>
        <w:t>HSR</w:t>
      </w:r>
      <w:r w:rsidRPr="00007D43">
        <w:rPr>
          <w:rFonts w:asciiTheme="minorHAnsi" w:hAnsiTheme="minorHAnsi" w:cstheme="minorHAnsi"/>
        </w:rPr>
        <w:t xml:space="preserve"> system to detect compositional variation in those foods and rank them nutritionally, they will be comparable and therefore should be inclu</w:t>
      </w:r>
      <w:r>
        <w:rPr>
          <w:rFonts w:asciiTheme="minorHAnsi" w:hAnsiTheme="minorHAnsi" w:cstheme="minorHAnsi"/>
        </w:rPr>
        <w:t>ded within the scope of the HSR</w:t>
      </w:r>
      <w:r w:rsidRPr="00007D43">
        <w:rPr>
          <w:rFonts w:asciiTheme="minorHAnsi" w:hAnsiTheme="minorHAnsi" w:cstheme="minorHAnsi"/>
        </w:rPr>
        <w:t xml:space="preserve"> system.</w:t>
      </w:r>
    </w:p>
    <w:p w:rsidR="005F0306" w:rsidRPr="005F0306" w:rsidRDefault="005F0306">
      <w:pPr>
        <w:rPr>
          <w:rFonts w:asciiTheme="minorHAnsi" w:hAnsiTheme="minorHAnsi" w:cstheme="minorHAnsi"/>
        </w:rPr>
      </w:pPr>
      <w:r w:rsidRPr="00007D43">
        <w:rPr>
          <w:rFonts w:asciiTheme="minorHAnsi" w:hAnsiTheme="minorHAnsi" w:cstheme="minorHAnsi"/>
        </w:rPr>
        <w:t xml:space="preserve">This definition excludes foods not eligible to carry the HSR such as alcohol, kava and most special purpose foods and aligns with the intention that the HSR is used to simplify the nutrition information provided on food labels. </w:t>
      </w:r>
    </w:p>
    <w:p w:rsidR="00360B9F" w:rsidRDefault="005F0306">
      <w:pPr>
        <w:rPr>
          <w:rFonts w:asciiTheme="minorHAnsi" w:hAnsiTheme="minorHAnsi" w:cstheme="minorHAnsi"/>
          <w:b/>
        </w:rPr>
      </w:pPr>
      <w:r>
        <w:rPr>
          <w:rFonts w:asciiTheme="minorHAnsi" w:hAnsiTheme="minorHAnsi" w:cstheme="minorHAnsi"/>
          <w:b/>
        </w:rPr>
        <w:t xml:space="preserve">What are the exempt foods? </w:t>
      </w:r>
      <w:r w:rsidR="00360B9F" w:rsidRPr="00662491">
        <w:rPr>
          <w:rFonts w:asciiTheme="minorHAnsi" w:hAnsiTheme="minorHAnsi" w:cstheme="minorHAnsi"/>
          <w:b/>
        </w:rPr>
        <w:t xml:space="preserve">  </w:t>
      </w:r>
    </w:p>
    <w:p w:rsidR="00662491" w:rsidRDefault="006F18B9" w:rsidP="00662491">
      <w:pPr>
        <w:rPr>
          <w:rFonts w:asciiTheme="minorHAnsi" w:hAnsiTheme="minorHAnsi" w:cstheme="minorHAnsi"/>
        </w:rPr>
      </w:pPr>
      <w:r>
        <w:rPr>
          <w:rFonts w:asciiTheme="minorHAnsi" w:hAnsiTheme="minorHAnsi" w:cstheme="minorHAnsi"/>
        </w:rPr>
        <w:t xml:space="preserve">Foods that are exempt include: </w:t>
      </w:r>
    </w:p>
    <w:p w:rsidR="006F18B9" w:rsidRDefault="00662491" w:rsidP="00662491">
      <w:pPr>
        <w:pStyle w:val="ListParagraph"/>
        <w:numPr>
          <w:ilvl w:val="0"/>
          <w:numId w:val="2"/>
        </w:numPr>
        <w:rPr>
          <w:rFonts w:asciiTheme="minorHAnsi" w:hAnsiTheme="minorHAnsi" w:cstheme="minorHAnsi"/>
        </w:rPr>
      </w:pPr>
      <w:r w:rsidRPr="006F18B9">
        <w:rPr>
          <w:rFonts w:asciiTheme="minorHAnsi" w:hAnsiTheme="minorHAnsi" w:cstheme="minorHAnsi"/>
        </w:rPr>
        <w:t>Foods deemed inappropriate to carry nutrition information (e.g. alcohol, kava)</w:t>
      </w:r>
      <w:r w:rsidR="003C0F9F">
        <w:rPr>
          <w:rFonts w:asciiTheme="minorHAnsi" w:hAnsiTheme="minorHAnsi" w:cstheme="minorHAnsi"/>
        </w:rPr>
        <w:t>;</w:t>
      </w:r>
      <w:r w:rsidRPr="006F18B9">
        <w:rPr>
          <w:rFonts w:asciiTheme="minorHAnsi" w:hAnsiTheme="minorHAnsi" w:cstheme="minorHAnsi"/>
        </w:rPr>
        <w:t xml:space="preserve"> or</w:t>
      </w:r>
    </w:p>
    <w:p w:rsidR="006F18B9" w:rsidRDefault="00662491" w:rsidP="00662491">
      <w:pPr>
        <w:pStyle w:val="ListParagraph"/>
        <w:numPr>
          <w:ilvl w:val="0"/>
          <w:numId w:val="2"/>
        </w:numPr>
        <w:rPr>
          <w:rFonts w:asciiTheme="minorHAnsi" w:hAnsiTheme="minorHAnsi" w:cstheme="minorHAnsi"/>
        </w:rPr>
      </w:pPr>
      <w:r w:rsidRPr="006F18B9">
        <w:rPr>
          <w:rFonts w:asciiTheme="minorHAnsi" w:hAnsiTheme="minorHAnsi" w:cstheme="minorHAnsi"/>
        </w:rPr>
        <w:t>Foods of minimal nutritional significance in the diet (herbs and spices, vinegar, salt, tea, coffee, food additives and processing aids, gelatine, water, jam setting compound)</w:t>
      </w:r>
      <w:r w:rsidR="003C0F9F">
        <w:rPr>
          <w:rFonts w:asciiTheme="minorHAnsi" w:hAnsiTheme="minorHAnsi" w:cstheme="minorHAnsi"/>
        </w:rPr>
        <w:t>;</w:t>
      </w:r>
      <w:r w:rsidRPr="006F18B9">
        <w:rPr>
          <w:rFonts w:asciiTheme="minorHAnsi" w:hAnsiTheme="minorHAnsi" w:cstheme="minorHAnsi"/>
        </w:rPr>
        <w:t xml:space="preserve"> or</w:t>
      </w:r>
      <w:r w:rsidR="006F18B9">
        <w:rPr>
          <w:rFonts w:asciiTheme="minorHAnsi" w:hAnsiTheme="minorHAnsi" w:cstheme="minorHAnsi"/>
        </w:rPr>
        <w:t xml:space="preserve"> </w:t>
      </w:r>
    </w:p>
    <w:p w:rsidR="006F18B9" w:rsidRDefault="00662491" w:rsidP="00662491">
      <w:pPr>
        <w:pStyle w:val="ListParagraph"/>
        <w:numPr>
          <w:ilvl w:val="0"/>
          <w:numId w:val="2"/>
        </w:numPr>
        <w:rPr>
          <w:rFonts w:asciiTheme="minorHAnsi" w:hAnsiTheme="minorHAnsi" w:cstheme="minorHAnsi"/>
        </w:rPr>
      </w:pPr>
      <w:r w:rsidRPr="006F18B9">
        <w:rPr>
          <w:rFonts w:asciiTheme="minorHAnsi" w:hAnsiTheme="minorHAnsi" w:cstheme="minorHAnsi"/>
        </w:rPr>
        <w:t>Foods not standardised enough to provide accurate nutrition information (prepared filled rolls, sandwiches, bagels and similar products)</w:t>
      </w:r>
      <w:r w:rsidR="003C0F9F">
        <w:rPr>
          <w:rFonts w:asciiTheme="minorHAnsi" w:hAnsiTheme="minorHAnsi" w:cstheme="minorHAnsi"/>
        </w:rPr>
        <w:t>;</w:t>
      </w:r>
      <w:r w:rsidRPr="006F18B9">
        <w:rPr>
          <w:rFonts w:asciiTheme="minorHAnsi" w:hAnsiTheme="minorHAnsi" w:cstheme="minorHAnsi"/>
        </w:rPr>
        <w:t xml:space="preserve"> or</w:t>
      </w:r>
      <w:r w:rsidR="006F18B9">
        <w:rPr>
          <w:rFonts w:asciiTheme="minorHAnsi" w:hAnsiTheme="minorHAnsi" w:cstheme="minorHAnsi"/>
        </w:rPr>
        <w:t xml:space="preserve"> </w:t>
      </w:r>
    </w:p>
    <w:p w:rsidR="006F18B9" w:rsidRDefault="00662491" w:rsidP="00662491">
      <w:pPr>
        <w:pStyle w:val="ListParagraph"/>
        <w:numPr>
          <w:ilvl w:val="0"/>
          <w:numId w:val="2"/>
        </w:numPr>
        <w:rPr>
          <w:rFonts w:asciiTheme="minorHAnsi" w:hAnsiTheme="minorHAnsi" w:cstheme="minorHAnsi"/>
        </w:rPr>
      </w:pPr>
      <w:r w:rsidRPr="006F18B9">
        <w:rPr>
          <w:rFonts w:asciiTheme="minorHAnsi" w:hAnsiTheme="minorHAnsi" w:cstheme="minorHAnsi"/>
        </w:rPr>
        <w:t>Foods in small packages</w:t>
      </w:r>
      <w:r w:rsidR="003C0F9F">
        <w:rPr>
          <w:rFonts w:asciiTheme="minorHAnsi" w:hAnsiTheme="minorHAnsi" w:cstheme="minorHAnsi"/>
        </w:rPr>
        <w:t>;</w:t>
      </w:r>
      <w:r w:rsidRPr="006F18B9">
        <w:rPr>
          <w:rFonts w:asciiTheme="minorHAnsi" w:hAnsiTheme="minorHAnsi" w:cstheme="minorHAnsi"/>
        </w:rPr>
        <w:t xml:space="preserve"> or</w:t>
      </w:r>
      <w:r w:rsidR="006F18B9">
        <w:rPr>
          <w:rFonts w:asciiTheme="minorHAnsi" w:hAnsiTheme="minorHAnsi" w:cstheme="minorHAnsi"/>
        </w:rPr>
        <w:t xml:space="preserve"> </w:t>
      </w:r>
    </w:p>
    <w:p w:rsidR="00662491" w:rsidRPr="006F18B9" w:rsidRDefault="00662491" w:rsidP="00662491">
      <w:pPr>
        <w:pStyle w:val="ListParagraph"/>
        <w:numPr>
          <w:ilvl w:val="0"/>
          <w:numId w:val="2"/>
        </w:numPr>
        <w:rPr>
          <w:rFonts w:asciiTheme="minorHAnsi" w:hAnsiTheme="minorHAnsi" w:cstheme="minorHAnsi"/>
        </w:rPr>
      </w:pPr>
      <w:r w:rsidRPr="006F18B9">
        <w:rPr>
          <w:rFonts w:asciiTheme="minorHAnsi" w:hAnsiTheme="minorHAnsi" w:cstheme="minorHAnsi"/>
        </w:rPr>
        <w:t>Fruit, vegetables, meat, poultry, and fish that comprise a single ingredient or category of ingredients.</w:t>
      </w:r>
    </w:p>
    <w:p w:rsidR="00FF48F8" w:rsidRDefault="00662491">
      <w:pPr>
        <w:rPr>
          <w:rFonts w:asciiTheme="minorHAnsi" w:hAnsiTheme="minorHAnsi" w:cstheme="minorHAnsi"/>
        </w:rPr>
      </w:pPr>
      <w:r w:rsidRPr="00007D43">
        <w:rPr>
          <w:rFonts w:asciiTheme="minorHAnsi" w:hAnsiTheme="minorHAnsi" w:cstheme="minorHAnsi"/>
        </w:rPr>
        <w:t>Based on this definition, foods such as flour and cooking oils are intended to carry the HSR as they are not exempt from carrying a NIP and can vary in nutritional content across similar products (e.g. wholemeal flour vs plain flour or sunflower vs olive oil vs coconut oil). Eggs, sugar and baking powder however are not intended to carry an HSR despite being required to carry a NIP, as their composition does not vary significantly across products. Plain packaged water, fresh and some packaged fruits and vegetables are also not required to carry a NIP so based on this definitio</w:t>
      </w:r>
      <w:r w:rsidR="00453400">
        <w:rPr>
          <w:rFonts w:asciiTheme="minorHAnsi" w:hAnsiTheme="minorHAnsi" w:cstheme="minorHAnsi"/>
        </w:rPr>
        <w:t>n, not intended to carry an HSR</w:t>
      </w:r>
      <w:r w:rsidRPr="00007D43">
        <w:rPr>
          <w:rFonts w:asciiTheme="minorHAnsi" w:hAnsiTheme="minorHAnsi" w:cstheme="minorHAnsi"/>
        </w:rPr>
        <w:t>. These foods are able to use the system, but uptake in these categories would not count towards the established uptake target. Guidance materials for the HSR will provide further examples of foods intended and not intended to carry the HSR based on the above definition.</w:t>
      </w:r>
      <w:r w:rsidR="005F0306">
        <w:rPr>
          <w:rFonts w:asciiTheme="minorHAnsi" w:hAnsiTheme="minorHAnsi" w:cstheme="minorHAnsi"/>
        </w:rPr>
        <w:t xml:space="preserve"> </w:t>
      </w:r>
    </w:p>
    <w:p w:rsidR="005F0306" w:rsidRDefault="005F0306">
      <w:pPr>
        <w:rPr>
          <w:rFonts w:asciiTheme="minorHAnsi" w:hAnsiTheme="minorHAnsi" w:cstheme="minorHAnsi"/>
        </w:rPr>
      </w:pPr>
      <w:r>
        <w:rPr>
          <w:rFonts w:asciiTheme="minorHAnsi" w:hAnsiTheme="minorHAnsi" w:cstheme="minorHAnsi"/>
        </w:rPr>
        <w:t xml:space="preserve">For further information please contact </w:t>
      </w:r>
      <w:hyperlink r:id="rId5" w:history="1">
        <w:r w:rsidRPr="00673E69">
          <w:rPr>
            <w:rStyle w:val="Hyperlink"/>
            <w:rFonts w:asciiTheme="minorHAnsi" w:hAnsiTheme="minorHAnsi" w:cstheme="minorHAnsi"/>
          </w:rPr>
          <w:t>frontofpack@health.gov.au</w:t>
        </w:r>
      </w:hyperlink>
      <w:r>
        <w:rPr>
          <w:rFonts w:asciiTheme="minorHAnsi" w:hAnsiTheme="minorHAnsi" w:cstheme="minorHAnsi"/>
        </w:rPr>
        <w:t xml:space="preserve"> or the Health Star Rating Hotline on </w:t>
      </w:r>
      <w:r w:rsidRPr="005F0306">
        <w:rPr>
          <w:rFonts w:asciiTheme="minorHAnsi" w:hAnsiTheme="minorHAnsi" w:cstheme="minorHAnsi"/>
        </w:rPr>
        <w:t>1800 099 658</w:t>
      </w:r>
      <w:r w:rsidR="003C0F9F">
        <w:rPr>
          <w:rFonts w:asciiTheme="minorHAnsi" w:hAnsiTheme="minorHAnsi" w:cstheme="minorHAnsi"/>
        </w:rPr>
        <w:t>.</w:t>
      </w:r>
    </w:p>
    <w:p w:rsidR="00FF48F8" w:rsidRPr="00360B9F" w:rsidRDefault="00FF48F8" w:rsidP="00FF48F8">
      <w:pPr>
        <w:rPr>
          <w:rFonts w:asciiTheme="minorHAnsi" w:hAnsiTheme="minorHAnsi" w:cstheme="minorHAnsi"/>
        </w:rPr>
      </w:pPr>
    </w:p>
    <w:sectPr w:rsidR="00FF48F8" w:rsidRPr="00360B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51FF6"/>
    <w:multiLevelType w:val="hybridMultilevel"/>
    <w:tmpl w:val="AD9A6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C0516E"/>
    <w:multiLevelType w:val="hybridMultilevel"/>
    <w:tmpl w:val="6FAC7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D952E53"/>
    <w:multiLevelType w:val="hybridMultilevel"/>
    <w:tmpl w:val="B6205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06F28C3"/>
    <w:multiLevelType w:val="hybridMultilevel"/>
    <w:tmpl w:val="03F29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B9F"/>
    <w:rsid w:val="00007D43"/>
    <w:rsid w:val="001D1284"/>
    <w:rsid w:val="00256515"/>
    <w:rsid w:val="00280050"/>
    <w:rsid w:val="00360B9F"/>
    <w:rsid w:val="003C0F9F"/>
    <w:rsid w:val="00432C9E"/>
    <w:rsid w:val="00446A14"/>
    <w:rsid w:val="00453400"/>
    <w:rsid w:val="00455B81"/>
    <w:rsid w:val="004A7D5D"/>
    <w:rsid w:val="004F7622"/>
    <w:rsid w:val="005F0306"/>
    <w:rsid w:val="00662491"/>
    <w:rsid w:val="00685454"/>
    <w:rsid w:val="006B5979"/>
    <w:rsid w:val="006F18B9"/>
    <w:rsid w:val="00A003B5"/>
    <w:rsid w:val="00A02834"/>
    <w:rsid w:val="00B129C7"/>
    <w:rsid w:val="00C733FE"/>
    <w:rsid w:val="00C82EE6"/>
    <w:rsid w:val="00CF6473"/>
    <w:rsid w:val="00D270E1"/>
    <w:rsid w:val="00F14D6C"/>
    <w:rsid w:val="00F33376"/>
    <w:rsid w:val="00FF4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C25EC-209D-4F55-869A-85697626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D43"/>
    <w:pPr>
      <w:ind w:left="720"/>
      <w:contextualSpacing/>
    </w:pPr>
  </w:style>
  <w:style w:type="character" w:styleId="CommentReference">
    <w:name w:val="annotation reference"/>
    <w:basedOn w:val="DefaultParagraphFont"/>
    <w:uiPriority w:val="99"/>
    <w:semiHidden/>
    <w:unhideWhenUsed/>
    <w:rsid w:val="00C733FE"/>
    <w:rPr>
      <w:sz w:val="16"/>
      <w:szCs w:val="16"/>
    </w:rPr>
  </w:style>
  <w:style w:type="paragraph" w:styleId="CommentText">
    <w:name w:val="annotation text"/>
    <w:basedOn w:val="Normal"/>
    <w:link w:val="CommentTextChar"/>
    <w:uiPriority w:val="99"/>
    <w:semiHidden/>
    <w:unhideWhenUsed/>
    <w:rsid w:val="00C733FE"/>
    <w:pPr>
      <w:spacing w:line="240" w:lineRule="auto"/>
    </w:pPr>
    <w:rPr>
      <w:sz w:val="20"/>
      <w:szCs w:val="20"/>
    </w:rPr>
  </w:style>
  <w:style w:type="character" w:customStyle="1" w:styleId="CommentTextChar">
    <w:name w:val="Comment Text Char"/>
    <w:basedOn w:val="DefaultParagraphFont"/>
    <w:link w:val="CommentText"/>
    <w:uiPriority w:val="99"/>
    <w:semiHidden/>
    <w:rsid w:val="00C733FE"/>
    <w:rPr>
      <w:sz w:val="20"/>
      <w:szCs w:val="20"/>
    </w:rPr>
  </w:style>
  <w:style w:type="paragraph" w:styleId="CommentSubject">
    <w:name w:val="annotation subject"/>
    <w:basedOn w:val="CommentText"/>
    <w:next w:val="CommentText"/>
    <w:link w:val="CommentSubjectChar"/>
    <w:uiPriority w:val="99"/>
    <w:semiHidden/>
    <w:unhideWhenUsed/>
    <w:rsid w:val="00C733FE"/>
    <w:rPr>
      <w:b/>
      <w:bCs/>
    </w:rPr>
  </w:style>
  <w:style w:type="character" w:customStyle="1" w:styleId="CommentSubjectChar">
    <w:name w:val="Comment Subject Char"/>
    <w:basedOn w:val="CommentTextChar"/>
    <w:link w:val="CommentSubject"/>
    <w:uiPriority w:val="99"/>
    <w:semiHidden/>
    <w:rsid w:val="00C733FE"/>
    <w:rPr>
      <w:b/>
      <w:bCs/>
      <w:sz w:val="20"/>
      <w:szCs w:val="20"/>
    </w:rPr>
  </w:style>
  <w:style w:type="paragraph" w:styleId="BalloonText">
    <w:name w:val="Balloon Text"/>
    <w:basedOn w:val="Normal"/>
    <w:link w:val="BalloonTextChar"/>
    <w:uiPriority w:val="99"/>
    <w:semiHidden/>
    <w:unhideWhenUsed/>
    <w:rsid w:val="00C73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3FE"/>
    <w:rPr>
      <w:rFonts w:ascii="Segoe UI" w:hAnsi="Segoe UI" w:cs="Segoe UI"/>
      <w:sz w:val="18"/>
      <w:szCs w:val="18"/>
    </w:rPr>
  </w:style>
  <w:style w:type="character" w:styleId="Hyperlink">
    <w:name w:val="Hyperlink"/>
    <w:basedOn w:val="DefaultParagraphFont"/>
    <w:uiPriority w:val="99"/>
    <w:unhideWhenUsed/>
    <w:rsid w:val="005F03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ontofpack@health.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Cochrane, Kaylie</dc:creator>
  <cp:keywords/>
  <dc:description/>
  <cp:lastModifiedBy>EALS, Andrew</cp:lastModifiedBy>
  <cp:revision>1</cp:revision>
  <dcterms:created xsi:type="dcterms:W3CDTF">2020-09-25T02:33:00Z</dcterms:created>
  <dcterms:modified xsi:type="dcterms:W3CDTF">2020-09-25T02:33:00Z</dcterms:modified>
</cp:coreProperties>
</file>