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A81" w:rsidRPr="00FF7F87" w:rsidRDefault="008D2A73" w:rsidP="00FF7F87">
      <w:pPr>
        <w:pStyle w:val="Title"/>
      </w:pPr>
      <w:r w:rsidRPr="00FF7F87">
        <w:t xml:space="preserve">Health Star Rating </w:t>
      </w:r>
      <w:r w:rsidR="00E26A81" w:rsidRPr="00FF7F87">
        <w:t>Technical Advisory</w:t>
      </w:r>
      <w:bookmarkStart w:id="0" w:name="_GoBack"/>
      <w:bookmarkEnd w:id="0"/>
      <w:r w:rsidR="00E26A81" w:rsidRPr="00FF7F87">
        <w:t xml:space="preserve"> Group</w:t>
      </w:r>
      <w:r w:rsidRPr="00FF7F87">
        <w:t xml:space="preserve"> Terms of Reference</w:t>
      </w:r>
    </w:p>
    <w:p w:rsidR="00E26A81" w:rsidRPr="00FF7F87" w:rsidRDefault="00E26A81" w:rsidP="00FF7F87">
      <w:pPr>
        <w:pStyle w:val="Heading1"/>
      </w:pPr>
      <w:r w:rsidRPr="00FF7F87">
        <w:t>Background</w:t>
      </w:r>
    </w:p>
    <w:p w:rsidR="00E26A81" w:rsidRPr="00EA44CA" w:rsidRDefault="00E26A81" w:rsidP="00142A27">
      <w:pPr>
        <w:pStyle w:val="BodyText"/>
        <w:ind w:left="0" w:right="136"/>
        <w:rPr>
          <w:rFonts w:cs="Times New Roman"/>
          <w:color w:val="212121"/>
        </w:rPr>
      </w:pPr>
      <w:r w:rsidRPr="00EA44CA">
        <w:rPr>
          <w:rFonts w:cs="Times New Roman"/>
          <w:color w:val="212121"/>
        </w:rPr>
        <w:t xml:space="preserve">The </w:t>
      </w:r>
      <w:r w:rsidR="00DE4801" w:rsidRPr="00EA44CA">
        <w:rPr>
          <w:rFonts w:cs="Times New Roman"/>
          <w:color w:val="212121"/>
        </w:rPr>
        <w:t xml:space="preserve">Health Star Rating </w:t>
      </w:r>
      <w:r w:rsidR="008D2A73">
        <w:rPr>
          <w:rFonts w:cs="Times New Roman"/>
          <w:color w:val="212121"/>
        </w:rPr>
        <w:t xml:space="preserve">(HSR) </w:t>
      </w:r>
      <w:r w:rsidR="00DE4801" w:rsidRPr="00EA44CA">
        <w:rPr>
          <w:rFonts w:cs="Times New Roman"/>
          <w:color w:val="212121"/>
        </w:rPr>
        <w:t>Advisory Committee (HSRAC) has agreed to establish</w:t>
      </w:r>
      <w:r w:rsidR="00EA44CA" w:rsidRPr="00EA44CA">
        <w:rPr>
          <w:rFonts w:cs="Times New Roman"/>
          <w:color w:val="212121"/>
        </w:rPr>
        <w:t xml:space="preserve"> a</w:t>
      </w:r>
      <w:r w:rsidR="00DE4801" w:rsidRPr="00EA44CA">
        <w:rPr>
          <w:rFonts w:cs="Times New Roman"/>
          <w:color w:val="212121"/>
        </w:rPr>
        <w:t xml:space="preserve"> </w:t>
      </w:r>
      <w:r w:rsidRPr="00EA44CA">
        <w:rPr>
          <w:rFonts w:cs="Times New Roman"/>
          <w:color w:val="212121"/>
        </w:rPr>
        <w:t xml:space="preserve">voluntary </w:t>
      </w:r>
      <w:r w:rsidR="00CE07AF" w:rsidRPr="00EA44CA">
        <w:rPr>
          <w:rFonts w:cs="Times New Roman"/>
          <w:color w:val="212121"/>
        </w:rPr>
        <w:t>T</w:t>
      </w:r>
      <w:r w:rsidR="00DE4801" w:rsidRPr="00EA44CA">
        <w:rPr>
          <w:rFonts w:cs="Times New Roman"/>
          <w:color w:val="212121"/>
        </w:rPr>
        <w:t xml:space="preserve">echnical </w:t>
      </w:r>
      <w:r w:rsidR="00CE07AF" w:rsidRPr="00EA44CA">
        <w:rPr>
          <w:rFonts w:cs="Times New Roman"/>
          <w:color w:val="212121"/>
        </w:rPr>
        <w:t>A</w:t>
      </w:r>
      <w:r w:rsidR="00DE4801" w:rsidRPr="00EA44CA">
        <w:rPr>
          <w:rFonts w:cs="Times New Roman"/>
          <w:color w:val="212121"/>
        </w:rPr>
        <w:t xml:space="preserve">dvisory </w:t>
      </w:r>
      <w:r w:rsidR="00CE07AF" w:rsidRPr="00EA44CA">
        <w:rPr>
          <w:rFonts w:cs="Times New Roman"/>
          <w:color w:val="212121"/>
        </w:rPr>
        <w:t>G</w:t>
      </w:r>
      <w:r w:rsidR="00DE4801" w:rsidRPr="00EA44CA">
        <w:rPr>
          <w:rFonts w:cs="Times New Roman"/>
          <w:color w:val="212121"/>
        </w:rPr>
        <w:t xml:space="preserve">roup </w:t>
      </w:r>
      <w:r w:rsidR="00DE4801" w:rsidRPr="00EA44CA">
        <w:rPr>
          <w:rFonts w:cs="Times New Roman"/>
        </w:rPr>
        <w:t xml:space="preserve">to </w:t>
      </w:r>
      <w:r w:rsidR="009A0C1C">
        <w:rPr>
          <w:rFonts w:cs="Times New Roman"/>
        </w:rPr>
        <w:t xml:space="preserve">assist in </w:t>
      </w:r>
      <w:r w:rsidR="00DE4801" w:rsidRPr="00EA44CA">
        <w:rPr>
          <w:rFonts w:cs="Times New Roman"/>
        </w:rPr>
        <w:t>a review of the HSR Calculator</w:t>
      </w:r>
      <w:r w:rsidR="00DE4801" w:rsidRPr="00EA44CA">
        <w:rPr>
          <w:rFonts w:cs="Times New Roman"/>
          <w:color w:val="212121"/>
        </w:rPr>
        <w:t xml:space="preserve"> as part o</w:t>
      </w:r>
      <w:r w:rsidR="00590956" w:rsidRPr="00EA44CA">
        <w:rPr>
          <w:rFonts w:cs="Times New Roman"/>
          <w:color w:val="212121"/>
        </w:rPr>
        <w:t xml:space="preserve">f the </w:t>
      </w:r>
      <w:r w:rsidR="008D2A73">
        <w:rPr>
          <w:rFonts w:cs="Times New Roman"/>
          <w:color w:val="212121"/>
        </w:rPr>
        <w:t>five</w:t>
      </w:r>
      <w:r w:rsidR="00590956" w:rsidRPr="00EA44CA">
        <w:rPr>
          <w:rFonts w:cs="Times New Roman"/>
          <w:color w:val="212121"/>
        </w:rPr>
        <w:t xml:space="preserve"> year review </w:t>
      </w:r>
      <w:r w:rsidR="00DE4801" w:rsidRPr="00EA44CA">
        <w:rPr>
          <w:rFonts w:cs="Times New Roman"/>
          <w:color w:val="212121"/>
        </w:rPr>
        <w:t>process</w:t>
      </w:r>
      <w:r w:rsidR="00590956" w:rsidRPr="00EA44CA">
        <w:rPr>
          <w:rFonts w:cs="Times New Roman"/>
          <w:color w:val="212121"/>
        </w:rPr>
        <w:t>.</w:t>
      </w:r>
    </w:p>
    <w:p w:rsidR="00590956" w:rsidRPr="00EA44CA" w:rsidRDefault="008D2A73" w:rsidP="00590956">
      <w:pPr>
        <w:pStyle w:val="BodyText"/>
        <w:ind w:left="0" w:right="136"/>
        <w:rPr>
          <w:rFonts w:cs="Times New Roman"/>
        </w:rPr>
      </w:pPr>
      <w:r>
        <w:rPr>
          <w:rFonts w:cs="Times New Roman"/>
        </w:rPr>
        <w:t>T</w:t>
      </w:r>
      <w:r w:rsidR="00590956" w:rsidRPr="00EA44CA">
        <w:rPr>
          <w:rFonts w:cs="Times New Roman"/>
        </w:rPr>
        <w:t xml:space="preserve">he group </w:t>
      </w:r>
      <w:r w:rsidR="00184A7F">
        <w:rPr>
          <w:rFonts w:cs="Times New Roman"/>
        </w:rPr>
        <w:t>is</w:t>
      </w:r>
      <w:r w:rsidR="00590956" w:rsidRPr="00EA44CA">
        <w:rPr>
          <w:rFonts w:cs="Times New Roman"/>
        </w:rPr>
        <w:t xml:space="preserve"> initially tasked with </w:t>
      </w:r>
      <w:proofErr w:type="spellStart"/>
      <w:r w:rsidR="00590956" w:rsidRPr="00EA44CA">
        <w:rPr>
          <w:rFonts w:cs="Times New Roman"/>
        </w:rPr>
        <w:t>analysing</w:t>
      </w:r>
      <w:proofErr w:type="spellEnd"/>
      <w:r w:rsidR="00590956" w:rsidRPr="00EA44CA">
        <w:rPr>
          <w:rFonts w:cs="Times New Roman"/>
        </w:rPr>
        <w:t xml:space="preserve"> the performance of the HSR Calculator</w:t>
      </w:r>
      <w:r>
        <w:rPr>
          <w:rFonts w:cs="Times New Roman"/>
        </w:rPr>
        <w:t>,</w:t>
      </w:r>
      <w:r w:rsidR="00590956" w:rsidRPr="00EA44CA">
        <w:rPr>
          <w:rFonts w:cs="Times New Roman"/>
        </w:rPr>
        <w:t xml:space="preserve"> with a secondary task of responding to technical issues and related matters referred to it by the HSRAC.</w:t>
      </w:r>
    </w:p>
    <w:p w:rsidR="00E26A81" w:rsidRPr="00EA44CA" w:rsidRDefault="00E26A81" w:rsidP="00FF7F87">
      <w:pPr>
        <w:pStyle w:val="Heading1"/>
      </w:pPr>
      <w:r w:rsidRPr="00EA44CA">
        <w:t>Role and Purpose</w:t>
      </w:r>
    </w:p>
    <w:p w:rsidR="00E26A81" w:rsidRPr="00EA44CA" w:rsidRDefault="00E26A81" w:rsidP="00E26A81">
      <w:pPr>
        <w:pStyle w:val="FRSCBullet"/>
        <w:tabs>
          <w:tab w:val="clear" w:pos="426"/>
        </w:tabs>
        <w:ind w:left="0" w:firstLine="0"/>
      </w:pPr>
      <w:r w:rsidRPr="00967C21">
        <w:rPr>
          <w:lang w:val="en-US" w:eastAsia="en-US"/>
        </w:rPr>
        <w:t>The</w:t>
      </w:r>
      <w:r w:rsidR="00142A27" w:rsidRPr="00967C21">
        <w:rPr>
          <w:lang w:val="en-US" w:eastAsia="en-US"/>
        </w:rPr>
        <w:t xml:space="preserve"> specific</w:t>
      </w:r>
      <w:r w:rsidRPr="00967C21">
        <w:rPr>
          <w:lang w:val="en-US" w:eastAsia="en-US"/>
        </w:rPr>
        <w:t xml:space="preserve"> </w:t>
      </w:r>
      <w:r w:rsidR="001E3656" w:rsidRPr="00967C21">
        <w:rPr>
          <w:lang w:val="en-US" w:eastAsia="en-US"/>
        </w:rPr>
        <w:t xml:space="preserve">role of the </w:t>
      </w:r>
      <w:r w:rsidR="00CE07AF" w:rsidRPr="00967C21">
        <w:rPr>
          <w:lang w:val="en-US" w:eastAsia="en-US"/>
        </w:rPr>
        <w:t>T</w:t>
      </w:r>
      <w:r w:rsidRPr="00967C21">
        <w:rPr>
          <w:lang w:val="en-US" w:eastAsia="en-US"/>
        </w:rPr>
        <w:t xml:space="preserve">echnical </w:t>
      </w:r>
      <w:r w:rsidR="00CE07AF" w:rsidRPr="00967C21">
        <w:rPr>
          <w:lang w:val="en-US" w:eastAsia="en-US"/>
        </w:rPr>
        <w:t>A</w:t>
      </w:r>
      <w:r w:rsidRPr="00967C21">
        <w:rPr>
          <w:lang w:val="en-US" w:eastAsia="en-US"/>
        </w:rPr>
        <w:t xml:space="preserve">dvisory </w:t>
      </w:r>
      <w:r w:rsidR="00142A27" w:rsidRPr="00967C21">
        <w:rPr>
          <w:lang w:val="en-US" w:eastAsia="en-US"/>
        </w:rPr>
        <w:t>G</w:t>
      </w:r>
      <w:r w:rsidRPr="00967C21">
        <w:rPr>
          <w:lang w:val="en-US" w:eastAsia="en-US"/>
        </w:rPr>
        <w:t>roup</w:t>
      </w:r>
      <w:r w:rsidR="00650BBD" w:rsidRPr="00967C21">
        <w:rPr>
          <w:lang w:val="en-US" w:eastAsia="en-US"/>
        </w:rPr>
        <w:t xml:space="preserve"> </w:t>
      </w:r>
      <w:r w:rsidR="00184A7F" w:rsidRPr="00967C21">
        <w:rPr>
          <w:lang w:val="en-US" w:eastAsia="en-US"/>
        </w:rPr>
        <w:t>is</w:t>
      </w:r>
      <w:r w:rsidR="001E3656" w:rsidRPr="00967C21">
        <w:rPr>
          <w:lang w:val="en-US" w:eastAsia="en-US"/>
        </w:rPr>
        <w:t xml:space="preserve"> to</w:t>
      </w:r>
      <w:r w:rsidR="00D946EE" w:rsidRPr="00967C21">
        <w:rPr>
          <w:lang w:val="en-US" w:eastAsia="en-US"/>
        </w:rPr>
        <w:t xml:space="preserve">, within the context of the Front-of-Pack </w:t>
      </w:r>
      <w:proofErr w:type="spellStart"/>
      <w:r w:rsidR="00D946EE" w:rsidRPr="00967C21">
        <w:rPr>
          <w:lang w:val="en-US" w:eastAsia="en-US"/>
        </w:rPr>
        <w:t>Labelling</w:t>
      </w:r>
      <w:proofErr w:type="spellEnd"/>
      <w:r w:rsidR="00D946EE" w:rsidRPr="00967C21">
        <w:rPr>
          <w:lang w:val="en-US" w:eastAsia="en-US"/>
        </w:rPr>
        <w:t xml:space="preserve"> (</w:t>
      </w:r>
      <w:proofErr w:type="spellStart"/>
      <w:r w:rsidR="00D946EE" w:rsidRPr="00967C21">
        <w:rPr>
          <w:lang w:val="en-US" w:eastAsia="en-US"/>
        </w:rPr>
        <w:t>FoPL</w:t>
      </w:r>
      <w:proofErr w:type="spellEnd"/>
      <w:r w:rsidR="00D946EE" w:rsidRPr="00967C21">
        <w:rPr>
          <w:lang w:val="en-US" w:eastAsia="en-US"/>
        </w:rPr>
        <w:t>) Project Committee’s - Objectives and principles for</w:t>
      </w:r>
      <w:r w:rsidR="00D946EE">
        <w:t xml:space="preserve"> the development of a </w:t>
      </w:r>
      <w:proofErr w:type="spellStart"/>
      <w:r w:rsidR="00D946EE">
        <w:t>FoPL</w:t>
      </w:r>
      <w:proofErr w:type="spellEnd"/>
      <w:r w:rsidR="00D946EE">
        <w:t xml:space="preserve"> system (Attachment 1)</w:t>
      </w:r>
      <w:r w:rsidRPr="00EA44CA">
        <w:t>:</w:t>
      </w:r>
    </w:p>
    <w:p w:rsidR="00E26A81" w:rsidRPr="00EA44CA" w:rsidRDefault="00E26A81" w:rsidP="00DE4801">
      <w:pPr>
        <w:pStyle w:val="FRSCBullet"/>
        <w:numPr>
          <w:ilvl w:val="0"/>
          <w:numId w:val="5"/>
        </w:numPr>
        <w:spacing w:after="0"/>
        <w:ind w:left="284" w:hanging="284"/>
      </w:pPr>
      <w:r w:rsidRPr="00EA44CA">
        <w:t xml:space="preserve">Analyse the performance of the HSR Calculator </w:t>
      </w:r>
    </w:p>
    <w:p w:rsidR="00E26A81" w:rsidRPr="00EA44CA" w:rsidRDefault="00E26A81" w:rsidP="00E26A81">
      <w:pPr>
        <w:pStyle w:val="FRSCBullet"/>
        <w:numPr>
          <w:ilvl w:val="0"/>
          <w:numId w:val="2"/>
        </w:numPr>
        <w:spacing w:after="0"/>
      </w:pPr>
      <w:r w:rsidRPr="00EA44CA">
        <w:t>What star ratings are currently being produced</w:t>
      </w:r>
      <w:r w:rsidR="0030439A">
        <w:t>?</w:t>
      </w:r>
    </w:p>
    <w:p w:rsidR="00944484" w:rsidRPr="00EA44CA" w:rsidRDefault="00944484" w:rsidP="00967C21">
      <w:pPr>
        <w:pStyle w:val="FRSCBullet"/>
        <w:numPr>
          <w:ilvl w:val="0"/>
          <w:numId w:val="2"/>
        </w:numPr>
        <w:spacing w:after="0"/>
        <w:ind w:left="714" w:hanging="357"/>
      </w:pPr>
      <w:r>
        <w:t>Consider whether</w:t>
      </w:r>
      <w:r w:rsidRPr="00EA44CA">
        <w:t xml:space="preserve"> the ratings being produced currently align with the Australian Dietary Guidelines (ADG)/Australian Guide to Healthy Eating (AGHE)/New Zealand Dietary Guidelines (NZDG).</w:t>
      </w:r>
    </w:p>
    <w:p w:rsidR="00E26A81" w:rsidRPr="00EA44CA" w:rsidRDefault="00E26A81" w:rsidP="00291A5A">
      <w:pPr>
        <w:pStyle w:val="FRSCBullet"/>
        <w:numPr>
          <w:ilvl w:val="0"/>
          <w:numId w:val="2"/>
        </w:numPr>
        <w:spacing w:after="0"/>
      </w:pPr>
      <w:r w:rsidRPr="00EA44CA">
        <w:t>Consider and build on NSW research (</w:t>
      </w:r>
      <w:r w:rsidRPr="00291A5A">
        <w:rPr>
          <w:bCs/>
          <w:i/>
        </w:rPr>
        <w:t>Techni</w:t>
      </w:r>
      <w:r w:rsidRPr="008406B1">
        <w:rPr>
          <w:bCs/>
          <w:i/>
        </w:rPr>
        <w:t xml:space="preserve">cal Report: </w:t>
      </w:r>
      <w:r w:rsidRPr="008406B1">
        <w:rPr>
          <w:bCs/>
          <w:i/>
          <w:lang w:val="en"/>
        </w:rPr>
        <w:t>Alignment of NSW Healthy Food Provision Policy with the Health Star Rating System</w:t>
      </w:r>
      <w:r w:rsidRPr="00291A5A">
        <w:rPr>
          <w:bCs/>
          <w:lang w:val="en"/>
        </w:rPr>
        <w:t>)</w:t>
      </w:r>
      <w:r w:rsidR="00291A5A" w:rsidRPr="00291A5A">
        <w:rPr>
          <w:bCs/>
          <w:lang w:val="en"/>
        </w:rPr>
        <w:t xml:space="preserve"> and other relevant research</w:t>
      </w:r>
      <w:r w:rsidR="00EA44CA" w:rsidRPr="00291A5A">
        <w:rPr>
          <w:bCs/>
          <w:lang w:val="en"/>
        </w:rPr>
        <w:t>.</w:t>
      </w:r>
    </w:p>
    <w:p w:rsidR="00E26A81" w:rsidRPr="00EA44CA" w:rsidRDefault="00E26A81" w:rsidP="00590956">
      <w:pPr>
        <w:pStyle w:val="FRSCBullet"/>
        <w:numPr>
          <w:ilvl w:val="0"/>
          <w:numId w:val="2"/>
        </w:numPr>
        <w:spacing w:after="0"/>
        <w:ind w:left="714" w:hanging="357"/>
      </w:pPr>
      <w:r w:rsidRPr="00EA44CA">
        <w:t>Analyse any outliers that are revealed as directed by the HSRA</w:t>
      </w:r>
      <w:r w:rsidR="0030439A">
        <w:t>C</w:t>
      </w:r>
      <w:r w:rsidR="00EA44CA" w:rsidRPr="00EA44CA">
        <w:t>.</w:t>
      </w:r>
    </w:p>
    <w:p w:rsidR="00E26A81" w:rsidRPr="00EA44CA" w:rsidRDefault="00E26A81" w:rsidP="00590956">
      <w:pPr>
        <w:pStyle w:val="FRSCBullet"/>
        <w:numPr>
          <w:ilvl w:val="0"/>
          <w:numId w:val="5"/>
        </w:numPr>
        <w:spacing w:after="0"/>
        <w:ind w:left="284" w:hanging="284"/>
      </w:pPr>
      <w:r w:rsidRPr="00EA44CA">
        <w:t xml:space="preserve">Respond to technical issues referred by the </w:t>
      </w:r>
      <w:r w:rsidR="00590956" w:rsidRPr="00EA44CA">
        <w:t>HSRAC</w:t>
      </w:r>
      <w:r w:rsidR="002D3F87">
        <w:t>.  This could include:</w:t>
      </w:r>
    </w:p>
    <w:p w:rsidR="00E26A81" w:rsidRPr="00EA44CA" w:rsidRDefault="00E26A81" w:rsidP="00590956">
      <w:pPr>
        <w:pStyle w:val="FRSCBullet"/>
        <w:numPr>
          <w:ilvl w:val="0"/>
          <w:numId w:val="2"/>
        </w:numPr>
        <w:spacing w:after="0"/>
      </w:pPr>
      <w:r w:rsidRPr="00EA44CA">
        <w:t>Anomaly submissions that the HSRAC has determined should be considered in the context of the review</w:t>
      </w:r>
      <w:r w:rsidR="007B1975">
        <w:t>.</w:t>
      </w:r>
    </w:p>
    <w:p w:rsidR="00E26A81" w:rsidRPr="00EA44CA" w:rsidRDefault="00E26A81" w:rsidP="00590956">
      <w:pPr>
        <w:pStyle w:val="FRSCBullet"/>
        <w:numPr>
          <w:ilvl w:val="0"/>
          <w:numId w:val="2"/>
        </w:numPr>
        <w:spacing w:after="0"/>
        <w:ind w:left="714" w:hanging="357"/>
      </w:pPr>
      <w:r w:rsidRPr="00EA44CA">
        <w:t>Issues that have been rais</w:t>
      </w:r>
      <w:r w:rsidR="00590956" w:rsidRPr="00EA44CA">
        <w:t>ed by stakeholders that the HSRA</w:t>
      </w:r>
      <w:r w:rsidRPr="00EA44CA">
        <w:t>C</w:t>
      </w:r>
      <w:r w:rsidR="00590956" w:rsidRPr="00EA44CA">
        <w:t xml:space="preserve"> </w:t>
      </w:r>
      <w:r w:rsidRPr="00EA44CA">
        <w:t>agree should be specifically analysed</w:t>
      </w:r>
      <w:r w:rsidR="002D3F87">
        <w:t>.</w:t>
      </w:r>
    </w:p>
    <w:p w:rsidR="00E26A81" w:rsidRPr="00EA44CA" w:rsidRDefault="00E26A81" w:rsidP="00590956">
      <w:pPr>
        <w:pStyle w:val="FRSCBullet"/>
        <w:numPr>
          <w:ilvl w:val="0"/>
          <w:numId w:val="2"/>
        </w:numPr>
        <w:ind w:left="714" w:hanging="357"/>
      </w:pPr>
      <w:r w:rsidRPr="00EA44CA">
        <w:t xml:space="preserve">Further exploration based on results of initial analysis of </w:t>
      </w:r>
      <w:r w:rsidR="002D3F87">
        <w:t xml:space="preserve">the </w:t>
      </w:r>
      <w:r w:rsidRPr="00EA44CA">
        <w:t>HSR Calculator</w:t>
      </w:r>
      <w:r w:rsidR="001E3656" w:rsidRPr="00EA44CA">
        <w:t>.</w:t>
      </w:r>
    </w:p>
    <w:p w:rsidR="00E26A81" w:rsidRPr="00EA44CA" w:rsidRDefault="00E26A81" w:rsidP="00590956">
      <w:pPr>
        <w:pStyle w:val="FRSCBullet"/>
        <w:numPr>
          <w:ilvl w:val="0"/>
          <w:numId w:val="5"/>
        </w:numPr>
        <w:spacing w:after="0"/>
        <w:ind w:left="284" w:hanging="284"/>
      </w:pPr>
      <w:r w:rsidRPr="00EA44CA">
        <w:t>Other</w:t>
      </w:r>
    </w:p>
    <w:p w:rsidR="00DE4801" w:rsidRPr="00EA44CA" w:rsidRDefault="00DE4801" w:rsidP="00590956">
      <w:pPr>
        <w:pStyle w:val="FRSCBullet"/>
        <w:numPr>
          <w:ilvl w:val="0"/>
          <w:numId w:val="2"/>
        </w:numPr>
        <w:spacing w:after="0"/>
        <w:ind w:left="714" w:hanging="357"/>
      </w:pPr>
      <w:r w:rsidRPr="00EA44CA">
        <w:t xml:space="preserve">Provide proposals on amendments to the </w:t>
      </w:r>
      <w:r w:rsidR="0030439A">
        <w:t>HSR Calculator</w:t>
      </w:r>
      <w:r w:rsidRPr="00EA44CA">
        <w:t xml:space="preserve"> for HSRAC to consider</w:t>
      </w:r>
      <w:r w:rsidR="002D3F87">
        <w:t>.</w:t>
      </w:r>
    </w:p>
    <w:p w:rsidR="00E26A81" w:rsidRPr="00EA44CA" w:rsidRDefault="002D3F87" w:rsidP="00590956">
      <w:pPr>
        <w:pStyle w:val="FRSCBullet"/>
        <w:numPr>
          <w:ilvl w:val="0"/>
          <w:numId w:val="2"/>
        </w:numPr>
        <w:spacing w:after="0"/>
      </w:pPr>
      <w:r>
        <w:t>G</w:t>
      </w:r>
      <w:r w:rsidR="00E26A81" w:rsidRPr="00EA44CA">
        <w:t xml:space="preserve">ather </w:t>
      </w:r>
      <w:r>
        <w:t>e</w:t>
      </w:r>
      <w:r w:rsidRPr="00EA44CA">
        <w:t xml:space="preserve">vidence </w:t>
      </w:r>
      <w:r w:rsidR="00E26A81" w:rsidRPr="00EA44CA">
        <w:t>on specific issues where required</w:t>
      </w:r>
      <w:r>
        <w:t>.</w:t>
      </w:r>
    </w:p>
    <w:p w:rsidR="00E26A81" w:rsidRPr="00EA44CA" w:rsidRDefault="00E26A81" w:rsidP="00C11DCF">
      <w:pPr>
        <w:pStyle w:val="FRSCBullet"/>
        <w:numPr>
          <w:ilvl w:val="0"/>
          <w:numId w:val="2"/>
        </w:numPr>
        <w:ind w:left="714" w:hanging="357"/>
      </w:pPr>
      <w:r w:rsidRPr="00EA44CA">
        <w:t>Analyse the implications of proposed amendments to the HSR Calculator</w:t>
      </w:r>
      <w:r w:rsidR="002D3F87">
        <w:t>.</w:t>
      </w:r>
    </w:p>
    <w:p w:rsidR="00744DB1" w:rsidRDefault="00744DB1" w:rsidP="00C11DCF">
      <w:pPr>
        <w:pStyle w:val="FRSCBullet"/>
        <w:tabs>
          <w:tab w:val="clear" w:pos="426"/>
        </w:tabs>
        <w:ind w:left="0" w:firstLine="0"/>
      </w:pPr>
      <w:r w:rsidRPr="00744DB1">
        <w:t xml:space="preserve">The Technical Advisory Group may need to consider </w:t>
      </w:r>
      <w:r w:rsidRPr="00744DB1" w:rsidDel="008906FC">
        <w:t xml:space="preserve">obtaining data from other sources if required </w:t>
      </w:r>
      <w:proofErr w:type="spellStart"/>
      <w:r w:rsidRPr="00744DB1" w:rsidDel="008906FC">
        <w:t>eg</w:t>
      </w:r>
      <w:proofErr w:type="spellEnd"/>
      <w:r w:rsidRPr="00744DB1" w:rsidDel="008906FC">
        <w:t xml:space="preserve">. </w:t>
      </w:r>
      <w:proofErr w:type="gramStart"/>
      <w:r w:rsidRPr="00744DB1" w:rsidDel="008906FC">
        <w:t>the</w:t>
      </w:r>
      <w:proofErr w:type="gramEnd"/>
      <w:r w:rsidRPr="00744DB1" w:rsidDel="008906FC">
        <w:t xml:space="preserve"> National Heart Foundation of Australia</w:t>
      </w:r>
      <w:r w:rsidR="00C84B0E">
        <w:t>/CSIRO</w:t>
      </w:r>
      <w:r w:rsidRPr="00744DB1" w:rsidDel="008906FC">
        <w:t xml:space="preserve"> (</w:t>
      </w:r>
      <w:proofErr w:type="spellStart"/>
      <w:r w:rsidRPr="00744DB1" w:rsidDel="008906FC">
        <w:t>FoodTrack</w:t>
      </w:r>
      <w:proofErr w:type="spellEnd"/>
      <w:r w:rsidRPr="00744DB1" w:rsidDel="008906FC">
        <w:t xml:space="preserve"> database</w:t>
      </w:r>
      <w:r w:rsidR="00413D92">
        <w:t>)</w:t>
      </w:r>
      <w:r w:rsidR="00C11DCF">
        <w:t>.</w:t>
      </w:r>
    </w:p>
    <w:p w:rsidR="00E26A81" w:rsidRDefault="00E26A81" w:rsidP="00E26A81">
      <w:pPr>
        <w:pStyle w:val="FRSCBullet"/>
        <w:tabs>
          <w:tab w:val="clear" w:pos="426"/>
        </w:tabs>
        <w:ind w:left="0" w:firstLine="0"/>
      </w:pPr>
      <w:r w:rsidRPr="00EA44CA">
        <w:t>Should the group determine that other issues warrant consideration, these mu</w:t>
      </w:r>
      <w:r w:rsidR="00590956" w:rsidRPr="00EA44CA">
        <w:t xml:space="preserve">st first be referred to the HSRAC </w:t>
      </w:r>
      <w:r w:rsidRPr="00EA44CA">
        <w:t xml:space="preserve">for determination that they are within scope. </w:t>
      </w:r>
    </w:p>
    <w:p w:rsidR="00142A27" w:rsidRPr="0067239D" w:rsidRDefault="00E26A81" w:rsidP="00FF7F87">
      <w:pPr>
        <w:pStyle w:val="Heading1"/>
      </w:pPr>
      <w:r w:rsidRPr="0067239D">
        <w:t>Membership</w:t>
      </w:r>
    </w:p>
    <w:p w:rsidR="00E26A81" w:rsidRPr="00EA44CA" w:rsidRDefault="002D3F87" w:rsidP="0067239D">
      <w:pPr>
        <w:pStyle w:val="FRSCBullet"/>
        <w:keepNext/>
        <w:tabs>
          <w:tab w:val="clear" w:pos="426"/>
        </w:tabs>
        <w:ind w:left="0" w:firstLine="0"/>
      </w:pPr>
      <w:r>
        <w:t>T</w:t>
      </w:r>
      <w:r w:rsidR="00CE07AF" w:rsidRPr="00EA44CA">
        <w:t xml:space="preserve">he Technical Advisory Group </w:t>
      </w:r>
      <w:r w:rsidR="005E798F">
        <w:t xml:space="preserve">will </w:t>
      </w:r>
      <w:r w:rsidR="00CE07AF" w:rsidRPr="00EA44CA">
        <w:t xml:space="preserve">consist of a small tripartite independent </w:t>
      </w:r>
      <w:r w:rsidR="008406B1">
        <w:t>group of experts with relevant technical skills</w:t>
      </w:r>
      <w:r w:rsidR="008406B1" w:rsidRPr="00EA44CA">
        <w:t xml:space="preserve"> </w:t>
      </w:r>
      <w:r w:rsidR="00CE07AF" w:rsidRPr="00EA44CA">
        <w:t xml:space="preserve">and </w:t>
      </w:r>
      <w:r w:rsidR="005E798F">
        <w:t>will be</w:t>
      </w:r>
      <w:r w:rsidR="00967C21">
        <w:t xml:space="preserve"> </w:t>
      </w:r>
      <w:proofErr w:type="gramStart"/>
      <w:r w:rsidR="00967C21">
        <w:t>C</w:t>
      </w:r>
      <w:r w:rsidR="00CE07AF" w:rsidRPr="00EA44CA">
        <w:t>hair</w:t>
      </w:r>
      <w:r w:rsidR="00184A7F">
        <w:t>ed</w:t>
      </w:r>
      <w:proofErr w:type="gramEnd"/>
      <w:r w:rsidR="00CE07AF" w:rsidRPr="00EA44CA">
        <w:t xml:space="preserve"> b</w:t>
      </w:r>
      <w:r w:rsidR="00184A7F">
        <w:t>y</w:t>
      </w:r>
      <w:r w:rsidR="00CE07AF" w:rsidRPr="00EA44CA">
        <w:t xml:space="preserve"> the Commonwealth </w:t>
      </w:r>
      <w:r w:rsidR="00CE07AF" w:rsidRPr="00EA44CA">
        <w:lastRenderedPageBreak/>
        <w:t xml:space="preserve">Department of Health. </w:t>
      </w:r>
      <w:r>
        <w:t xml:space="preserve"> </w:t>
      </w:r>
      <w:r w:rsidR="005E033F" w:rsidRPr="00967C21">
        <w:t>The Technical Advisory Group will report directly to the HSRAC and appointments to the group will be made by the HSRAC by consensus</w:t>
      </w:r>
      <w:r w:rsidR="008D2A73" w:rsidRPr="00967C21">
        <w:t>.</w:t>
      </w:r>
      <w:r w:rsidR="005E033F" w:rsidRPr="00EA44CA">
        <w:t xml:space="preserve"> </w:t>
      </w:r>
    </w:p>
    <w:p w:rsidR="00944484" w:rsidRPr="00EA44CA" w:rsidDel="008906FC" w:rsidRDefault="00184A7F" w:rsidP="00944484">
      <w:pPr>
        <w:pStyle w:val="FRSCBullet"/>
        <w:tabs>
          <w:tab w:val="clear" w:pos="426"/>
        </w:tabs>
        <w:ind w:left="0" w:firstLine="0"/>
      </w:pPr>
      <w:r>
        <w:t>A</w:t>
      </w:r>
      <w:r w:rsidR="00E26A81" w:rsidRPr="00EA44CA">
        <w:t xml:space="preserve">ny advice/expertise that may be required that is outside the scope of the group </w:t>
      </w:r>
      <w:r>
        <w:t xml:space="preserve">will </w:t>
      </w:r>
      <w:r w:rsidR="00E26A81" w:rsidRPr="00EA44CA">
        <w:t xml:space="preserve">be co-opted on a needs basis, or commissioned, rather than expanding the membership of the </w:t>
      </w:r>
      <w:r w:rsidR="00CE07AF" w:rsidRPr="00EA44CA">
        <w:t>T</w:t>
      </w:r>
      <w:r w:rsidR="00E26A81" w:rsidRPr="00EA44CA">
        <w:t xml:space="preserve">echnical </w:t>
      </w:r>
      <w:r w:rsidR="00CE07AF" w:rsidRPr="00EA44CA">
        <w:t>Advisory</w:t>
      </w:r>
      <w:r w:rsidR="00E26A81" w:rsidRPr="00EA44CA">
        <w:t xml:space="preserve"> </w:t>
      </w:r>
      <w:r w:rsidR="00CE07AF" w:rsidRPr="00EA44CA">
        <w:t>G</w:t>
      </w:r>
      <w:r w:rsidR="00E26A81" w:rsidRPr="00EA44CA">
        <w:t>roup.</w:t>
      </w:r>
      <w:r w:rsidR="00944484">
        <w:rPr>
          <w:bCs/>
          <w:lang w:val="en"/>
        </w:rPr>
        <w:t xml:space="preserve"> </w:t>
      </w:r>
    </w:p>
    <w:p w:rsidR="00C11DCF" w:rsidRPr="00967C21" w:rsidRDefault="001E3656" w:rsidP="00EA44CA">
      <w:pPr>
        <w:pStyle w:val="FRSCBullet"/>
        <w:tabs>
          <w:tab w:val="clear" w:pos="426"/>
        </w:tabs>
        <w:ind w:left="0" w:firstLine="0"/>
      </w:pPr>
      <w:r w:rsidRPr="00967C21">
        <w:t xml:space="preserve">In the event that a member of the </w:t>
      </w:r>
      <w:r w:rsidR="00CE07AF" w:rsidRPr="00967C21">
        <w:t>T</w:t>
      </w:r>
      <w:r w:rsidRPr="00967C21">
        <w:t xml:space="preserve">echnical </w:t>
      </w:r>
      <w:r w:rsidR="00CE07AF" w:rsidRPr="00967C21">
        <w:t>A</w:t>
      </w:r>
      <w:r w:rsidRPr="00967C21">
        <w:t xml:space="preserve">dvisory </w:t>
      </w:r>
      <w:r w:rsidR="00CE07AF" w:rsidRPr="00967C21">
        <w:t>G</w:t>
      </w:r>
      <w:r w:rsidR="00142A27" w:rsidRPr="00967C21">
        <w:t>roup</w:t>
      </w:r>
      <w:r w:rsidRPr="00967C21">
        <w:t xml:space="preserve"> resigns, the Chair of the </w:t>
      </w:r>
      <w:r w:rsidR="008D2A73" w:rsidRPr="00967C21">
        <w:t>Technical Advisory G</w:t>
      </w:r>
      <w:r w:rsidR="00CE07AF" w:rsidRPr="00967C21">
        <w:t>roup</w:t>
      </w:r>
      <w:r w:rsidRPr="00967C21">
        <w:t xml:space="preserve"> will immediately advise the Chair of the </w:t>
      </w:r>
      <w:r w:rsidR="00142A27" w:rsidRPr="00967C21">
        <w:t>HSRAC</w:t>
      </w:r>
      <w:r w:rsidRPr="00967C21">
        <w:t xml:space="preserve">. </w:t>
      </w:r>
      <w:r w:rsidR="008D2A73" w:rsidRPr="00967C21">
        <w:t xml:space="preserve"> </w:t>
      </w:r>
      <w:r w:rsidRPr="00967C21">
        <w:t xml:space="preserve">The Chair of the </w:t>
      </w:r>
      <w:r w:rsidR="00142A27" w:rsidRPr="00967C21">
        <w:t>HSRAC</w:t>
      </w:r>
      <w:r w:rsidRPr="00967C21">
        <w:t xml:space="preserve"> will</w:t>
      </w:r>
      <w:r w:rsidR="005E033F" w:rsidRPr="00967C21">
        <w:t xml:space="preserve"> </w:t>
      </w:r>
      <w:r w:rsidR="00944484" w:rsidRPr="00967C21">
        <w:t xml:space="preserve">ask HSRAC members to propose suitable replacement </w:t>
      </w:r>
      <w:r w:rsidR="005E033F" w:rsidRPr="00967C21">
        <w:t>nominations</w:t>
      </w:r>
      <w:r w:rsidR="00C11DCF" w:rsidRPr="00967C21">
        <w:t xml:space="preserve">, </w:t>
      </w:r>
      <w:r w:rsidR="00944484" w:rsidRPr="00967C21">
        <w:t>if required.</w:t>
      </w:r>
    </w:p>
    <w:p w:rsidR="00E26A81" w:rsidRPr="00EA44CA" w:rsidRDefault="00E26A81" w:rsidP="00FF7F87">
      <w:pPr>
        <w:pStyle w:val="Heading1"/>
      </w:pPr>
      <w:r w:rsidRPr="00EA44CA">
        <w:t>Governance</w:t>
      </w:r>
    </w:p>
    <w:p w:rsidR="00E26A81" w:rsidRPr="00EA44CA" w:rsidRDefault="004C07B0" w:rsidP="00650BBD">
      <w:pPr>
        <w:pStyle w:val="FRSCBullet"/>
        <w:tabs>
          <w:tab w:val="clear" w:pos="426"/>
        </w:tabs>
        <w:ind w:left="0" w:firstLine="0"/>
      </w:pPr>
      <w:r>
        <w:t>T</w:t>
      </w:r>
      <w:r w:rsidR="00E26A81" w:rsidRPr="00EA44CA">
        <w:t xml:space="preserve">he </w:t>
      </w:r>
      <w:r>
        <w:t>Technical Advisory G</w:t>
      </w:r>
      <w:r w:rsidR="00E26A81" w:rsidRPr="00EA44CA">
        <w:t xml:space="preserve">roup </w:t>
      </w:r>
      <w:r w:rsidR="005E798F">
        <w:t xml:space="preserve">will </w:t>
      </w:r>
      <w:r w:rsidR="00E26A81" w:rsidRPr="00EA44CA">
        <w:t>work independently</w:t>
      </w:r>
      <w:r>
        <w:t xml:space="preserve"> and </w:t>
      </w:r>
      <w:r w:rsidR="00E26A81" w:rsidRPr="00EA44CA">
        <w:t>report to the HSRAC periodically to provide updates on progress, outcomes of analysis and seek guidance where required</w:t>
      </w:r>
      <w:r w:rsidR="00EA44CA" w:rsidRPr="00EA44CA">
        <w:t>.</w:t>
      </w:r>
    </w:p>
    <w:p w:rsidR="00E26A81" w:rsidRDefault="00E26A81" w:rsidP="00650BBD">
      <w:pPr>
        <w:pStyle w:val="FRSCBullet"/>
        <w:tabs>
          <w:tab w:val="clear" w:pos="426"/>
        </w:tabs>
        <w:ind w:left="0" w:firstLine="0"/>
      </w:pPr>
      <w:r w:rsidRPr="00EA44CA">
        <w:t xml:space="preserve">The group </w:t>
      </w:r>
      <w:r w:rsidR="005E798F">
        <w:t xml:space="preserve">will </w:t>
      </w:r>
      <w:r w:rsidRPr="00EA44CA">
        <w:t>provide written</w:t>
      </w:r>
      <w:r w:rsidR="00274E9F">
        <w:t xml:space="preserve"> and</w:t>
      </w:r>
      <w:r w:rsidRPr="00EA44CA">
        <w:t>/</w:t>
      </w:r>
      <w:r w:rsidR="00274E9F">
        <w:t>or</w:t>
      </w:r>
      <w:r w:rsidRPr="00EA44CA">
        <w:t xml:space="preserve"> verbal reports as required</w:t>
      </w:r>
      <w:r w:rsidR="00EA44CA" w:rsidRPr="00EA44CA">
        <w:t>.</w:t>
      </w:r>
      <w:r w:rsidR="004C07B0">
        <w:t xml:space="preserve">  </w:t>
      </w:r>
      <w:r w:rsidRPr="00EA44CA">
        <w:t>All considerations and modelling must be documented and provided in support of all</w:t>
      </w:r>
      <w:r w:rsidR="00341D94">
        <w:t xml:space="preserve"> options/proposals.</w:t>
      </w:r>
    </w:p>
    <w:p w:rsidR="00A00EC2" w:rsidRPr="00AA329C" w:rsidRDefault="00A00EC2" w:rsidP="00FF7F87">
      <w:pPr>
        <w:pStyle w:val="Heading1"/>
      </w:pPr>
      <w:r w:rsidRPr="00AA329C">
        <w:t xml:space="preserve">Confidentiality </w:t>
      </w:r>
    </w:p>
    <w:p w:rsidR="00AA329C" w:rsidRDefault="00A00EC2" w:rsidP="00FF7F87">
      <w:pPr>
        <w:pStyle w:val="FRSCBullet"/>
        <w:tabs>
          <w:tab w:val="clear" w:pos="426"/>
        </w:tabs>
        <w:ind w:left="0" w:firstLine="0"/>
      </w:pPr>
      <w:r w:rsidRPr="00AA329C">
        <w:t>All information relating to or prepared by/for the Technical Advisory Group i</w:t>
      </w:r>
      <w:r w:rsidR="001171AC" w:rsidRPr="00AA329C">
        <w:t>s to be treated as confidential</w:t>
      </w:r>
      <w:r w:rsidRPr="00AA329C">
        <w:t xml:space="preserve"> and only distributed on a strict need-to-know basis</w:t>
      </w:r>
      <w:r w:rsidR="001171AC" w:rsidRPr="00AA329C">
        <w:t>, unless otherwise agreed by the HSRAC.</w:t>
      </w:r>
      <w:r w:rsidR="00AA329C">
        <w:br w:type="page"/>
      </w:r>
    </w:p>
    <w:p w:rsidR="008771A0" w:rsidRDefault="008771A0" w:rsidP="00FF7F87">
      <w:pPr>
        <w:pStyle w:val="Head1"/>
      </w:pPr>
      <w:r>
        <w:lastRenderedPageBreak/>
        <w:t>Attachment 1</w:t>
      </w:r>
    </w:p>
    <w:p w:rsidR="00AA329C" w:rsidRDefault="00AA329C" w:rsidP="00FF7F87">
      <w:pPr>
        <w:pStyle w:val="Head2"/>
        <w:pBdr>
          <w:bottom w:val="single" w:sz="4" w:space="1" w:color="auto"/>
        </w:pBdr>
        <w:spacing w:before="240" w:after="240"/>
      </w:pPr>
      <w:r>
        <w:t xml:space="preserve">Front of pack </w:t>
      </w:r>
      <w:proofErr w:type="spellStart"/>
      <w:r>
        <w:t>labelling</w:t>
      </w:r>
      <w:proofErr w:type="spellEnd"/>
      <w:r>
        <w:t xml:space="preserve"> Project Committee</w:t>
      </w:r>
      <w:r w:rsidR="00FF7F87">
        <w:br/>
      </w:r>
      <w:r>
        <w:t>Objectives and principles</w:t>
      </w:r>
      <w:r w:rsidRPr="005C37F0">
        <w:t xml:space="preserve"> </w:t>
      </w:r>
      <w:r>
        <w:t xml:space="preserve">for </w:t>
      </w:r>
      <w:r w:rsidRPr="005C37F0">
        <w:t xml:space="preserve">the development of a front-of-pack </w:t>
      </w:r>
      <w:proofErr w:type="spellStart"/>
      <w:r w:rsidRPr="005C37F0">
        <w:t>labelling</w:t>
      </w:r>
      <w:proofErr w:type="spellEnd"/>
      <w:r w:rsidRPr="005C37F0">
        <w:t xml:space="preserve"> </w:t>
      </w:r>
      <w:r>
        <w:t>(</w:t>
      </w:r>
      <w:proofErr w:type="spellStart"/>
      <w:r>
        <w:t>FoPL</w:t>
      </w:r>
      <w:proofErr w:type="spellEnd"/>
      <w:r>
        <w:t xml:space="preserve">) </w:t>
      </w:r>
      <w:r w:rsidRPr="005C37F0">
        <w:t>system</w:t>
      </w:r>
    </w:p>
    <w:p w:rsidR="00AA329C" w:rsidRDefault="00AA329C" w:rsidP="00FF7F87">
      <w:pPr>
        <w:pStyle w:val="Head3"/>
      </w:pPr>
      <w:r>
        <w:t>Context:</w:t>
      </w:r>
    </w:p>
    <w:p w:rsidR="00AA329C" w:rsidRPr="00FB3A8F" w:rsidRDefault="00AA329C" w:rsidP="00FF7F87">
      <w:r w:rsidRPr="00FB3A8F">
        <w:t>In December 2011, the Legislative and Governance Forum on Food Regulation (</w:t>
      </w:r>
      <w:proofErr w:type="spellStart"/>
      <w:r w:rsidRPr="00FB3A8F">
        <w:t>FoFR</w:t>
      </w:r>
      <w:proofErr w:type="spellEnd"/>
      <w:r w:rsidRPr="00FB3A8F">
        <w:t xml:space="preserve">) agreed to support Recommendation 50 of </w:t>
      </w:r>
      <w:proofErr w:type="spellStart"/>
      <w:r w:rsidRPr="00C86565">
        <w:rPr>
          <w:i/>
        </w:rPr>
        <w:t>Labelling</w:t>
      </w:r>
      <w:proofErr w:type="spellEnd"/>
      <w:r w:rsidRPr="00C86565">
        <w:rPr>
          <w:i/>
        </w:rPr>
        <w:t xml:space="preserve"> Logic: Review of Food </w:t>
      </w:r>
      <w:proofErr w:type="spellStart"/>
      <w:r w:rsidRPr="00C86565">
        <w:rPr>
          <w:i/>
        </w:rPr>
        <w:t>Labelling</w:t>
      </w:r>
      <w:proofErr w:type="spellEnd"/>
      <w:r w:rsidRPr="00C86565">
        <w:rPr>
          <w:i/>
        </w:rPr>
        <w:t xml:space="preserve"> Law and Policy </w:t>
      </w:r>
      <w:r w:rsidRPr="00FB3A8F">
        <w:t xml:space="preserve">(the </w:t>
      </w:r>
      <w:proofErr w:type="spellStart"/>
      <w:r w:rsidRPr="00FB3A8F">
        <w:t>Blewett</w:t>
      </w:r>
      <w:proofErr w:type="spellEnd"/>
      <w:r w:rsidRPr="00FB3A8F">
        <w:t xml:space="preserve"> Review)</w:t>
      </w:r>
      <w:r>
        <w:t xml:space="preserve">, namely that an interpretive Front-of-Pack </w:t>
      </w:r>
      <w:proofErr w:type="spellStart"/>
      <w:r>
        <w:t>Labelling</w:t>
      </w:r>
      <w:proofErr w:type="spellEnd"/>
      <w:r>
        <w:t xml:space="preserve"> (</w:t>
      </w:r>
      <w:proofErr w:type="spellStart"/>
      <w:r>
        <w:t>FoPL</w:t>
      </w:r>
      <w:proofErr w:type="spellEnd"/>
      <w:r>
        <w:t>) system should be developed.</w:t>
      </w:r>
      <w:r w:rsidRPr="00FB3A8F">
        <w:t xml:space="preserve"> In its response, </w:t>
      </w:r>
      <w:proofErr w:type="spellStart"/>
      <w:r w:rsidRPr="00FB3A8F">
        <w:t>FoFR</w:t>
      </w:r>
      <w:proofErr w:type="spellEnd"/>
      <w:r w:rsidRPr="00FB3A8F">
        <w:t xml:space="preserve"> was careful to </w:t>
      </w:r>
      <w:proofErr w:type="spellStart"/>
      <w:r w:rsidRPr="00FB3A8F">
        <w:t>emphasise</w:t>
      </w:r>
      <w:proofErr w:type="spellEnd"/>
      <w:r w:rsidRPr="00FB3A8F">
        <w:t xml:space="preserve"> its view that the divergence of stakeholder views regarding </w:t>
      </w:r>
      <w:proofErr w:type="spellStart"/>
      <w:r w:rsidRPr="00FB3A8F">
        <w:t>FoPL</w:t>
      </w:r>
      <w:proofErr w:type="spellEnd"/>
      <w:r w:rsidRPr="00FB3A8F">
        <w:t xml:space="preserve"> means that </w:t>
      </w:r>
      <w:r w:rsidRPr="00FB3A8F">
        <w:rPr>
          <w:i/>
        </w:rPr>
        <w:t>government is best placed to lead a collaborative process</w:t>
      </w:r>
      <w:r w:rsidRPr="00FB3A8F">
        <w:t xml:space="preserve"> to deliver on this task.</w:t>
      </w:r>
      <w:r>
        <w:t xml:space="preserve">  However, </w:t>
      </w:r>
      <w:proofErr w:type="spellStart"/>
      <w:r>
        <w:t>FoFR</w:t>
      </w:r>
      <w:proofErr w:type="spellEnd"/>
      <w:r>
        <w:t xml:space="preserve"> was also careful to point out that the </w:t>
      </w:r>
      <w:r w:rsidRPr="00EB6C19">
        <w:rPr>
          <w:i/>
        </w:rPr>
        <w:t xml:space="preserve">food </w:t>
      </w:r>
      <w:proofErr w:type="spellStart"/>
      <w:r w:rsidRPr="00EB6C19">
        <w:rPr>
          <w:i/>
        </w:rPr>
        <w:t>labelling</w:t>
      </w:r>
      <w:proofErr w:type="spellEnd"/>
      <w:r w:rsidRPr="00EB6C19">
        <w:rPr>
          <w:i/>
        </w:rPr>
        <w:t xml:space="preserve"> regulatory framework must strike a balance between seeking to ensure good public health outcomes (both short and longer term) and ensuring a strong and profitable food industry</w:t>
      </w:r>
      <w:r w:rsidRPr="0043243A">
        <w:t>.</w:t>
      </w:r>
      <w:r>
        <w:rPr>
          <w:rStyle w:val="FootnoteReference"/>
        </w:rPr>
        <w:footnoteReference w:id="1"/>
      </w:r>
    </w:p>
    <w:p w:rsidR="00AA329C" w:rsidRDefault="00AA329C" w:rsidP="00AA329C">
      <w:proofErr w:type="spellStart"/>
      <w:r w:rsidRPr="00FB3A8F">
        <w:t>FoFR</w:t>
      </w:r>
      <w:proofErr w:type="spellEnd"/>
      <w:r w:rsidRPr="00FB3A8F">
        <w:t xml:space="preserve"> therefore proposed </w:t>
      </w:r>
      <w:r w:rsidRPr="00FB3A8F">
        <w:rPr>
          <w:i/>
        </w:rPr>
        <w:t>to undertake a collaborative design process with industry, public health and consumer stakeholders, with a view to reaching a broad consensus on a possible approach to interpretive FoPL</w:t>
      </w:r>
      <w:r w:rsidRPr="00FB3A8F">
        <w:t>.</w:t>
      </w:r>
      <w:r>
        <w:rPr>
          <w:rStyle w:val="FootnoteReference"/>
        </w:rPr>
        <w:footnoteReference w:id="2"/>
      </w:r>
      <w:r w:rsidRPr="00FB3A8F">
        <w:t xml:space="preserve"> </w:t>
      </w:r>
      <w:r>
        <w:t xml:space="preserve"> The stated aims and objectives of the process were to:</w:t>
      </w:r>
    </w:p>
    <w:p w:rsidR="00AA329C" w:rsidRDefault="00AA329C" w:rsidP="00AA329C">
      <w:pPr>
        <w:numPr>
          <w:ilvl w:val="0"/>
          <w:numId w:val="8"/>
        </w:numPr>
      </w:pPr>
      <w:r w:rsidRPr="0043243A">
        <w:t xml:space="preserve">move away from the current divisive debate and </w:t>
      </w:r>
      <w:proofErr w:type="spellStart"/>
      <w:r w:rsidRPr="0043243A">
        <w:t>polarised</w:t>
      </w:r>
      <w:proofErr w:type="spellEnd"/>
      <w:r w:rsidRPr="0043243A">
        <w:t xml:space="preserve"> views by building on the common ground among stakeholders</w:t>
      </w:r>
      <w:r>
        <w:t>;</w:t>
      </w:r>
    </w:p>
    <w:p w:rsidR="00AA329C" w:rsidRDefault="00AA329C" w:rsidP="00AA329C">
      <w:pPr>
        <w:numPr>
          <w:ilvl w:val="0"/>
          <w:numId w:val="8"/>
        </w:numPr>
      </w:pPr>
      <w:r w:rsidRPr="0043243A">
        <w:t>focus on addressing issues of concern, exploring new approaches and exploring possibilities f</w:t>
      </w:r>
      <w:r>
        <w:t>or building on existing schemes;</w:t>
      </w:r>
    </w:p>
    <w:p w:rsidR="00AA329C" w:rsidRDefault="00AA329C" w:rsidP="00AA329C">
      <w:pPr>
        <w:numPr>
          <w:ilvl w:val="0"/>
          <w:numId w:val="8"/>
        </w:numPr>
      </w:pPr>
      <w:proofErr w:type="gramStart"/>
      <w:r w:rsidRPr="0043243A">
        <w:t>help</w:t>
      </w:r>
      <w:proofErr w:type="gramEnd"/>
      <w:r w:rsidRPr="0043243A">
        <w:t xml:space="preserve"> avoid the proliferation of different FoPL systems and the potential for consumer confusion from conflicting or inconsistent nutrition messages</w:t>
      </w:r>
      <w:r w:rsidR="00AC6A7C">
        <w:t>.</w:t>
      </w:r>
      <w:r>
        <w:rPr>
          <w:rStyle w:val="FootnoteReference"/>
        </w:rPr>
        <w:footnoteReference w:id="3"/>
      </w:r>
    </w:p>
    <w:p w:rsidR="00AA329C" w:rsidRDefault="00AA329C" w:rsidP="00AA329C">
      <w:r>
        <w:t xml:space="preserve">The </w:t>
      </w:r>
      <w:proofErr w:type="spellStart"/>
      <w:r>
        <w:t>FoFR</w:t>
      </w:r>
      <w:proofErr w:type="spellEnd"/>
      <w:r>
        <w:t xml:space="preserve"> response also stated that </w:t>
      </w:r>
      <w:r w:rsidRPr="00EB6C19">
        <w:rPr>
          <w:i/>
        </w:rPr>
        <w:t>“[</w:t>
      </w:r>
      <w:proofErr w:type="spellStart"/>
      <w:r w:rsidRPr="00EB6C19">
        <w:rPr>
          <w:i/>
        </w:rPr>
        <w:t>i</w:t>
      </w:r>
      <w:proofErr w:type="spellEnd"/>
      <w:r w:rsidRPr="00EB6C19">
        <w:rPr>
          <w:i/>
        </w:rPr>
        <w:t>]t is important that consensus is on the basis that the approach adopted achieves the aims and objectives set out in the</w:t>
      </w:r>
      <w:r>
        <w:rPr>
          <w:i/>
        </w:rPr>
        <w:t xml:space="preserve"> </w:t>
      </w:r>
      <w:r w:rsidRPr="00EB6C19">
        <w:t>[Australia and New Zealand Food Regulation Ministerial Council]</w:t>
      </w:r>
      <w:r>
        <w:rPr>
          <w:i/>
        </w:rPr>
        <w:t xml:space="preserve"> </w:t>
      </w:r>
      <w:r w:rsidRPr="00EB6C19">
        <w:rPr>
          <w:i/>
        </w:rPr>
        <w:t>Policy Statement</w:t>
      </w:r>
      <w:r w:rsidRPr="0043243A">
        <w:t>.</w:t>
      </w:r>
      <w:r>
        <w:t xml:space="preserve">”  A copy of the Policy Statement is attached for reference, but key elements are extracted below to assist in discussion. </w:t>
      </w:r>
    </w:p>
    <w:p w:rsidR="00AA329C" w:rsidRDefault="00AA329C" w:rsidP="00AA329C">
      <w:r>
        <w:t xml:space="preserve">To give effect to the </w:t>
      </w:r>
      <w:proofErr w:type="spellStart"/>
      <w:r>
        <w:t>FoFR</w:t>
      </w:r>
      <w:proofErr w:type="spellEnd"/>
      <w:r>
        <w:t xml:space="preserve"> wishes the Department of Health and Ageing has convened a FOPL Project Committee of stakeholders to develop Front of Pack Labelling System</w:t>
      </w:r>
      <w:r w:rsidR="000A1ED8">
        <w:t>.</w:t>
      </w:r>
      <w:r>
        <w:t xml:space="preserve"> </w:t>
      </w:r>
    </w:p>
    <w:p w:rsidR="00AA329C" w:rsidRDefault="00AA329C" w:rsidP="00AA329C">
      <w:r>
        <w:t>To provide a foundation for the Project Committee’s task of developing a front-of-pack labelling system, this paper focuses upon three key elements of any system design process – namely objectives, scope and system design principles.</w:t>
      </w:r>
    </w:p>
    <w:p w:rsidR="00AA329C" w:rsidRDefault="00AA329C" w:rsidP="00FF7F87">
      <w:pPr>
        <w:pStyle w:val="Head3"/>
      </w:pPr>
      <w:r w:rsidRPr="00D45220">
        <w:t>Objectives</w:t>
      </w:r>
      <w:r>
        <w:t xml:space="preserve"> of a </w:t>
      </w:r>
      <w:proofErr w:type="spellStart"/>
      <w:r>
        <w:t>FoPL</w:t>
      </w:r>
      <w:proofErr w:type="spellEnd"/>
      <w:r>
        <w:t xml:space="preserve"> System</w:t>
      </w:r>
      <w:r w:rsidRPr="00D45220">
        <w:t>:</w:t>
      </w:r>
    </w:p>
    <w:p w:rsidR="00AA329C" w:rsidRDefault="00AA329C" w:rsidP="00AA329C">
      <w:r>
        <w:t>According to the FOFR Policy Statement:</w:t>
      </w:r>
    </w:p>
    <w:p w:rsidR="00AA329C" w:rsidRPr="00903179" w:rsidRDefault="00AA329C" w:rsidP="00AA329C">
      <w:pPr>
        <w:pStyle w:val="Default"/>
        <w:spacing w:after="120"/>
      </w:pPr>
      <w:r w:rsidRPr="00903179">
        <w:lastRenderedPageBreak/>
        <w:t xml:space="preserve">A FOPL scheme is a scheme that can guide consumer choice towards healthier food options and aims to: </w:t>
      </w:r>
    </w:p>
    <w:p w:rsidR="00AA329C" w:rsidRPr="00903179" w:rsidRDefault="00AA329C" w:rsidP="00AA329C">
      <w:pPr>
        <w:pStyle w:val="Default"/>
        <w:spacing w:after="60"/>
        <w:ind w:left="540"/>
      </w:pPr>
      <w:r w:rsidRPr="00903179">
        <w:t xml:space="preserve">Guide consumer choice by: </w:t>
      </w:r>
    </w:p>
    <w:p w:rsidR="00AA329C" w:rsidRPr="00903179" w:rsidRDefault="00AA329C" w:rsidP="00AA329C">
      <w:pPr>
        <w:pStyle w:val="Default"/>
        <w:spacing w:after="60"/>
        <w:ind w:left="900" w:hanging="360"/>
      </w:pPr>
      <w:r w:rsidRPr="00903179">
        <w:t xml:space="preserve">1. Enabling direct comparison between individual foods that, within the overall diet, may contribute to the risk factors of various diet related chronic diseases. </w:t>
      </w:r>
    </w:p>
    <w:p w:rsidR="00AA329C" w:rsidRPr="00903179" w:rsidRDefault="00AA329C" w:rsidP="00AA329C">
      <w:pPr>
        <w:pStyle w:val="Default"/>
        <w:spacing w:after="60"/>
        <w:ind w:left="900" w:hanging="360"/>
      </w:pPr>
      <w:r w:rsidRPr="00903179">
        <w:t xml:space="preserve">2. </w:t>
      </w:r>
      <w:proofErr w:type="gramStart"/>
      <w:r w:rsidRPr="00903179">
        <w:t>Being</w:t>
      </w:r>
      <w:proofErr w:type="gramEnd"/>
      <w:r w:rsidRPr="00903179">
        <w:t xml:space="preserve"> readily understandable and meaningful across socio-economic groups, culturally and linguistically diverse groups and low literacy/low numeracy groups. </w:t>
      </w:r>
    </w:p>
    <w:p w:rsidR="00AA329C" w:rsidRDefault="00AA329C" w:rsidP="00AA329C">
      <w:pPr>
        <w:pStyle w:val="Default"/>
        <w:spacing w:after="60"/>
        <w:ind w:left="900" w:hanging="360"/>
      </w:pPr>
      <w:r w:rsidRPr="00903179">
        <w:t xml:space="preserve">3. Increasing awareness of foods that, within the overall diet, may contribute positively or negatively to the risk factors of diet related chronic diseases. </w:t>
      </w:r>
    </w:p>
    <w:p w:rsidR="00AA329C" w:rsidRPr="005570CA" w:rsidRDefault="00AA329C" w:rsidP="00AA329C">
      <w:r w:rsidRPr="005570CA">
        <w:t>For the purposes of the Project Committee’s work, this objective can more succinctly be expressed as:</w:t>
      </w:r>
    </w:p>
    <w:p w:rsidR="00AA329C" w:rsidRPr="005570CA" w:rsidRDefault="00AA329C" w:rsidP="00AA329C">
      <w:pPr>
        <w:jc w:val="center"/>
        <w:rPr>
          <w:i/>
        </w:rPr>
      </w:pPr>
      <w:r w:rsidRPr="005570CA">
        <w:rPr>
          <w:i/>
        </w:rPr>
        <w:t xml:space="preserve">‘To provide convenient, relevant and readily understood nutrition </w:t>
      </w:r>
    </w:p>
    <w:p w:rsidR="00AA329C" w:rsidRPr="005570CA" w:rsidRDefault="00AA329C" w:rsidP="00AA329C">
      <w:pPr>
        <w:jc w:val="center"/>
        <w:rPr>
          <w:i/>
        </w:rPr>
      </w:pPr>
      <w:proofErr w:type="gramStart"/>
      <w:r w:rsidRPr="005570CA">
        <w:rPr>
          <w:i/>
        </w:rPr>
        <w:t>information</w:t>
      </w:r>
      <w:proofErr w:type="gramEnd"/>
      <w:r w:rsidRPr="005570CA">
        <w:rPr>
          <w:i/>
        </w:rPr>
        <w:t xml:space="preserve"> and/or  guidance on food packs to assist consumers to make </w:t>
      </w:r>
    </w:p>
    <w:p w:rsidR="00AA329C" w:rsidRPr="002B452D" w:rsidRDefault="00AA329C" w:rsidP="00AA329C">
      <w:pPr>
        <w:jc w:val="center"/>
        <w:rPr>
          <w:i/>
        </w:rPr>
      </w:pPr>
      <w:proofErr w:type="gramStart"/>
      <w:r w:rsidRPr="005570CA">
        <w:rPr>
          <w:i/>
        </w:rPr>
        <w:t>informed</w:t>
      </w:r>
      <w:proofErr w:type="gramEnd"/>
      <w:r w:rsidRPr="005570CA">
        <w:rPr>
          <w:i/>
        </w:rPr>
        <w:t xml:space="preserve"> food purchases and healthier eating choices.’</w:t>
      </w:r>
    </w:p>
    <w:p w:rsidR="00AA329C" w:rsidRDefault="00AA329C" w:rsidP="00FF7F87">
      <w:pPr>
        <w:pStyle w:val="Head3"/>
      </w:pPr>
      <w:r w:rsidRPr="00EF45B4">
        <w:t>Scope</w:t>
      </w:r>
      <w:r>
        <w:t>:</w:t>
      </w:r>
    </w:p>
    <w:p w:rsidR="00AA329C" w:rsidRPr="00E72DE7" w:rsidRDefault="00AA329C" w:rsidP="00AA329C">
      <w:r w:rsidRPr="00E72DE7">
        <w:t xml:space="preserve">The </w:t>
      </w:r>
      <w:r>
        <w:t xml:space="preserve">Project Committee will develop a FoPL system </w:t>
      </w:r>
      <w:r w:rsidRPr="008A18DA">
        <w:t>combining both interpretive and informative elements</w:t>
      </w:r>
      <w:r>
        <w:rPr>
          <w:b/>
        </w:rPr>
        <w:t xml:space="preserve"> </w:t>
      </w:r>
      <w:r>
        <w:t xml:space="preserve">within the </w:t>
      </w:r>
      <w:r w:rsidRPr="00E72DE7">
        <w:t xml:space="preserve">following </w:t>
      </w:r>
      <w:r>
        <w:t>parameters:</w:t>
      </w:r>
      <w:r w:rsidRPr="00E72DE7">
        <w:t xml:space="preserve"> </w:t>
      </w:r>
    </w:p>
    <w:p w:rsidR="00AA329C" w:rsidRPr="00B13F2F" w:rsidRDefault="00AA329C" w:rsidP="00AA329C">
      <w:pPr>
        <w:numPr>
          <w:ilvl w:val="0"/>
          <w:numId w:val="6"/>
        </w:numPr>
        <w:autoSpaceDE w:val="0"/>
        <w:autoSpaceDN w:val="0"/>
        <w:adjustRightInd w:val="0"/>
        <w:spacing w:line="360" w:lineRule="auto"/>
        <w:ind w:left="357" w:hanging="357"/>
      </w:pPr>
      <w:r w:rsidRPr="00B13F2F">
        <w:t>One system will be developed that is widespread, simple and interpretive</w:t>
      </w:r>
    </w:p>
    <w:p w:rsidR="00AA329C" w:rsidRPr="00B346CD" w:rsidRDefault="00AA329C" w:rsidP="00AA329C">
      <w:pPr>
        <w:numPr>
          <w:ilvl w:val="0"/>
          <w:numId w:val="6"/>
        </w:numPr>
        <w:autoSpaceDE w:val="0"/>
        <w:autoSpaceDN w:val="0"/>
        <w:adjustRightInd w:val="0"/>
        <w:ind w:left="357" w:hanging="357"/>
      </w:pPr>
      <w:r w:rsidRPr="00B13F2F">
        <w:t xml:space="preserve">The priority focus will be </w:t>
      </w:r>
      <w:r w:rsidRPr="00B346CD">
        <w:t>packaged,</w:t>
      </w:r>
      <w:r>
        <w:t xml:space="preserve"> </w:t>
      </w:r>
      <w:r w:rsidRPr="00B13F2F">
        <w:t>manufactured or processed foods</w:t>
      </w:r>
      <w:r>
        <w:t xml:space="preserve"> </w:t>
      </w:r>
      <w:r w:rsidRPr="00B346CD">
        <w:t xml:space="preserve">presented ready for sale to the consumer in the retail sector. </w:t>
      </w:r>
    </w:p>
    <w:p w:rsidR="00AA329C" w:rsidRPr="006D225A" w:rsidRDefault="00AA329C" w:rsidP="00FF7F87">
      <w:pPr>
        <w:pStyle w:val="Head3"/>
        <w:rPr>
          <w:sz w:val="16"/>
          <w:szCs w:val="16"/>
        </w:rPr>
      </w:pPr>
      <w:r w:rsidRPr="00EF45B4">
        <w:t xml:space="preserve">Design </w:t>
      </w:r>
      <w:r>
        <w:t xml:space="preserve">and Implementation </w:t>
      </w:r>
      <w:r w:rsidRPr="00EF45B4">
        <w:t>Principles</w:t>
      </w:r>
      <w:r>
        <w:t>:</w:t>
      </w:r>
    </w:p>
    <w:p w:rsidR="00AA329C" w:rsidRDefault="00AA329C" w:rsidP="00AA329C">
      <w:pPr>
        <w:spacing w:after="240"/>
      </w:pPr>
      <w:r>
        <w:t xml:space="preserve">In its response, </w:t>
      </w:r>
      <w:proofErr w:type="spellStart"/>
      <w:r>
        <w:t>FoFR</w:t>
      </w:r>
      <w:proofErr w:type="spellEnd"/>
      <w:r>
        <w:t xml:space="preserve"> explicitly stated that the collaborative approach should include consideration of the possibilities for building on existing schemes. It is therefore critical that a set of criteria be developed against which both new and existing schemes can be considered. In the context of this paper, these criteria are referred to as design and implementation principles, which are as follows:</w:t>
      </w:r>
    </w:p>
    <w:p w:rsidR="00AA329C" w:rsidRDefault="00AA329C" w:rsidP="00AA329C">
      <w:pPr>
        <w:spacing w:after="240"/>
      </w:pPr>
      <w:r>
        <w:t>Design</w:t>
      </w:r>
    </w:p>
    <w:p w:rsidR="00AA329C" w:rsidRPr="00B346CD" w:rsidRDefault="00AA329C" w:rsidP="00AA329C">
      <w:pPr>
        <w:numPr>
          <w:ilvl w:val="0"/>
          <w:numId w:val="9"/>
        </w:numPr>
        <w:autoSpaceDE w:val="0"/>
        <w:autoSpaceDN w:val="0"/>
        <w:adjustRightInd w:val="0"/>
      </w:pPr>
      <w:r w:rsidRPr="00B346CD">
        <w:t>The FoPL system should synthesize, simplify and translate substantiated nutritional information and present it to inform food choice</w:t>
      </w:r>
      <w:r>
        <w:t xml:space="preserve"> and support healthy eating.</w:t>
      </w:r>
    </w:p>
    <w:p w:rsidR="00AA329C" w:rsidRPr="00B346CD" w:rsidRDefault="00AA329C" w:rsidP="00AA329C">
      <w:pPr>
        <w:numPr>
          <w:ilvl w:val="0"/>
          <w:numId w:val="9"/>
        </w:numPr>
        <w:autoSpaceDE w:val="0"/>
        <w:autoSpaceDN w:val="0"/>
        <w:adjustRightInd w:val="0"/>
      </w:pPr>
      <w:r w:rsidRPr="00B346CD">
        <w:t>The system should be widely understood including by those most at risk from poor nutrition and associated health risks.</w:t>
      </w:r>
    </w:p>
    <w:p w:rsidR="00AA329C" w:rsidRPr="00B346CD" w:rsidRDefault="00AA329C" w:rsidP="00AA329C">
      <w:pPr>
        <w:numPr>
          <w:ilvl w:val="0"/>
          <w:numId w:val="9"/>
        </w:numPr>
        <w:autoSpaceDE w:val="0"/>
        <w:autoSpaceDN w:val="0"/>
        <w:adjustRightInd w:val="0"/>
      </w:pPr>
      <w:r w:rsidRPr="00B346CD">
        <w:t xml:space="preserve">The system may be based on symbols, numbers, words, </w:t>
      </w:r>
      <w:proofErr w:type="spellStart"/>
      <w:r w:rsidRPr="00B346CD">
        <w:t>colours</w:t>
      </w:r>
      <w:proofErr w:type="spellEnd"/>
      <w:r w:rsidRPr="00B346CD">
        <w:t xml:space="preserve"> and/or quantifiable attributes of the food products, or combinations of these elements.</w:t>
      </w:r>
    </w:p>
    <w:p w:rsidR="00AA329C" w:rsidRPr="00B346CD" w:rsidRDefault="00AA329C" w:rsidP="00AA329C">
      <w:pPr>
        <w:numPr>
          <w:ilvl w:val="0"/>
          <w:numId w:val="9"/>
        </w:numPr>
        <w:autoSpaceDE w:val="0"/>
        <w:autoSpaceDN w:val="0"/>
        <w:adjustRightInd w:val="0"/>
      </w:pPr>
      <w:r w:rsidRPr="00B346CD">
        <w:t xml:space="preserve">The system should enable </w:t>
      </w:r>
      <w:r>
        <w:t>appropriate</w:t>
      </w:r>
      <w:r w:rsidRPr="00B346CD">
        <w:t xml:space="preserve"> comparisons between foods based on agreed </w:t>
      </w:r>
      <w:r>
        <w:t xml:space="preserve">and consistent </w:t>
      </w:r>
      <w:r w:rsidRPr="00B346CD">
        <w:t>measures.</w:t>
      </w:r>
    </w:p>
    <w:p w:rsidR="00AA329C" w:rsidRPr="00B346CD" w:rsidRDefault="00AA329C" w:rsidP="00AA329C">
      <w:pPr>
        <w:numPr>
          <w:ilvl w:val="0"/>
          <w:numId w:val="9"/>
        </w:numPr>
        <w:autoSpaceDE w:val="0"/>
        <w:autoSpaceDN w:val="0"/>
        <w:adjustRightInd w:val="0"/>
      </w:pPr>
      <w:r w:rsidRPr="00B346CD">
        <w:t>The system should be aligned with other food regulation, public health policies, and author</w:t>
      </w:r>
      <w:r w:rsidR="00D3270D">
        <w:t>it</w:t>
      </w:r>
      <w:r w:rsidRPr="00B346CD">
        <w:t>ative sources of dietary advice including:</w:t>
      </w:r>
    </w:p>
    <w:p w:rsidR="00AA329C" w:rsidRPr="00B13F2F" w:rsidRDefault="00AA329C" w:rsidP="00AA329C">
      <w:pPr>
        <w:numPr>
          <w:ilvl w:val="1"/>
          <w:numId w:val="9"/>
        </w:numPr>
        <w:autoSpaceDE w:val="0"/>
        <w:autoSpaceDN w:val="0"/>
        <w:adjustRightInd w:val="0"/>
      </w:pPr>
      <w:r>
        <w:t xml:space="preserve">Australian </w:t>
      </w:r>
      <w:r w:rsidRPr="00B13F2F">
        <w:t>Dietary guidelines</w:t>
      </w:r>
    </w:p>
    <w:p w:rsidR="00AA329C" w:rsidRPr="00B13F2F" w:rsidRDefault="00AA329C" w:rsidP="00AA329C">
      <w:pPr>
        <w:numPr>
          <w:ilvl w:val="1"/>
          <w:numId w:val="9"/>
        </w:numPr>
        <w:autoSpaceDE w:val="0"/>
        <w:autoSpaceDN w:val="0"/>
        <w:adjustRightInd w:val="0"/>
      </w:pPr>
      <w:r w:rsidRPr="00B13F2F">
        <w:lastRenderedPageBreak/>
        <w:t>Ministerial Guidelines and Statements</w:t>
      </w:r>
    </w:p>
    <w:p w:rsidR="00AA329C" w:rsidRPr="00B13F2F" w:rsidRDefault="00AA329C" w:rsidP="00AA329C">
      <w:pPr>
        <w:numPr>
          <w:ilvl w:val="1"/>
          <w:numId w:val="9"/>
        </w:numPr>
        <w:autoSpaceDE w:val="0"/>
        <w:autoSpaceDN w:val="0"/>
        <w:adjustRightInd w:val="0"/>
      </w:pPr>
      <w:r>
        <w:t>Nutrition, Health and Related claims regulations and industry codes</w:t>
      </w:r>
      <w:r w:rsidRPr="00B13F2F">
        <w:t>.</w:t>
      </w:r>
    </w:p>
    <w:p w:rsidR="00AA329C" w:rsidRPr="00B13F2F" w:rsidRDefault="00AA329C" w:rsidP="00AA329C">
      <w:pPr>
        <w:numPr>
          <w:ilvl w:val="0"/>
          <w:numId w:val="9"/>
        </w:numPr>
        <w:autoSpaceDE w:val="0"/>
        <w:autoSpaceDN w:val="0"/>
        <w:adjustRightInd w:val="0"/>
      </w:pPr>
      <w:r w:rsidRPr="00B13F2F">
        <w:t xml:space="preserve">The system should be based on elements that inform choice on balance by </w:t>
      </w:r>
      <w:r>
        <w:t>assessing</w:t>
      </w:r>
      <w:r w:rsidRPr="00B13F2F">
        <w:t xml:space="preserve"> both </w:t>
      </w:r>
      <w:r w:rsidRPr="00B346CD">
        <w:t>health-benefit and health-risk associated food</w:t>
      </w:r>
      <w:r>
        <w:t xml:space="preserve"> </w:t>
      </w:r>
      <w:r w:rsidRPr="00B13F2F">
        <w:t>components.</w:t>
      </w:r>
    </w:p>
    <w:p w:rsidR="00AA329C" w:rsidRPr="00B13F2F" w:rsidRDefault="00AA329C" w:rsidP="00AA329C">
      <w:pPr>
        <w:numPr>
          <w:ilvl w:val="0"/>
          <w:numId w:val="9"/>
        </w:numPr>
        <w:autoSpaceDE w:val="0"/>
        <w:autoSpaceDN w:val="0"/>
        <w:adjustRightInd w:val="0"/>
      </w:pPr>
      <w:r w:rsidRPr="00B13F2F">
        <w:t xml:space="preserve">The system should </w:t>
      </w:r>
      <w:r>
        <w:t xml:space="preserve">comprise </w:t>
      </w:r>
      <w:r w:rsidRPr="00B13F2F">
        <w:t xml:space="preserve">both the FoPL </w:t>
      </w:r>
      <w:r>
        <w:t xml:space="preserve">scheme </w:t>
      </w:r>
      <w:r w:rsidRPr="00B13F2F">
        <w:t xml:space="preserve">and </w:t>
      </w:r>
      <w:r>
        <w:t xml:space="preserve">consumer </w:t>
      </w:r>
      <w:r w:rsidRPr="00B13F2F">
        <w:t>education elements.</w:t>
      </w:r>
    </w:p>
    <w:p w:rsidR="00AA329C" w:rsidRPr="00B13F2F" w:rsidRDefault="00AA329C" w:rsidP="00AA329C">
      <w:pPr>
        <w:autoSpaceDE w:val="0"/>
        <w:autoSpaceDN w:val="0"/>
        <w:adjustRightInd w:val="0"/>
      </w:pPr>
      <w:r w:rsidRPr="00B13F2F">
        <w:t>Implementation</w:t>
      </w:r>
    </w:p>
    <w:p w:rsidR="00AA329C" w:rsidRPr="00B13F2F" w:rsidRDefault="00AA329C" w:rsidP="00AA329C">
      <w:pPr>
        <w:numPr>
          <w:ilvl w:val="0"/>
          <w:numId w:val="9"/>
        </w:numPr>
        <w:autoSpaceDE w:val="0"/>
        <w:autoSpaceDN w:val="0"/>
        <w:adjustRightInd w:val="0"/>
      </w:pPr>
      <w:r>
        <w:t>I</w:t>
      </w:r>
      <w:r w:rsidRPr="00B13F2F">
        <w:t>mplementation must be practical, widespread</w:t>
      </w:r>
      <w:r>
        <w:t>, properly resourced</w:t>
      </w:r>
      <w:r w:rsidRPr="00B13F2F">
        <w:t xml:space="preserve"> and consistent</w:t>
      </w:r>
      <w:r>
        <w:t xml:space="preserve"> with the agreed system</w:t>
      </w:r>
      <w:r w:rsidRPr="00B13F2F">
        <w:t>.</w:t>
      </w:r>
    </w:p>
    <w:p w:rsidR="00AA329C" w:rsidRPr="00B13F2F" w:rsidRDefault="00AA329C" w:rsidP="00AA329C">
      <w:pPr>
        <w:numPr>
          <w:ilvl w:val="0"/>
          <w:numId w:val="9"/>
        </w:numPr>
        <w:autoSpaceDE w:val="0"/>
        <w:autoSpaceDN w:val="0"/>
        <w:adjustRightInd w:val="0"/>
      </w:pPr>
      <w:r w:rsidRPr="00B13F2F">
        <w:t xml:space="preserve">The </w:t>
      </w:r>
      <w:r>
        <w:t xml:space="preserve">system must </w:t>
      </w:r>
      <w:r w:rsidRPr="00B13F2F">
        <w:t xml:space="preserve">include stakeholders in a </w:t>
      </w:r>
      <w:r>
        <w:t xml:space="preserve">formal and agreed </w:t>
      </w:r>
      <w:r w:rsidRPr="00B13F2F">
        <w:t>ongoing process of engagement.</w:t>
      </w:r>
    </w:p>
    <w:p w:rsidR="00AA329C" w:rsidRPr="00B13F2F" w:rsidRDefault="00AA329C" w:rsidP="00AA329C">
      <w:pPr>
        <w:numPr>
          <w:ilvl w:val="0"/>
          <w:numId w:val="9"/>
        </w:numPr>
        <w:autoSpaceDE w:val="0"/>
        <w:autoSpaceDN w:val="0"/>
        <w:adjustRightInd w:val="0"/>
      </w:pPr>
      <w:r w:rsidRPr="00B13F2F">
        <w:t>The</w:t>
      </w:r>
      <w:r>
        <w:t xml:space="preserve"> system </w:t>
      </w:r>
      <w:r w:rsidRPr="00B13F2F">
        <w:t xml:space="preserve">should be fully and effectively </w:t>
      </w:r>
      <w:r>
        <w:t xml:space="preserve">monitored and </w:t>
      </w:r>
      <w:r w:rsidRPr="00B13F2F">
        <w:t>evaluat</w:t>
      </w:r>
      <w:r>
        <w:t>ed</w:t>
      </w:r>
      <w:r w:rsidRPr="00B13F2F">
        <w:t xml:space="preserve"> both at a fixed time and on an ongoing basis, based on </w:t>
      </w:r>
      <w:r w:rsidRPr="00B346CD">
        <w:t>evidence, and against agreed performance indicators.</w:t>
      </w:r>
    </w:p>
    <w:p w:rsidR="00AA329C" w:rsidRDefault="00AA329C" w:rsidP="00AA329C">
      <w:pPr>
        <w:numPr>
          <w:ilvl w:val="0"/>
          <w:numId w:val="9"/>
        </w:numPr>
        <w:autoSpaceDE w:val="0"/>
        <w:autoSpaceDN w:val="0"/>
        <w:adjustRightInd w:val="0"/>
        <w:spacing w:after="240"/>
      </w:pPr>
      <w:r w:rsidRPr="00B13F2F">
        <w:t xml:space="preserve">Implementation should include </w:t>
      </w:r>
      <w:r>
        <w:t>a well-resourced, on-going social marketing program led by Government and supported by industry and the wider public health sector.</w:t>
      </w:r>
    </w:p>
    <w:p w:rsidR="00AA329C" w:rsidRPr="00AC6A7C" w:rsidRDefault="00AA329C" w:rsidP="00FF7F87">
      <w:pPr>
        <w:pStyle w:val="Head1"/>
      </w:pPr>
      <w:r>
        <w:br w:type="page"/>
      </w:r>
      <w:r w:rsidRPr="00AC6A7C">
        <w:lastRenderedPageBreak/>
        <w:t xml:space="preserve">Attachment </w:t>
      </w:r>
      <w:r w:rsidR="00AC6A7C" w:rsidRPr="00AC6A7C">
        <w:t>A</w:t>
      </w:r>
    </w:p>
    <w:p w:rsidR="00AA329C" w:rsidRDefault="00AA329C" w:rsidP="00AA329C">
      <w:pPr>
        <w:pStyle w:val="Default"/>
      </w:pPr>
    </w:p>
    <w:p w:rsidR="00AA329C" w:rsidRDefault="00AA329C" w:rsidP="00FF7F87">
      <w:pPr>
        <w:pStyle w:val="Head2"/>
      </w:pPr>
      <w:r>
        <w:t xml:space="preserve">AUSTRALIA AND NEW ZEALAND FOOD REGULATION MINISTERIAL COUNCIL </w:t>
      </w:r>
    </w:p>
    <w:p w:rsidR="00AA329C" w:rsidRDefault="00AA329C" w:rsidP="00FF7F87">
      <w:pPr>
        <w:jc w:val="center"/>
      </w:pPr>
      <w:r>
        <w:t>(Endorsed by Ministerial Council on 23 October 2009)</w:t>
      </w:r>
    </w:p>
    <w:p w:rsidR="00AA329C" w:rsidRDefault="00AA329C" w:rsidP="00FF7F87">
      <w:pPr>
        <w:pStyle w:val="Head3"/>
        <w:jc w:val="center"/>
      </w:pPr>
      <w:r>
        <w:t xml:space="preserve">Front of Pack </w:t>
      </w:r>
      <w:proofErr w:type="spellStart"/>
      <w:r>
        <w:t>Labelling</w:t>
      </w:r>
      <w:proofErr w:type="spellEnd"/>
      <w:r>
        <w:t xml:space="preserve"> Policy Statement</w:t>
      </w:r>
    </w:p>
    <w:p w:rsidR="00AA329C" w:rsidRPr="00903179" w:rsidRDefault="00AA329C" w:rsidP="00FF7F87">
      <w:r w:rsidRPr="00903179">
        <w:t xml:space="preserve">Australia and New Zealand’s health strategies stress the importance of a preventive population-based approach to promoting health and reducing the prevalence of diet related chronic disease. </w:t>
      </w:r>
    </w:p>
    <w:p w:rsidR="00AA329C" w:rsidRPr="00903179" w:rsidRDefault="00AA329C" w:rsidP="00AA329C">
      <w:pPr>
        <w:pStyle w:val="Default"/>
        <w:spacing w:after="120"/>
      </w:pPr>
      <w:r w:rsidRPr="00903179">
        <w:t xml:space="preserve">In addition to individual </w:t>
      </w:r>
      <w:proofErr w:type="spellStart"/>
      <w:r w:rsidRPr="00903179">
        <w:t>behavioural</w:t>
      </w:r>
      <w:proofErr w:type="spellEnd"/>
      <w:r w:rsidRPr="00903179">
        <w:t xml:space="preserve"> approaches, the strategies recommend changing the environment to make healthier choices easier choices for people and addressing the needs of diverse population groups. </w:t>
      </w:r>
    </w:p>
    <w:p w:rsidR="00AA329C" w:rsidRPr="00903179" w:rsidRDefault="00AA329C" w:rsidP="00AA329C">
      <w:pPr>
        <w:pStyle w:val="Default"/>
        <w:spacing w:after="120"/>
      </w:pPr>
      <w:r w:rsidRPr="00903179">
        <w:t xml:space="preserve">FOPL provides nutrition information to consumers on the front of packaged foods. FOPL is not a </w:t>
      </w:r>
      <w:proofErr w:type="spellStart"/>
      <w:r w:rsidRPr="00903179">
        <w:t>stand alone</w:t>
      </w:r>
      <w:proofErr w:type="spellEnd"/>
      <w:r w:rsidRPr="00903179">
        <w:t xml:space="preserve"> strategy but can fit within the contex</w:t>
      </w:r>
      <w:r w:rsidR="00FF7F87">
        <w:t>t of broader health strategies.</w:t>
      </w:r>
    </w:p>
    <w:p w:rsidR="00AA329C" w:rsidRPr="00903179" w:rsidRDefault="00AA329C" w:rsidP="00AA329C">
      <w:pPr>
        <w:pStyle w:val="Default"/>
        <w:spacing w:after="120"/>
      </w:pPr>
      <w:r w:rsidRPr="00903179">
        <w:t xml:space="preserve">There are indications that FOPL can contribute to consumer understanding of the nutritional content of foods and make it easier for consumers to make healthy choices. FOPL can additionally be used as a marketing incentive to drive the market towards the development of healthier products. </w:t>
      </w:r>
    </w:p>
    <w:p w:rsidR="00AA329C" w:rsidRPr="00903179" w:rsidRDefault="00AA329C" w:rsidP="00AA329C">
      <w:pPr>
        <w:pStyle w:val="Default"/>
        <w:spacing w:after="120"/>
      </w:pPr>
      <w:r w:rsidRPr="00903179">
        <w:t xml:space="preserve">A FOPL scheme is a scheme that can guide consumer choice towards healthier food options and aims to: </w:t>
      </w:r>
    </w:p>
    <w:p w:rsidR="00AA329C" w:rsidRPr="00903179" w:rsidRDefault="00AA329C" w:rsidP="00AA329C">
      <w:pPr>
        <w:pStyle w:val="Default"/>
        <w:spacing w:after="60"/>
        <w:ind w:left="540"/>
      </w:pPr>
      <w:r w:rsidRPr="00903179">
        <w:t xml:space="preserve">Guide consumer choice by: </w:t>
      </w:r>
    </w:p>
    <w:p w:rsidR="00AA329C" w:rsidRPr="00903179" w:rsidRDefault="00AA329C" w:rsidP="00AA329C">
      <w:pPr>
        <w:pStyle w:val="Default"/>
        <w:spacing w:after="60"/>
        <w:ind w:left="900" w:hanging="360"/>
      </w:pPr>
      <w:r w:rsidRPr="00903179">
        <w:t xml:space="preserve">1. Enabling direct comparison between individual foods that, within the overall diet, may contribute to the risk factors of various diet related chronic diseases. </w:t>
      </w:r>
    </w:p>
    <w:p w:rsidR="00AA329C" w:rsidRPr="00903179" w:rsidRDefault="00AA329C" w:rsidP="00AA329C">
      <w:pPr>
        <w:pStyle w:val="Default"/>
        <w:spacing w:after="60"/>
        <w:ind w:left="900" w:hanging="360"/>
      </w:pPr>
      <w:r w:rsidRPr="00903179">
        <w:t xml:space="preserve">2. </w:t>
      </w:r>
      <w:proofErr w:type="gramStart"/>
      <w:r w:rsidRPr="00903179">
        <w:t>Being</w:t>
      </w:r>
      <w:proofErr w:type="gramEnd"/>
      <w:r w:rsidRPr="00903179">
        <w:t xml:space="preserve"> readily understandable and meaningful across socio-economic groups, culturally and linguistically diverse groups and low literacy/low numeracy groups. </w:t>
      </w:r>
    </w:p>
    <w:p w:rsidR="00AA329C" w:rsidRPr="00903179" w:rsidRDefault="00AA329C" w:rsidP="00AA329C">
      <w:pPr>
        <w:pStyle w:val="Default"/>
        <w:spacing w:after="60"/>
        <w:ind w:left="900" w:hanging="360"/>
      </w:pPr>
      <w:r w:rsidRPr="00903179">
        <w:t xml:space="preserve">3. Increasing awareness of foods that, within the overall diet, may contribute positively or negatively to the risk factors of diet related chronic diseases. </w:t>
      </w:r>
    </w:p>
    <w:p w:rsidR="00AA329C" w:rsidRPr="00903179" w:rsidRDefault="00AA329C" w:rsidP="00FF7F87">
      <w:r w:rsidRPr="00903179">
        <w:t xml:space="preserve">Be consistent with other health strategies and guidelines by: </w:t>
      </w:r>
    </w:p>
    <w:p w:rsidR="00AA329C" w:rsidRPr="00903179" w:rsidRDefault="00AA329C" w:rsidP="00AA329C">
      <w:pPr>
        <w:pStyle w:val="Default"/>
        <w:spacing w:after="60"/>
        <w:ind w:left="900" w:hanging="360"/>
      </w:pPr>
      <w:r w:rsidRPr="00903179">
        <w:t xml:space="preserve">4. Supporting and being consistent with the objectives of programs and strategies designed to reduce the risk of diet related chronic diseases. </w:t>
      </w:r>
    </w:p>
    <w:p w:rsidR="00AA329C" w:rsidRPr="00903179" w:rsidRDefault="00AA329C" w:rsidP="00AA329C">
      <w:pPr>
        <w:pStyle w:val="Default"/>
        <w:spacing w:after="60"/>
        <w:ind w:left="900" w:hanging="360"/>
      </w:pPr>
      <w:r w:rsidRPr="00903179">
        <w:t xml:space="preserve">5. Guiding consumers to the selection of foods consistent with the </w:t>
      </w:r>
      <w:smartTag w:uri="urn:schemas-microsoft-com:office:smarttags" w:element="country-region">
        <w:r w:rsidRPr="00903179">
          <w:t>Australia</w:t>
        </w:r>
      </w:smartTag>
      <w:r w:rsidRPr="00903179">
        <w:t xml:space="preserve"> and </w:t>
      </w:r>
      <w:smartTag w:uri="urn:schemas-microsoft-com:office:smarttags" w:element="place">
        <w:smartTag w:uri="urn:schemas-microsoft-com:office:smarttags" w:element="State">
          <w:smartTag w:uri="urn:schemas-microsoft-com:office:smarttags" w:element="country-region">
            <w:r w:rsidRPr="00903179">
              <w:t>New Zealand</w:t>
            </w:r>
          </w:smartTag>
        </w:smartTag>
      </w:smartTag>
      <w:r w:rsidRPr="00903179">
        <w:t xml:space="preserve"> dietary guidelines </w:t>
      </w:r>
    </w:p>
    <w:p w:rsidR="00AA329C" w:rsidRPr="00903179" w:rsidRDefault="00AA329C" w:rsidP="00AA329C">
      <w:pPr>
        <w:pStyle w:val="Default"/>
        <w:spacing w:after="60"/>
        <w:ind w:left="900" w:hanging="360"/>
      </w:pPr>
      <w:r w:rsidRPr="00903179">
        <w:t xml:space="preserve">6. Supporting and being consistent with the </w:t>
      </w:r>
      <w:smartTag w:uri="urn:schemas-microsoft-com:office:smarttags" w:element="country-region">
        <w:r w:rsidRPr="00903179">
          <w:t>Australia</w:t>
        </w:r>
      </w:smartTag>
      <w:r w:rsidRPr="00903179">
        <w:t xml:space="preserve"> and </w:t>
      </w:r>
      <w:smartTag w:uri="urn:schemas-microsoft-com:office:smarttags" w:element="place">
        <w:smartTag w:uri="urn:schemas-microsoft-com:office:smarttags" w:element="State">
          <w:smartTag w:uri="urn:schemas-microsoft-com:office:smarttags" w:element="country-region">
            <w:r w:rsidRPr="00903179">
              <w:t>New Zealand</w:t>
            </w:r>
          </w:smartTag>
        </w:smartTag>
      </w:smartTag>
      <w:r w:rsidRPr="00903179">
        <w:t xml:space="preserve"> dietary guidelines and Nutrient Reference Values </w:t>
      </w:r>
    </w:p>
    <w:p w:rsidR="00AA329C" w:rsidRPr="00903179" w:rsidRDefault="00AA329C" w:rsidP="00FF7F87">
      <w:r w:rsidRPr="00903179">
        <w:t xml:space="preserve">Affect the environment in which consumers make choices by: </w:t>
      </w:r>
    </w:p>
    <w:p w:rsidR="00AA329C" w:rsidRPr="00903179" w:rsidRDefault="00AA329C" w:rsidP="00AA329C">
      <w:pPr>
        <w:pStyle w:val="Default"/>
        <w:spacing w:after="60"/>
        <w:ind w:left="900" w:hanging="360"/>
      </w:pPr>
      <w:r w:rsidRPr="00903179">
        <w:t xml:space="preserve">7. Contributing to the creation of a supportive environment that can guide consumer choice towards healthier foods within the overall diet. </w:t>
      </w:r>
    </w:p>
    <w:p w:rsidR="00A00EC2" w:rsidRPr="00EA44CA" w:rsidRDefault="00AA329C" w:rsidP="00AC6A7C">
      <w:pPr>
        <w:pStyle w:val="Default"/>
        <w:spacing w:after="60"/>
        <w:ind w:left="900" w:hanging="360"/>
      </w:pPr>
      <w:r w:rsidRPr="00903179">
        <w:t>8. Providing incentive for improvements to the healthiness of the food supply</w:t>
      </w:r>
      <w:r w:rsidR="00AC6A7C">
        <w:t>.</w:t>
      </w:r>
    </w:p>
    <w:sectPr w:rsidR="00A00EC2" w:rsidRPr="00EA44CA" w:rsidSect="00FF7F8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4F1" w:rsidRDefault="006A54F1" w:rsidP="00AA329C">
      <w:r>
        <w:separator/>
      </w:r>
    </w:p>
  </w:endnote>
  <w:endnote w:type="continuationSeparator" w:id="0">
    <w:p w:rsidR="006A54F1" w:rsidRDefault="006A54F1" w:rsidP="00AA3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4F1" w:rsidRDefault="006A54F1" w:rsidP="00AA329C">
      <w:r>
        <w:separator/>
      </w:r>
    </w:p>
  </w:footnote>
  <w:footnote w:type="continuationSeparator" w:id="0">
    <w:p w:rsidR="006A54F1" w:rsidRDefault="006A54F1" w:rsidP="00AA329C">
      <w:r>
        <w:continuationSeparator/>
      </w:r>
    </w:p>
  </w:footnote>
  <w:footnote w:id="1">
    <w:p w:rsidR="00AA329C" w:rsidRPr="00AC6A7C" w:rsidRDefault="00AA329C" w:rsidP="00FF7F87">
      <w:pPr>
        <w:pStyle w:val="FootnoteText"/>
        <w:rPr>
          <w:b/>
        </w:rPr>
      </w:pPr>
      <w:r w:rsidRPr="004F1C31">
        <w:rPr>
          <w:rStyle w:val="FootnoteReference"/>
        </w:rPr>
        <w:footnoteRef/>
      </w:r>
      <w:r w:rsidRPr="004F1C31">
        <w:t xml:space="preserve"> </w:t>
      </w:r>
      <w:r w:rsidRPr="00AC6A7C">
        <w:t xml:space="preserve">Legislative and Governance Forum on Food Regulation (convening as the Australia and New Zealand Food Regulation Ministerial Council) Response to the Recommendations of </w:t>
      </w:r>
      <w:r w:rsidRPr="00AC6A7C">
        <w:rPr>
          <w:i/>
        </w:rPr>
        <w:t>Labelling Logic</w:t>
      </w:r>
      <w:r w:rsidRPr="00AC6A7C">
        <w:t xml:space="preserve">: </w:t>
      </w:r>
      <w:r w:rsidRPr="00AC6A7C">
        <w:rPr>
          <w:i/>
        </w:rPr>
        <w:t>Review of Food Labelling Law and Policy (2011); Page</w:t>
      </w:r>
      <w:r w:rsidR="00AC6A7C">
        <w:rPr>
          <w:i/>
        </w:rPr>
        <w:t xml:space="preserve"> </w:t>
      </w:r>
      <w:r w:rsidRPr="00AC6A7C">
        <w:rPr>
          <w:i/>
        </w:rPr>
        <w:t xml:space="preserve">8 </w:t>
      </w:r>
    </w:p>
  </w:footnote>
  <w:footnote w:id="2">
    <w:p w:rsidR="00AA329C" w:rsidRPr="00AC6A7C" w:rsidRDefault="00AA329C" w:rsidP="00FF7F87">
      <w:pPr>
        <w:pStyle w:val="FootnoteText"/>
        <w:rPr>
          <w:b/>
        </w:rPr>
      </w:pPr>
      <w:r w:rsidRPr="00AC6A7C">
        <w:rPr>
          <w:rStyle w:val="FootnoteReference"/>
        </w:rPr>
        <w:footnoteRef/>
      </w:r>
      <w:r w:rsidRPr="00AC6A7C">
        <w:t xml:space="preserve"> Above, n1; </w:t>
      </w:r>
      <w:r w:rsidRPr="00AC6A7C">
        <w:rPr>
          <w:i/>
        </w:rPr>
        <w:t>Page 52</w:t>
      </w:r>
    </w:p>
  </w:footnote>
  <w:footnote w:id="3">
    <w:p w:rsidR="00AA329C" w:rsidRDefault="00AA329C" w:rsidP="008771A0">
      <w:pPr>
        <w:pStyle w:val="FootnoteText"/>
      </w:pPr>
      <w:r w:rsidRPr="00AC6A7C">
        <w:rPr>
          <w:rStyle w:val="FootnoteReference"/>
        </w:rPr>
        <w:footnoteRef/>
      </w:r>
      <w:r w:rsidRPr="00AC6A7C">
        <w:t xml:space="preserve"> Above, n1; </w:t>
      </w:r>
      <w:r w:rsidRPr="00AC6A7C">
        <w:rPr>
          <w:i/>
        </w:rPr>
        <w:t>Page 52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F4B21"/>
    <w:multiLevelType w:val="hybridMultilevel"/>
    <w:tmpl w:val="C0A87F34"/>
    <w:lvl w:ilvl="0" w:tplc="4600E118">
      <w:start w:val="1"/>
      <w:numFmt w:val="bullet"/>
      <w:lvlText w:val=""/>
      <w:lvlJc w:val="left"/>
      <w:pPr>
        <w:tabs>
          <w:tab w:val="num" w:pos="360"/>
        </w:tabs>
        <w:ind w:left="360" w:hanging="360"/>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11DC5A26"/>
    <w:multiLevelType w:val="hybridMultilevel"/>
    <w:tmpl w:val="3B745A0A"/>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645771B"/>
    <w:multiLevelType w:val="hybridMultilevel"/>
    <w:tmpl w:val="34D8A976"/>
    <w:lvl w:ilvl="0" w:tplc="0409000F">
      <w:start w:val="1"/>
      <w:numFmt w:val="decimal"/>
      <w:lvlText w:val="%1."/>
      <w:lvlJc w:val="left"/>
      <w:pPr>
        <w:tabs>
          <w:tab w:val="num" w:pos="780"/>
        </w:tabs>
        <w:ind w:left="780" w:hanging="360"/>
      </w:pPr>
    </w:lvl>
    <w:lvl w:ilvl="1" w:tplc="04090019">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
    <w:nsid w:val="47D617EF"/>
    <w:multiLevelType w:val="hybridMultilevel"/>
    <w:tmpl w:val="8496F72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5F725DC1"/>
    <w:multiLevelType w:val="hybridMultilevel"/>
    <w:tmpl w:val="FE48C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05E3E79"/>
    <w:multiLevelType w:val="hybridMultilevel"/>
    <w:tmpl w:val="F4DE850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659960DC"/>
    <w:multiLevelType w:val="hybridMultilevel"/>
    <w:tmpl w:val="DDBE4966"/>
    <w:lvl w:ilvl="0" w:tplc="0C09000F">
      <w:start w:val="1"/>
      <w:numFmt w:val="decimal"/>
      <w:lvlText w:val="%1."/>
      <w:lvlJc w:val="left"/>
      <w:pPr>
        <w:tabs>
          <w:tab w:val="num" w:pos="360"/>
        </w:tabs>
        <w:ind w:left="360" w:hanging="360"/>
      </w:pPr>
      <w:rPr>
        <w:rFonts w:hint="default"/>
      </w:rPr>
    </w:lvl>
    <w:lvl w:ilvl="1" w:tplc="08C2796E">
      <w:start w:val="1"/>
      <w:numFmt w:val="lowerRoman"/>
      <w:lvlText w:val="(%2)"/>
      <w:lvlJc w:val="left"/>
      <w:pPr>
        <w:tabs>
          <w:tab w:val="num" w:pos="1440"/>
        </w:tabs>
        <w:ind w:left="1440" w:hanging="720"/>
      </w:pPr>
      <w:rPr>
        <w:rFont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7">
    <w:nsid w:val="68FD100D"/>
    <w:multiLevelType w:val="hybridMultilevel"/>
    <w:tmpl w:val="D112551C"/>
    <w:lvl w:ilvl="0" w:tplc="6D2CA790">
      <w:start w:val="1"/>
      <w:numFmt w:val="decimal"/>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D4B1E94"/>
    <w:multiLevelType w:val="hybridMultilevel"/>
    <w:tmpl w:val="7BBA1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4"/>
  </w:num>
  <w:num w:numId="4">
    <w:abstractNumId w:val="5"/>
  </w:num>
  <w:num w:numId="5">
    <w:abstractNumId w:val="7"/>
  </w:num>
  <w:num w:numId="6">
    <w:abstractNumId w:val="6"/>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A81"/>
    <w:rsid w:val="00003743"/>
    <w:rsid w:val="00036849"/>
    <w:rsid w:val="00067456"/>
    <w:rsid w:val="000A1ED8"/>
    <w:rsid w:val="000F6A69"/>
    <w:rsid w:val="001171AC"/>
    <w:rsid w:val="0011734D"/>
    <w:rsid w:val="001420CB"/>
    <w:rsid w:val="00142A27"/>
    <w:rsid w:val="00184A7F"/>
    <w:rsid w:val="001A7654"/>
    <w:rsid w:val="001B3443"/>
    <w:rsid w:val="001E3656"/>
    <w:rsid w:val="002045BA"/>
    <w:rsid w:val="00274E9F"/>
    <w:rsid w:val="002846DA"/>
    <w:rsid w:val="00291A5A"/>
    <w:rsid w:val="002A2D32"/>
    <w:rsid w:val="002A4892"/>
    <w:rsid w:val="002D3F87"/>
    <w:rsid w:val="002F3AE3"/>
    <w:rsid w:val="002F550A"/>
    <w:rsid w:val="0030439A"/>
    <w:rsid w:val="0030786C"/>
    <w:rsid w:val="00326CC8"/>
    <w:rsid w:val="00341D94"/>
    <w:rsid w:val="003A5D15"/>
    <w:rsid w:val="003D17F9"/>
    <w:rsid w:val="003E45C4"/>
    <w:rsid w:val="00413D92"/>
    <w:rsid w:val="004867E2"/>
    <w:rsid w:val="004C07B0"/>
    <w:rsid w:val="004D6601"/>
    <w:rsid w:val="004E1DD5"/>
    <w:rsid w:val="005074BA"/>
    <w:rsid w:val="005856D2"/>
    <w:rsid w:val="00590956"/>
    <w:rsid w:val="005C0083"/>
    <w:rsid w:val="005E033F"/>
    <w:rsid w:val="005E798F"/>
    <w:rsid w:val="00650BBD"/>
    <w:rsid w:val="006551BF"/>
    <w:rsid w:val="0067239D"/>
    <w:rsid w:val="006A54F1"/>
    <w:rsid w:val="007438F0"/>
    <w:rsid w:val="00744DB1"/>
    <w:rsid w:val="00797BDA"/>
    <w:rsid w:val="007B1975"/>
    <w:rsid w:val="007C4A50"/>
    <w:rsid w:val="008264EB"/>
    <w:rsid w:val="008406B1"/>
    <w:rsid w:val="008771A0"/>
    <w:rsid w:val="008906FC"/>
    <w:rsid w:val="008D2A73"/>
    <w:rsid w:val="008D6CDD"/>
    <w:rsid w:val="00944484"/>
    <w:rsid w:val="00967C21"/>
    <w:rsid w:val="009A0C1C"/>
    <w:rsid w:val="009A5DA3"/>
    <w:rsid w:val="009C1330"/>
    <w:rsid w:val="00A00EC2"/>
    <w:rsid w:val="00A4512D"/>
    <w:rsid w:val="00A705AF"/>
    <w:rsid w:val="00AA329C"/>
    <w:rsid w:val="00AC6A7C"/>
    <w:rsid w:val="00B42851"/>
    <w:rsid w:val="00BC2FF9"/>
    <w:rsid w:val="00BF7D19"/>
    <w:rsid w:val="00C11DCF"/>
    <w:rsid w:val="00C25397"/>
    <w:rsid w:val="00C44F7E"/>
    <w:rsid w:val="00C84B0E"/>
    <w:rsid w:val="00CA3D05"/>
    <w:rsid w:val="00CB5B1A"/>
    <w:rsid w:val="00CE07AF"/>
    <w:rsid w:val="00D3270D"/>
    <w:rsid w:val="00D603EF"/>
    <w:rsid w:val="00D946EE"/>
    <w:rsid w:val="00DE4801"/>
    <w:rsid w:val="00E135B6"/>
    <w:rsid w:val="00E26A81"/>
    <w:rsid w:val="00E77D3B"/>
    <w:rsid w:val="00E83FF8"/>
    <w:rsid w:val="00EA44CA"/>
    <w:rsid w:val="00EF6F51"/>
    <w:rsid w:val="00FA6993"/>
    <w:rsid w:val="00FF7F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7F87"/>
    <w:pPr>
      <w:spacing w:before="120" w:after="120"/>
    </w:pPr>
    <w:rPr>
      <w:sz w:val="24"/>
      <w:szCs w:val="24"/>
      <w:lang w:val="en-US" w:eastAsia="en-US"/>
    </w:rPr>
  </w:style>
  <w:style w:type="paragraph" w:styleId="Heading1">
    <w:name w:val="heading 1"/>
    <w:basedOn w:val="Normal"/>
    <w:next w:val="Normal"/>
    <w:qFormat/>
    <w:rsid w:val="00FF7F87"/>
    <w:pPr>
      <w:keepNext/>
      <w:outlineLvl w:val="0"/>
    </w:pPr>
    <w:rPr>
      <w:i/>
    </w:rPr>
  </w:style>
  <w:style w:type="paragraph" w:styleId="Heading2">
    <w:name w:val="heading 2"/>
    <w:basedOn w:val="Normal"/>
    <w:next w:val="Normal"/>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FF7F87"/>
    <w:pPr>
      <w:spacing w:before="240" w:after="240"/>
      <w:jc w:val="center"/>
    </w:pPr>
    <w:rPr>
      <w:b/>
      <w:sz w:val="28"/>
    </w:rPr>
  </w:style>
  <w:style w:type="character" w:customStyle="1" w:styleId="TitleChar">
    <w:name w:val="Title Char"/>
    <w:basedOn w:val="DefaultParagraphFont"/>
    <w:link w:val="Title"/>
    <w:rsid w:val="00FF7F87"/>
    <w:rPr>
      <w:b/>
      <w:sz w:val="28"/>
      <w:szCs w:val="24"/>
      <w:lang w:val="en-US"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basedOn w:val="Normal"/>
    <w:uiPriority w:val="34"/>
    <w:qFormat/>
    <w:rsid w:val="00A4512D"/>
    <w:pPr>
      <w:ind w:left="720"/>
      <w:contextualSpacing/>
    </w:pPr>
  </w:style>
  <w:style w:type="paragraph" w:customStyle="1" w:styleId="FRSCBullet">
    <w:name w:val="FRSC Bullet"/>
    <w:basedOn w:val="Normal"/>
    <w:rsid w:val="00E26A81"/>
    <w:pPr>
      <w:tabs>
        <w:tab w:val="num" w:pos="426"/>
      </w:tabs>
      <w:ind w:left="426" w:hanging="426"/>
    </w:pPr>
    <w:rPr>
      <w:lang w:val="en-AU" w:eastAsia="en-AU"/>
    </w:rPr>
  </w:style>
  <w:style w:type="paragraph" w:styleId="BodyText">
    <w:name w:val="Body Text"/>
    <w:basedOn w:val="Normal"/>
    <w:link w:val="BodyTextChar"/>
    <w:uiPriority w:val="1"/>
    <w:qFormat/>
    <w:rsid w:val="00E26A81"/>
    <w:pPr>
      <w:widowControl w:val="0"/>
      <w:ind w:left="120"/>
    </w:pPr>
    <w:rPr>
      <w:rFonts w:cstheme="minorBidi"/>
    </w:rPr>
  </w:style>
  <w:style w:type="character" w:customStyle="1" w:styleId="BodyTextChar">
    <w:name w:val="Body Text Char"/>
    <w:basedOn w:val="DefaultParagraphFont"/>
    <w:link w:val="BodyText"/>
    <w:uiPriority w:val="1"/>
    <w:rsid w:val="00E26A81"/>
    <w:rPr>
      <w:rFonts w:cstheme="minorBidi"/>
      <w:sz w:val="24"/>
      <w:szCs w:val="24"/>
      <w:lang w:val="en-US" w:eastAsia="en-US"/>
    </w:rPr>
  </w:style>
  <w:style w:type="paragraph" w:styleId="BalloonText">
    <w:name w:val="Balloon Text"/>
    <w:basedOn w:val="Normal"/>
    <w:link w:val="BalloonTextChar"/>
    <w:rsid w:val="004C07B0"/>
    <w:rPr>
      <w:rFonts w:ascii="Tahoma" w:hAnsi="Tahoma" w:cs="Tahoma"/>
      <w:sz w:val="16"/>
      <w:szCs w:val="16"/>
    </w:rPr>
  </w:style>
  <w:style w:type="character" w:customStyle="1" w:styleId="BalloonTextChar">
    <w:name w:val="Balloon Text Char"/>
    <w:basedOn w:val="DefaultParagraphFont"/>
    <w:link w:val="BalloonText"/>
    <w:rsid w:val="004C07B0"/>
    <w:rPr>
      <w:rFonts w:ascii="Tahoma" w:hAnsi="Tahoma" w:cs="Tahoma"/>
      <w:sz w:val="16"/>
      <w:szCs w:val="16"/>
      <w:lang w:val="en-US" w:eastAsia="en-US"/>
    </w:rPr>
  </w:style>
  <w:style w:type="character" w:styleId="CommentReference">
    <w:name w:val="annotation reference"/>
    <w:basedOn w:val="DefaultParagraphFont"/>
    <w:rsid w:val="008906FC"/>
    <w:rPr>
      <w:sz w:val="16"/>
      <w:szCs w:val="16"/>
    </w:rPr>
  </w:style>
  <w:style w:type="paragraph" w:styleId="CommentText">
    <w:name w:val="annotation text"/>
    <w:basedOn w:val="Normal"/>
    <w:link w:val="CommentTextChar"/>
    <w:rsid w:val="008906FC"/>
    <w:rPr>
      <w:sz w:val="20"/>
      <w:szCs w:val="20"/>
    </w:rPr>
  </w:style>
  <w:style w:type="character" w:customStyle="1" w:styleId="CommentTextChar">
    <w:name w:val="Comment Text Char"/>
    <w:basedOn w:val="DefaultParagraphFont"/>
    <w:link w:val="CommentText"/>
    <w:rsid w:val="008906FC"/>
    <w:rPr>
      <w:lang w:val="en-US" w:eastAsia="en-US"/>
    </w:rPr>
  </w:style>
  <w:style w:type="paragraph" w:styleId="CommentSubject">
    <w:name w:val="annotation subject"/>
    <w:basedOn w:val="CommentText"/>
    <w:next w:val="CommentText"/>
    <w:link w:val="CommentSubjectChar"/>
    <w:rsid w:val="008906FC"/>
    <w:rPr>
      <w:b/>
      <w:bCs/>
    </w:rPr>
  </w:style>
  <w:style w:type="character" w:customStyle="1" w:styleId="CommentSubjectChar">
    <w:name w:val="Comment Subject Char"/>
    <w:basedOn w:val="CommentTextChar"/>
    <w:link w:val="CommentSubject"/>
    <w:rsid w:val="008906FC"/>
    <w:rPr>
      <w:b/>
      <w:bCs/>
      <w:lang w:val="en-US" w:eastAsia="en-US"/>
    </w:rPr>
  </w:style>
  <w:style w:type="paragraph" w:customStyle="1" w:styleId="Default">
    <w:name w:val="Default"/>
    <w:rsid w:val="00AA329C"/>
    <w:pPr>
      <w:autoSpaceDE w:val="0"/>
      <w:autoSpaceDN w:val="0"/>
      <w:adjustRightInd w:val="0"/>
    </w:pPr>
    <w:rPr>
      <w:color w:val="000000"/>
      <w:sz w:val="24"/>
      <w:szCs w:val="24"/>
      <w:lang w:val="en-US" w:eastAsia="en-US"/>
    </w:rPr>
  </w:style>
  <w:style w:type="paragraph" w:styleId="FootnoteText">
    <w:name w:val="footnote text"/>
    <w:basedOn w:val="Normal"/>
    <w:link w:val="FootnoteTextChar"/>
    <w:rsid w:val="00AA329C"/>
    <w:rPr>
      <w:sz w:val="20"/>
      <w:szCs w:val="20"/>
      <w:lang w:val="en-AU" w:eastAsia="en-AU"/>
    </w:rPr>
  </w:style>
  <w:style w:type="character" w:customStyle="1" w:styleId="FootnoteTextChar">
    <w:name w:val="Footnote Text Char"/>
    <w:basedOn w:val="DefaultParagraphFont"/>
    <w:link w:val="FootnoteText"/>
    <w:rsid w:val="00AA329C"/>
  </w:style>
  <w:style w:type="character" w:styleId="FootnoteReference">
    <w:name w:val="footnote reference"/>
    <w:rsid w:val="00AA329C"/>
    <w:rPr>
      <w:vertAlign w:val="superscript"/>
    </w:rPr>
  </w:style>
  <w:style w:type="paragraph" w:customStyle="1" w:styleId="Head1">
    <w:name w:val="Head1"/>
    <w:basedOn w:val="Heading1"/>
    <w:qFormat/>
    <w:rsid w:val="00FF7F87"/>
    <w:pPr>
      <w:spacing w:before="240"/>
      <w:jc w:val="right"/>
    </w:pPr>
    <w:rPr>
      <w:b/>
      <w:i w:val="0"/>
    </w:rPr>
  </w:style>
  <w:style w:type="paragraph" w:customStyle="1" w:styleId="Head2">
    <w:name w:val="Head2"/>
    <w:basedOn w:val="Head1"/>
    <w:next w:val="Normal"/>
    <w:qFormat/>
    <w:rsid w:val="00FF7F87"/>
    <w:pPr>
      <w:spacing w:before="120"/>
      <w:jc w:val="center"/>
      <w:outlineLvl w:val="1"/>
    </w:pPr>
  </w:style>
  <w:style w:type="paragraph" w:customStyle="1" w:styleId="Head3">
    <w:name w:val="Head3"/>
    <w:basedOn w:val="Head2"/>
    <w:next w:val="Normal"/>
    <w:qFormat/>
    <w:rsid w:val="00FF7F87"/>
    <w:pPr>
      <w:jc w:val="left"/>
      <w:outlineLvl w:val="2"/>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7F87"/>
    <w:pPr>
      <w:spacing w:before="120" w:after="120"/>
    </w:pPr>
    <w:rPr>
      <w:sz w:val="24"/>
      <w:szCs w:val="24"/>
      <w:lang w:val="en-US" w:eastAsia="en-US"/>
    </w:rPr>
  </w:style>
  <w:style w:type="paragraph" w:styleId="Heading1">
    <w:name w:val="heading 1"/>
    <w:basedOn w:val="Normal"/>
    <w:next w:val="Normal"/>
    <w:qFormat/>
    <w:rsid w:val="00FF7F87"/>
    <w:pPr>
      <w:keepNext/>
      <w:outlineLvl w:val="0"/>
    </w:pPr>
    <w:rPr>
      <w:i/>
    </w:rPr>
  </w:style>
  <w:style w:type="paragraph" w:styleId="Heading2">
    <w:name w:val="heading 2"/>
    <w:basedOn w:val="Normal"/>
    <w:next w:val="Normal"/>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FF7F87"/>
    <w:pPr>
      <w:spacing w:before="240" w:after="240"/>
      <w:jc w:val="center"/>
    </w:pPr>
    <w:rPr>
      <w:b/>
      <w:sz w:val="28"/>
    </w:rPr>
  </w:style>
  <w:style w:type="character" w:customStyle="1" w:styleId="TitleChar">
    <w:name w:val="Title Char"/>
    <w:basedOn w:val="DefaultParagraphFont"/>
    <w:link w:val="Title"/>
    <w:rsid w:val="00FF7F87"/>
    <w:rPr>
      <w:b/>
      <w:sz w:val="28"/>
      <w:szCs w:val="24"/>
      <w:lang w:val="en-US"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basedOn w:val="Normal"/>
    <w:uiPriority w:val="34"/>
    <w:qFormat/>
    <w:rsid w:val="00A4512D"/>
    <w:pPr>
      <w:ind w:left="720"/>
      <w:contextualSpacing/>
    </w:pPr>
  </w:style>
  <w:style w:type="paragraph" w:customStyle="1" w:styleId="FRSCBullet">
    <w:name w:val="FRSC Bullet"/>
    <w:basedOn w:val="Normal"/>
    <w:rsid w:val="00E26A81"/>
    <w:pPr>
      <w:tabs>
        <w:tab w:val="num" w:pos="426"/>
      </w:tabs>
      <w:ind w:left="426" w:hanging="426"/>
    </w:pPr>
    <w:rPr>
      <w:lang w:val="en-AU" w:eastAsia="en-AU"/>
    </w:rPr>
  </w:style>
  <w:style w:type="paragraph" w:styleId="BodyText">
    <w:name w:val="Body Text"/>
    <w:basedOn w:val="Normal"/>
    <w:link w:val="BodyTextChar"/>
    <w:uiPriority w:val="1"/>
    <w:qFormat/>
    <w:rsid w:val="00E26A81"/>
    <w:pPr>
      <w:widowControl w:val="0"/>
      <w:ind w:left="120"/>
    </w:pPr>
    <w:rPr>
      <w:rFonts w:cstheme="minorBidi"/>
    </w:rPr>
  </w:style>
  <w:style w:type="character" w:customStyle="1" w:styleId="BodyTextChar">
    <w:name w:val="Body Text Char"/>
    <w:basedOn w:val="DefaultParagraphFont"/>
    <w:link w:val="BodyText"/>
    <w:uiPriority w:val="1"/>
    <w:rsid w:val="00E26A81"/>
    <w:rPr>
      <w:rFonts w:cstheme="minorBidi"/>
      <w:sz w:val="24"/>
      <w:szCs w:val="24"/>
      <w:lang w:val="en-US" w:eastAsia="en-US"/>
    </w:rPr>
  </w:style>
  <w:style w:type="paragraph" w:styleId="BalloonText">
    <w:name w:val="Balloon Text"/>
    <w:basedOn w:val="Normal"/>
    <w:link w:val="BalloonTextChar"/>
    <w:rsid w:val="004C07B0"/>
    <w:rPr>
      <w:rFonts w:ascii="Tahoma" w:hAnsi="Tahoma" w:cs="Tahoma"/>
      <w:sz w:val="16"/>
      <w:szCs w:val="16"/>
    </w:rPr>
  </w:style>
  <w:style w:type="character" w:customStyle="1" w:styleId="BalloonTextChar">
    <w:name w:val="Balloon Text Char"/>
    <w:basedOn w:val="DefaultParagraphFont"/>
    <w:link w:val="BalloonText"/>
    <w:rsid w:val="004C07B0"/>
    <w:rPr>
      <w:rFonts w:ascii="Tahoma" w:hAnsi="Tahoma" w:cs="Tahoma"/>
      <w:sz w:val="16"/>
      <w:szCs w:val="16"/>
      <w:lang w:val="en-US" w:eastAsia="en-US"/>
    </w:rPr>
  </w:style>
  <w:style w:type="character" w:styleId="CommentReference">
    <w:name w:val="annotation reference"/>
    <w:basedOn w:val="DefaultParagraphFont"/>
    <w:rsid w:val="008906FC"/>
    <w:rPr>
      <w:sz w:val="16"/>
      <w:szCs w:val="16"/>
    </w:rPr>
  </w:style>
  <w:style w:type="paragraph" w:styleId="CommentText">
    <w:name w:val="annotation text"/>
    <w:basedOn w:val="Normal"/>
    <w:link w:val="CommentTextChar"/>
    <w:rsid w:val="008906FC"/>
    <w:rPr>
      <w:sz w:val="20"/>
      <w:szCs w:val="20"/>
    </w:rPr>
  </w:style>
  <w:style w:type="character" w:customStyle="1" w:styleId="CommentTextChar">
    <w:name w:val="Comment Text Char"/>
    <w:basedOn w:val="DefaultParagraphFont"/>
    <w:link w:val="CommentText"/>
    <w:rsid w:val="008906FC"/>
    <w:rPr>
      <w:lang w:val="en-US" w:eastAsia="en-US"/>
    </w:rPr>
  </w:style>
  <w:style w:type="paragraph" w:styleId="CommentSubject">
    <w:name w:val="annotation subject"/>
    <w:basedOn w:val="CommentText"/>
    <w:next w:val="CommentText"/>
    <w:link w:val="CommentSubjectChar"/>
    <w:rsid w:val="008906FC"/>
    <w:rPr>
      <w:b/>
      <w:bCs/>
    </w:rPr>
  </w:style>
  <w:style w:type="character" w:customStyle="1" w:styleId="CommentSubjectChar">
    <w:name w:val="Comment Subject Char"/>
    <w:basedOn w:val="CommentTextChar"/>
    <w:link w:val="CommentSubject"/>
    <w:rsid w:val="008906FC"/>
    <w:rPr>
      <w:b/>
      <w:bCs/>
      <w:lang w:val="en-US" w:eastAsia="en-US"/>
    </w:rPr>
  </w:style>
  <w:style w:type="paragraph" w:customStyle="1" w:styleId="Default">
    <w:name w:val="Default"/>
    <w:rsid w:val="00AA329C"/>
    <w:pPr>
      <w:autoSpaceDE w:val="0"/>
      <w:autoSpaceDN w:val="0"/>
      <w:adjustRightInd w:val="0"/>
    </w:pPr>
    <w:rPr>
      <w:color w:val="000000"/>
      <w:sz w:val="24"/>
      <w:szCs w:val="24"/>
      <w:lang w:val="en-US" w:eastAsia="en-US"/>
    </w:rPr>
  </w:style>
  <w:style w:type="paragraph" w:styleId="FootnoteText">
    <w:name w:val="footnote text"/>
    <w:basedOn w:val="Normal"/>
    <w:link w:val="FootnoteTextChar"/>
    <w:rsid w:val="00AA329C"/>
    <w:rPr>
      <w:sz w:val="20"/>
      <w:szCs w:val="20"/>
      <w:lang w:val="en-AU" w:eastAsia="en-AU"/>
    </w:rPr>
  </w:style>
  <w:style w:type="character" w:customStyle="1" w:styleId="FootnoteTextChar">
    <w:name w:val="Footnote Text Char"/>
    <w:basedOn w:val="DefaultParagraphFont"/>
    <w:link w:val="FootnoteText"/>
    <w:rsid w:val="00AA329C"/>
  </w:style>
  <w:style w:type="character" w:styleId="FootnoteReference">
    <w:name w:val="footnote reference"/>
    <w:rsid w:val="00AA329C"/>
    <w:rPr>
      <w:vertAlign w:val="superscript"/>
    </w:rPr>
  </w:style>
  <w:style w:type="paragraph" w:customStyle="1" w:styleId="Head1">
    <w:name w:val="Head1"/>
    <w:basedOn w:val="Heading1"/>
    <w:qFormat/>
    <w:rsid w:val="00FF7F87"/>
    <w:pPr>
      <w:spacing w:before="240"/>
      <w:jc w:val="right"/>
    </w:pPr>
    <w:rPr>
      <w:b/>
      <w:i w:val="0"/>
    </w:rPr>
  </w:style>
  <w:style w:type="paragraph" w:customStyle="1" w:styleId="Head2">
    <w:name w:val="Head2"/>
    <w:basedOn w:val="Head1"/>
    <w:next w:val="Normal"/>
    <w:qFormat/>
    <w:rsid w:val="00FF7F87"/>
    <w:pPr>
      <w:spacing w:before="120"/>
      <w:jc w:val="center"/>
      <w:outlineLvl w:val="1"/>
    </w:pPr>
  </w:style>
  <w:style w:type="paragraph" w:customStyle="1" w:styleId="Head3">
    <w:name w:val="Head3"/>
    <w:basedOn w:val="Head2"/>
    <w:next w:val="Normal"/>
    <w:qFormat/>
    <w:rsid w:val="00FF7F87"/>
    <w:pPr>
      <w:jc w:val="left"/>
      <w:outlineLvl w:val="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1DA86-875B-4306-B470-52289D599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1728</Words>
  <Characters>9788</Characters>
  <Application>Microsoft Office Word</Application>
  <DocSecurity>0</DocSecurity>
  <Lines>250</Lines>
  <Paragraphs>119</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11397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Star Rating Technical Advisory Group Terms of Reference</dc:title>
  <dc:subject>Health Star Rating </dc:subject>
  <dc:creator>Department of Health</dc:creator>
  <cp:keywords>Health Star Rating;Technical Advisory Group; ToR;Terms of Reference </cp:keywords>
  <dc:description>The Health Star Rating (HSR) Advisory Committee (HSRAC) has agreed to establish a voluntary Technical Advisory Group. </dc:description>
  <cp:lastModifiedBy>People Capability and Communication Division</cp:lastModifiedBy>
  <cp:revision>3</cp:revision>
  <cp:lastPrinted>2016-12-21T02:59:00Z</cp:lastPrinted>
  <dcterms:created xsi:type="dcterms:W3CDTF">2017-04-28T04:06:00Z</dcterms:created>
  <dcterms:modified xsi:type="dcterms:W3CDTF">2017-04-28T04:07:00Z</dcterms:modified>
  <cp:category>Health Star Rating Review</cp:category>
  <cp:contentStatus>Final </cp:contentStatus>
</cp:coreProperties>
</file>