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itle page"/>
        <w:tblDescription w:val="Table for title page layout only"/>
      </w:tblPr>
      <w:tblGrid>
        <w:gridCol w:w="9060"/>
      </w:tblGrid>
      <w:tr w:rsidR="00420DC0" w:rsidRPr="0076267D" w:rsidTr="000F0AF1">
        <w:trPr>
          <w:trHeight w:val="907"/>
          <w:tblHeader/>
        </w:trPr>
        <w:tc>
          <w:tcPr>
            <w:tcW w:w="9060" w:type="dxa"/>
          </w:tcPr>
          <w:p w:rsidR="00420DC0" w:rsidRPr="0076267D" w:rsidRDefault="00420DC0" w:rsidP="00EA294A">
            <w:pPr>
              <w:spacing w:before="360"/>
              <w:rPr>
                <w:sz w:val="40"/>
              </w:rPr>
            </w:pPr>
            <w:r>
              <w:rPr>
                <w:noProof/>
                <w:lang w:val="en-AU" w:eastAsia="en-AU"/>
              </w:rPr>
              <w:drawing>
                <wp:inline distT="0" distB="0" distL="0" distR="0" wp14:anchorId="15CD192D" wp14:editId="44F90638">
                  <wp:extent cx="2541182" cy="398415"/>
                  <wp:effectExtent l="0" t="0" r="1905" b="1905"/>
                  <wp:docPr id="8" name="Picture 8" descr="FSAN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ANZ logo primary.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41182" cy="398415"/>
                          </a:xfrm>
                          <a:prstGeom prst="rect">
                            <a:avLst/>
                          </a:prstGeom>
                        </pic:spPr>
                      </pic:pic>
                    </a:graphicData>
                  </a:graphic>
                </wp:inline>
              </w:drawing>
            </w:r>
          </w:p>
        </w:tc>
      </w:tr>
      <w:tr w:rsidR="00420DC0" w:rsidRPr="0076267D" w:rsidTr="00EA294A">
        <w:trPr>
          <w:trHeight w:val="6236"/>
        </w:trPr>
        <w:tc>
          <w:tcPr>
            <w:tcW w:w="9060" w:type="dxa"/>
            <w:tcBorders>
              <w:bottom w:val="single" w:sz="12" w:space="0" w:color="000000"/>
            </w:tcBorders>
            <w:vAlign w:val="bottom"/>
          </w:tcPr>
          <w:p w:rsidR="00FB3745" w:rsidRDefault="005F307C" w:rsidP="00EA294A">
            <w:pPr>
              <w:spacing w:before="720"/>
              <w:jc w:val="right"/>
              <w:rPr>
                <w:color w:val="0E495D"/>
                <w:sz w:val="52"/>
                <w:lang w:val="en-AU"/>
              </w:rPr>
            </w:pPr>
            <w:r>
              <w:rPr>
                <w:color w:val="0E495D"/>
                <w:sz w:val="52"/>
                <w:lang w:val="en-AU"/>
              </w:rPr>
              <w:t>Report</w:t>
            </w:r>
            <w:r w:rsidR="00420DC0" w:rsidRPr="0076267D">
              <w:rPr>
                <w:color w:val="0E495D"/>
                <w:sz w:val="52"/>
                <w:lang w:val="en-AU"/>
              </w:rPr>
              <w:t xml:space="preserve"> 1: </w:t>
            </w:r>
            <w:r w:rsidR="00FB3745">
              <w:rPr>
                <w:color w:val="0E495D"/>
                <w:sz w:val="52"/>
                <w:lang w:val="en-AU"/>
              </w:rPr>
              <w:t>Summary</w:t>
            </w:r>
          </w:p>
          <w:p w:rsidR="00420DC0" w:rsidRPr="0076267D" w:rsidRDefault="00420DC0" w:rsidP="00FB3745">
            <w:pPr>
              <w:spacing w:before="240"/>
              <w:jc w:val="right"/>
              <w:rPr>
                <w:sz w:val="40"/>
              </w:rPr>
            </w:pPr>
            <w:r w:rsidRPr="00FB3745">
              <w:rPr>
                <w:color w:val="0E495D"/>
                <w:sz w:val="36"/>
                <w:lang w:val="en-AU"/>
              </w:rPr>
              <w:t>Review of modelling undertaken for the Health Star Rating System Five Year Review</w:t>
            </w:r>
          </w:p>
        </w:tc>
      </w:tr>
      <w:tr w:rsidR="00FB3745" w:rsidRPr="00FB3745" w:rsidTr="00EA294A">
        <w:trPr>
          <w:trHeight w:val="5046"/>
        </w:trPr>
        <w:tc>
          <w:tcPr>
            <w:tcW w:w="9060" w:type="dxa"/>
            <w:tcBorders>
              <w:top w:val="single" w:sz="12" w:space="0" w:color="000000"/>
            </w:tcBorders>
            <w:vAlign w:val="bottom"/>
          </w:tcPr>
          <w:p w:rsidR="00420DC0" w:rsidRPr="00FB3745" w:rsidRDefault="00420DC0" w:rsidP="00EA294A">
            <w:pPr>
              <w:spacing w:before="720"/>
              <w:jc w:val="right"/>
              <w:rPr>
                <w:color w:val="FFFFFF" w:themeColor="background1"/>
                <w:sz w:val="40"/>
              </w:rPr>
            </w:pPr>
            <w:r w:rsidRPr="00FB3745">
              <w:rPr>
                <w:color w:val="FFFFFF" w:themeColor="background1"/>
                <w:sz w:val="48"/>
                <w:lang w:val="en-AU"/>
              </w:rPr>
              <w:t>July 2020</w:t>
            </w:r>
          </w:p>
        </w:tc>
      </w:tr>
    </w:tbl>
    <w:p w:rsidR="00E06F2E" w:rsidRDefault="00E06F2E" w:rsidP="00A9332F"/>
    <w:p w:rsidR="00A9332F" w:rsidRDefault="00A9332F" w:rsidP="00A9332F"/>
    <w:p w:rsidR="00A9332F" w:rsidRDefault="00A9332F" w:rsidP="00A9332F"/>
    <w:p w:rsidR="00A9332F" w:rsidRPr="00A9332F" w:rsidRDefault="00FB3745" w:rsidP="00A9332F">
      <w:pPr>
        <w:sectPr w:rsidR="00A9332F" w:rsidRPr="00A9332F" w:rsidSect="008E2339">
          <w:headerReference w:type="default" r:id="rId15"/>
          <w:footerReference w:type="default" r:id="rId16"/>
          <w:pgSz w:w="11906" w:h="16838"/>
          <w:pgMar w:top="1418" w:right="1418" w:bottom="1418" w:left="1418" w:header="709" w:footer="709" w:gutter="0"/>
          <w:cols w:space="708"/>
          <w:docGrid w:linePitch="360"/>
        </w:sectPr>
      </w:pPr>
      <w:r w:rsidRPr="00DC1748">
        <w:rPr>
          <w:noProof/>
          <w:lang w:val="en-AU" w:eastAsia="en-AU"/>
        </w:rPr>
        <w:drawing>
          <wp:anchor distT="0" distB="0" distL="114300" distR="114300" simplePos="0" relativeHeight="251659264" behindDoc="1" locked="1" layoutInCell="1" allowOverlap="1" wp14:anchorId="3314A37C" wp14:editId="729044EE">
            <wp:simplePos x="0" y="0"/>
            <wp:positionH relativeFrom="page">
              <wp:posOffset>16510</wp:posOffset>
            </wp:positionH>
            <wp:positionV relativeFrom="page">
              <wp:posOffset>6282055</wp:posOffset>
            </wp:positionV>
            <wp:extent cx="7574280" cy="4398645"/>
            <wp:effectExtent l="0" t="0" r="7620" b="1905"/>
            <wp:wrapNone/>
            <wp:docPr id="6" name="Picture 6"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erpage-0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74280" cy="4398645"/>
                    </a:xfrm>
                    <a:prstGeom prst="rect">
                      <a:avLst/>
                    </a:prstGeom>
                  </pic:spPr>
                </pic:pic>
              </a:graphicData>
            </a:graphic>
            <wp14:sizeRelH relativeFrom="page">
              <wp14:pctWidth>0</wp14:pctWidth>
            </wp14:sizeRelH>
            <wp14:sizeRelV relativeFrom="page">
              <wp14:pctHeight>0</wp14:pctHeight>
            </wp14:sizeRelV>
          </wp:anchor>
        </w:drawing>
      </w:r>
    </w:p>
    <w:p w:rsidR="00051E01" w:rsidRPr="001A0539" w:rsidRDefault="005F5FFE" w:rsidP="001A0539">
      <w:pPr>
        <w:pStyle w:val="Heading2"/>
        <w:numPr>
          <w:ilvl w:val="0"/>
          <w:numId w:val="18"/>
        </w:numPr>
        <w:rPr>
          <w:rFonts w:eastAsiaTheme="minorHAnsi" w:cstheme="minorBidi"/>
          <w:bCs w:val="0"/>
          <w:sz w:val="24"/>
          <w:szCs w:val="24"/>
        </w:rPr>
      </w:pPr>
      <w:r w:rsidRPr="001A0539">
        <w:rPr>
          <w:rFonts w:eastAsiaTheme="minorHAnsi" w:cstheme="minorBidi"/>
          <w:bCs w:val="0"/>
          <w:sz w:val="24"/>
          <w:szCs w:val="24"/>
        </w:rPr>
        <w:t xml:space="preserve">Introduction </w:t>
      </w:r>
    </w:p>
    <w:p w:rsidR="007B6CB1" w:rsidRDefault="007B6CB1" w:rsidP="00051E01">
      <w:r w:rsidRPr="00414C3E">
        <w:rPr>
          <w:rFonts w:cs="Arial"/>
          <w:color w:val="000000" w:themeColor="text1"/>
          <w:shd w:val="clear" w:color="auto" w:fill="FFFFFF"/>
        </w:rPr>
        <w:t xml:space="preserve">The Health Star Rating </w:t>
      </w:r>
      <w:r>
        <w:rPr>
          <w:rFonts w:cs="Arial"/>
          <w:color w:val="000000" w:themeColor="text1"/>
          <w:shd w:val="clear" w:color="auto" w:fill="FFFFFF"/>
        </w:rPr>
        <w:t xml:space="preserve">(HSR) </w:t>
      </w:r>
      <w:r w:rsidRPr="00414C3E">
        <w:rPr>
          <w:rFonts w:cs="Arial"/>
          <w:color w:val="000000" w:themeColor="text1"/>
          <w:shd w:val="clear" w:color="auto" w:fill="FFFFFF"/>
        </w:rPr>
        <w:t xml:space="preserve">is a front-of-pack labelling system that rates the overall nutritional profile of packaged food and assigns it a rating from ½ a star to 5 stars. It was designed to provide a quick, easy, standard way for consumers to compare similar packaged foods. The more stars, the healthier the choice. </w:t>
      </w:r>
      <w:r w:rsidR="008C38BF">
        <w:t>The HSR system was implemented as</w:t>
      </w:r>
      <w:r w:rsidR="00D8703E">
        <w:t xml:space="preserve"> a voluntary food product front-</w:t>
      </w:r>
      <w:r w:rsidR="008C38BF">
        <w:t>of</w:t>
      </w:r>
      <w:r w:rsidR="00D8703E">
        <w:t>-</w:t>
      </w:r>
      <w:r w:rsidR="008C38BF">
        <w:t xml:space="preserve">pack labelling program in Australia in June 2014. </w:t>
      </w:r>
    </w:p>
    <w:p w:rsidR="007B6CB1" w:rsidRDefault="007B6CB1" w:rsidP="00051E01"/>
    <w:p w:rsidR="007B6CB1" w:rsidRDefault="00704492" w:rsidP="00051E01">
      <w:r>
        <w:t xml:space="preserve">When </w:t>
      </w:r>
      <w:r w:rsidR="008C38BF">
        <w:t>the HSR system</w:t>
      </w:r>
      <w:r w:rsidR="007B6CB1">
        <w:t xml:space="preserve"> was approved by</w:t>
      </w:r>
      <w:r w:rsidR="008C38BF">
        <w:t xml:space="preserve"> the Australia New Zealand Forum on Food Regulation (the Forum)</w:t>
      </w:r>
      <w:r w:rsidR="007B6CB1">
        <w:t>, Ministers</w:t>
      </w:r>
      <w:r w:rsidR="008C38BF">
        <w:t xml:space="preserve"> </w:t>
      </w:r>
      <w:r w:rsidR="007B6CB1">
        <w:t>agreed</w:t>
      </w:r>
      <w:r w:rsidR="008C38BF">
        <w:t xml:space="preserve"> that a</w:t>
      </w:r>
      <w:r w:rsidR="007B6CB1">
        <w:t>n</w:t>
      </w:r>
      <w:r w:rsidR="008C38BF">
        <w:t xml:space="preserve"> independent review of the system be carried out after five years of implementation. </w:t>
      </w:r>
      <w:r w:rsidR="007B6CB1">
        <w:rPr>
          <w:iCs/>
        </w:rPr>
        <w:t xml:space="preserve">This </w:t>
      </w:r>
      <w:r w:rsidR="008C38BF">
        <w:t xml:space="preserve">review of the HSR system (the Review) </w:t>
      </w:r>
      <w:r w:rsidR="007B6CB1">
        <w:t>was completed in May</w:t>
      </w:r>
      <w:r w:rsidR="008C38BF">
        <w:t xml:space="preserve"> 2019 and </w:t>
      </w:r>
      <w:r w:rsidR="007B6CB1">
        <w:t>recommended a range of changes to improve the operation of the HSR calcula</w:t>
      </w:r>
      <w:r w:rsidR="00D8703E">
        <w:t>tor, drive uptak</w:t>
      </w:r>
      <w:r w:rsidR="007B6CB1">
        <w:t xml:space="preserve">e by industry and </w:t>
      </w:r>
      <w:r w:rsidR="008F1BC9">
        <w:t xml:space="preserve">better </w:t>
      </w:r>
      <w:r w:rsidR="007B6CB1">
        <w:t>manage and monitor the HSR system.</w:t>
      </w:r>
      <w:r w:rsidR="008C38BF">
        <w:t xml:space="preserve"> </w:t>
      </w:r>
    </w:p>
    <w:p w:rsidR="007B6CB1" w:rsidRDefault="007B6CB1" w:rsidP="00051E01"/>
    <w:p w:rsidR="008C38BF" w:rsidRDefault="008C38BF" w:rsidP="00051E01">
      <w:r>
        <w:t>In its response</w:t>
      </w:r>
      <w:r w:rsidR="007B6CB1">
        <w:t xml:space="preserve"> to the Review</w:t>
      </w:r>
      <w:r>
        <w:t xml:space="preserve">, </w:t>
      </w:r>
      <w:r w:rsidR="00051E01">
        <w:t xml:space="preserve">the Forum </w:t>
      </w:r>
      <w:r w:rsidR="007B6CB1">
        <w:t>agreed the HSR system is a useful tool and shou</w:t>
      </w:r>
      <w:r w:rsidR="00662A7F">
        <w:t>l</w:t>
      </w:r>
      <w:r w:rsidR="007B6CB1">
        <w:t xml:space="preserve">d continue with some amendments. The Forum </w:t>
      </w:r>
      <w:r w:rsidR="00051E01">
        <w:t xml:space="preserve">requested that Food Standards Australia New Zealand (FSANZ) </w:t>
      </w:r>
      <w:r w:rsidR="007B6CB1">
        <w:t xml:space="preserve">do a peer review </w:t>
      </w:r>
      <w:r w:rsidR="00662A7F">
        <w:t xml:space="preserve">of the modelling provided in the Review report and </w:t>
      </w:r>
      <w:r w:rsidR="00051E01">
        <w:t xml:space="preserve">provide advice on the combined impact </w:t>
      </w:r>
      <w:r w:rsidR="00662A7F">
        <w:t>of a proposed package of changes to the way the HSR is calculated</w:t>
      </w:r>
      <w:r w:rsidR="00662A7F">
        <w:rPr>
          <w:rStyle w:val="FootnoteReference"/>
        </w:rPr>
        <w:footnoteReference w:id="2"/>
      </w:r>
      <w:r w:rsidR="00662A7F">
        <w:t xml:space="preserve"> to better align foods with dietary guidelines</w:t>
      </w:r>
      <w:r w:rsidR="005241A1">
        <w:t>.</w:t>
      </w:r>
      <w:r w:rsidR="005241A1" w:rsidRPr="005241A1">
        <w:t xml:space="preserve"> </w:t>
      </w:r>
      <w:r w:rsidR="005241A1">
        <w:t>These changes,</w:t>
      </w:r>
      <w:r w:rsidR="00662A7F">
        <w:t xml:space="preserve"> outlined in</w:t>
      </w:r>
      <w:r w:rsidR="00662A7F" w:rsidRPr="00662A7F">
        <w:t xml:space="preserve"> </w:t>
      </w:r>
      <w:r w:rsidR="00662A7F">
        <w:t xml:space="preserve">Recommendation </w:t>
      </w:r>
      <w:r w:rsidR="005241A1">
        <w:t>four</w:t>
      </w:r>
      <w:r w:rsidR="00662A7F">
        <w:t xml:space="preserve"> of the Review</w:t>
      </w:r>
      <w:r w:rsidR="005241A1">
        <w:t>, were</w:t>
      </w:r>
      <w:r w:rsidR="00662A7F">
        <w:t>:</w:t>
      </w:r>
    </w:p>
    <w:p w:rsidR="008C38BF" w:rsidRDefault="008C38BF" w:rsidP="008C38BF"/>
    <w:p w:rsidR="008C38BF" w:rsidRDefault="008C38BF" w:rsidP="008C38BF">
      <w:pPr>
        <w:pStyle w:val="FSBullet1"/>
        <w:numPr>
          <w:ilvl w:val="0"/>
          <w:numId w:val="0"/>
        </w:numPr>
        <w:ind w:left="567" w:hanging="567"/>
      </w:pPr>
      <w:r>
        <w:t>4a</w:t>
      </w:r>
      <w:r>
        <w:tab/>
        <w:t>allow fresh, frozen or canned fruit and vegetables (with no added salt, sugars or fat) to automatically receive a HSR of 5</w:t>
      </w:r>
    </w:p>
    <w:p w:rsidR="008C38BF" w:rsidRDefault="008C38BF" w:rsidP="008C38BF">
      <w:pPr>
        <w:pStyle w:val="FSBullet1"/>
        <w:numPr>
          <w:ilvl w:val="0"/>
          <w:numId w:val="0"/>
        </w:numPr>
      </w:pPr>
      <w:r>
        <w:t>4b</w:t>
      </w:r>
      <w:r>
        <w:tab/>
        <w:t>more strongly penalise total sugars</w:t>
      </w:r>
      <w:r w:rsidR="00CD07E4">
        <w:t xml:space="preserve"> </w:t>
      </w:r>
    </w:p>
    <w:p w:rsidR="008C38BF" w:rsidRDefault="008C38BF" w:rsidP="008C38BF">
      <w:pPr>
        <w:pStyle w:val="FSBullet1"/>
        <w:numPr>
          <w:ilvl w:val="0"/>
          <w:numId w:val="0"/>
        </w:numPr>
        <w:ind w:left="567" w:hanging="567"/>
      </w:pPr>
      <w:r>
        <w:t>4c</w:t>
      </w:r>
      <w:r>
        <w:tab/>
        <w:t>improve sodium sensitivity to reduce the HSR of products with sodium in excess of 900 mg/100 g</w:t>
      </w:r>
    </w:p>
    <w:p w:rsidR="008C38BF" w:rsidRDefault="008C38BF" w:rsidP="008C38BF">
      <w:pPr>
        <w:pStyle w:val="FSBullet1"/>
        <w:numPr>
          <w:ilvl w:val="0"/>
          <w:numId w:val="0"/>
        </w:numPr>
        <w:ind w:left="567" w:hanging="567"/>
      </w:pPr>
      <w:r>
        <w:t>4d</w:t>
      </w:r>
      <w:r>
        <w:tab/>
        <w:t>redefine and rescale dairy categories to better differentiate and improve comparability between four/five food group</w:t>
      </w:r>
      <w:r w:rsidR="008F1BC9">
        <w:t xml:space="preserve"> foods</w:t>
      </w:r>
      <w:r w:rsidR="006D1B72">
        <w:rPr>
          <w:rStyle w:val="FootnoteReference"/>
          <w:lang w:eastAsia="en-AU"/>
        </w:rPr>
        <w:footnoteReference w:id="3"/>
      </w:r>
      <w:r>
        <w:t xml:space="preserve"> (FFG) and dairy dessert type products</w:t>
      </w:r>
    </w:p>
    <w:p w:rsidR="008C38BF" w:rsidRDefault="008C38BF" w:rsidP="00E54839">
      <w:pPr>
        <w:pStyle w:val="FSBullet1"/>
        <w:numPr>
          <w:ilvl w:val="0"/>
          <w:numId w:val="0"/>
        </w:numPr>
        <w:ind w:left="567" w:hanging="567"/>
      </w:pPr>
      <w:r>
        <w:t>4e</w:t>
      </w:r>
      <w:r>
        <w:tab/>
        <w:t>re-categorise water-based ice confections and jellies</w:t>
      </w:r>
      <w:r w:rsidR="00FF60ED">
        <w:t xml:space="preserve"> as non-dairy beverages</w:t>
      </w:r>
      <w:r>
        <w:t>, and calculate HSRs for these products on an ‘as prepared’ basis</w:t>
      </w:r>
      <w:r>
        <w:rPr>
          <w:rStyle w:val="FootnoteReference"/>
        </w:rPr>
        <w:footnoteReference w:id="4"/>
      </w:r>
      <w:r w:rsidR="008A2AF6">
        <w:t>.</w:t>
      </w:r>
    </w:p>
    <w:p w:rsidR="00662A7F" w:rsidRPr="00662A7F" w:rsidRDefault="00662A7F" w:rsidP="00B17C7B">
      <w:pPr>
        <w:ind w:left="567" w:hanging="567"/>
      </w:pPr>
    </w:p>
    <w:p w:rsidR="00CD07E4" w:rsidRDefault="00CA362C" w:rsidP="00051E01">
      <w:r>
        <w:t>R</w:t>
      </w:r>
      <w:r w:rsidR="00CD07E4">
        <w:t xml:space="preserve">ecommendation 5 of the Review proposed </w:t>
      </w:r>
      <w:r w:rsidR="00704492">
        <w:t xml:space="preserve">a new way of calculating HSRs for non-dairy beverages, </w:t>
      </w:r>
      <w:r w:rsidR="00FF60ED">
        <w:t xml:space="preserve">to better discern water (assigned an automatic HSR of 5), and drinks similar in nutritional profile to water (to be assigned a HSR of 4.5) from high energy drinks. </w:t>
      </w:r>
    </w:p>
    <w:p w:rsidR="00CD07E4" w:rsidRDefault="00CD07E4" w:rsidP="00051E01"/>
    <w:p w:rsidR="00051E01" w:rsidRDefault="00051E01" w:rsidP="00051E01">
      <w:r>
        <w:t>This report addresses the request from the Forum to undertake a peer review of modelling in the Review Report and provide advice on the combined impact of all recommended changes to the Original HSR calculator</w:t>
      </w:r>
      <w:r w:rsidR="0003634E">
        <w:t xml:space="preserve"> under Recommendation 4 and 5</w:t>
      </w:r>
      <w:r>
        <w:t xml:space="preserve">, as well as providing additional modelling in relation to the reclassification and rescaling of dairy foods. </w:t>
      </w:r>
    </w:p>
    <w:p w:rsidR="00C703F9" w:rsidRDefault="00C703F9" w:rsidP="00051E01"/>
    <w:tbl>
      <w:tblPr>
        <w:tblW w:w="910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4"/>
      </w:tblGrid>
      <w:tr w:rsidR="009C2478" w:rsidTr="00C34194">
        <w:trPr>
          <w:trHeight w:val="1578"/>
        </w:trPr>
        <w:tc>
          <w:tcPr>
            <w:tcW w:w="9104" w:type="dxa"/>
          </w:tcPr>
          <w:p w:rsidR="009C2478" w:rsidRDefault="00775915" w:rsidP="009C2478">
            <w:pPr>
              <w:ind w:left="38"/>
              <w:rPr>
                <w:b/>
              </w:rPr>
            </w:pPr>
            <w:r>
              <w:rPr>
                <w:b/>
              </w:rPr>
              <w:t>Overall s</w:t>
            </w:r>
            <w:r w:rsidR="009C2478" w:rsidRPr="00C703F9">
              <w:rPr>
                <w:b/>
              </w:rPr>
              <w:t>ummary of findings</w:t>
            </w:r>
            <w:r w:rsidR="00610B4B">
              <w:rPr>
                <w:b/>
              </w:rPr>
              <w:t>:</w:t>
            </w:r>
          </w:p>
          <w:p w:rsidR="009C2478" w:rsidRDefault="009C2478" w:rsidP="009C2478">
            <w:pPr>
              <w:ind w:left="38"/>
              <w:rPr>
                <w:b/>
              </w:rPr>
            </w:pPr>
          </w:p>
          <w:p w:rsidR="00471223" w:rsidRPr="00471223" w:rsidRDefault="00471223" w:rsidP="009C2478">
            <w:pPr>
              <w:ind w:left="38"/>
              <w:rPr>
                <w:i/>
              </w:rPr>
            </w:pPr>
            <w:r w:rsidRPr="00471223">
              <w:rPr>
                <w:i/>
              </w:rPr>
              <w:t>Peer review of the modelling</w:t>
            </w:r>
          </w:p>
          <w:p w:rsidR="009C2478" w:rsidRDefault="005D0AAF" w:rsidP="009C2478">
            <w:pPr>
              <w:pStyle w:val="ListParagraph"/>
              <w:numPr>
                <w:ilvl w:val="0"/>
                <w:numId w:val="31"/>
              </w:numPr>
              <w:ind w:left="398"/>
            </w:pPr>
            <w:r>
              <w:t>The</w:t>
            </w:r>
            <w:r w:rsidR="00775915">
              <w:t xml:space="preserve"> peer review </w:t>
            </w:r>
            <w:r w:rsidR="00F63C82">
              <w:t xml:space="preserve">found that </w:t>
            </w:r>
            <w:r w:rsidR="00775915">
              <w:t xml:space="preserve">the modelling </w:t>
            </w:r>
            <w:r>
              <w:t>undertaken</w:t>
            </w:r>
            <w:r w:rsidR="00775915">
              <w:t xml:space="preserve"> in the Review report </w:t>
            </w:r>
            <w:r w:rsidR="00992AB6">
              <w:t xml:space="preserve">was </w:t>
            </w:r>
            <w:r w:rsidR="009C2478" w:rsidRPr="009C2478">
              <w:t>robust and accurate</w:t>
            </w:r>
            <w:r w:rsidR="009C2478">
              <w:t>.</w:t>
            </w:r>
          </w:p>
          <w:p w:rsidR="004F688A" w:rsidRDefault="004F688A" w:rsidP="004F688A">
            <w:pPr>
              <w:pStyle w:val="ListParagraph"/>
              <w:ind w:left="398"/>
            </w:pPr>
          </w:p>
          <w:p w:rsidR="00471223" w:rsidRPr="00471223" w:rsidRDefault="00471223" w:rsidP="00471223">
            <w:pPr>
              <w:pStyle w:val="ListParagraph"/>
              <w:ind w:left="38"/>
              <w:rPr>
                <w:i/>
              </w:rPr>
            </w:pPr>
            <w:r w:rsidRPr="00471223">
              <w:rPr>
                <w:i/>
              </w:rPr>
              <w:t>C</w:t>
            </w:r>
            <w:r>
              <w:rPr>
                <w:i/>
              </w:rPr>
              <w:t>ombined impact of all recommended changes</w:t>
            </w:r>
          </w:p>
          <w:p w:rsidR="00471223" w:rsidRDefault="009C2478" w:rsidP="004077B3">
            <w:pPr>
              <w:pStyle w:val="ListParagraph"/>
              <w:numPr>
                <w:ilvl w:val="0"/>
                <w:numId w:val="31"/>
              </w:numPr>
              <w:rPr>
                <w:rFonts w:eastAsia="Times New Roman" w:cs="Arial"/>
                <w:szCs w:val="20"/>
                <w:lang w:eastAsia="en-GB"/>
              </w:rPr>
            </w:pPr>
            <w:r>
              <w:t xml:space="preserve">The </w:t>
            </w:r>
            <w:r w:rsidR="004077B3">
              <w:t xml:space="preserve">combined impact of </w:t>
            </w:r>
            <w:r w:rsidR="004F688A">
              <w:t xml:space="preserve">recommended </w:t>
            </w:r>
            <w:r w:rsidR="00775915">
              <w:t xml:space="preserve">changes </w:t>
            </w:r>
            <w:r>
              <w:t>resulted</w:t>
            </w:r>
            <w:r w:rsidR="005D0AAF">
              <w:t xml:space="preserve"> </w:t>
            </w:r>
            <w:r w:rsidR="004077B3">
              <w:t xml:space="preserve">in </w:t>
            </w:r>
            <w:r w:rsidR="00471223">
              <w:rPr>
                <w:rFonts w:eastAsia="Times New Roman" w:cs="Arial"/>
                <w:szCs w:val="20"/>
                <w:lang w:eastAsia="en-GB"/>
              </w:rPr>
              <w:t xml:space="preserve">approximately 22% of </w:t>
            </w:r>
            <w:r w:rsidR="004077B3">
              <w:rPr>
                <w:rFonts w:eastAsia="Times New Roman" w:cs="Arial"/>
                <w:szCs w:val="20"/>
                <w:lang w:eastAsia="en-GB"/>
              </w:rPr>
              <w:t>all food</w:t>
            </w:r>
            <w:r w:rsidR="00471223">
              <w:rPr>
                <w:rFonts w:eastAsia="Times New Roman" w:cs="Arial"/>
                <w:szCs w:val="20"/>
                <w:lang w:eastAsia="en-GB"/>
              </w:rPr>
              <w:t xml:space="preserve"> products</w:t>
            </w:r>
            <w:r w:rsidR="007E5E68">
              <w:rPr>
                <w:rFonts w:eastAsia="Times New Roman" w:cs="Arial"/>
                <w:szCs w:val="20"/>
                <w:lang w:eastAsia="en-GB"/>
              </w:rPr>
              <w:t>, excluding non-dairy beverages,</w:t>
            </w:r>
            <w:r w:rsidR="00471223">
              <w:rPr>
                <w:rFonts w:eastAsia="Times New Roman" w:cs="Arial"/>
                <w:szCs w:val="20"/>
                <w:lang w:eastAsia="en-GB"/>
              </w:rPr>
              <w:t xml:space="preserve"> impacted by an increased (14%) or decreased (8%) HSR.</w:t>
            </w:r>
          </w:p>
          <w:p w:rsidR="00DE0FFF" w:rsidRDefault="00B66F53" w:rsidP="00DE0FFF">
            <w:pPr>
              <w:pStyle w:val="ListParagraph"/>
              <w:numPr>
                <w:ilvl w:val="0"/>
                <w:numId w:val="31"/>
              </w:numPr>
              <w:ind w:left="398"/>
            </w:pPr>
            <w:r>
              <w:rPr>
                <w:lang w:eastAsia="en-AU"/>
              </w:rPr>
              <w:t xml:space="preserve">Most increased HSRs related </w:t>
            </w:r>
            <w:r w:rsidR="00DE0FFF">
              <w:rPr>
                <w:lang w:eastAsia="en-AU"/>
              </w:rPr>
              <w:t xml:space="preserve">to five food group FFG </w:t>
            </w:r>
            <w:r>
              <w:rPr>
                <w:lang w:eastAsia="en-AU"/>
              </w:rPr>
              <w:t>products (14% total) and the majority of decreased HSRs related to dis</w:t>
            </w:r>
            <w:r w:rsidR="004803A4">
              <w:rPr>
                <w:lang w:eastAsia="en-AU"/>
              </w:rPr>
              <w:t>cretionary products (6% total).</w:t>
            </w:r>
          </w:p>
          <w:p w:rsidR="00992AB6" w:rsidRPr="00992AB6" w:rsidRDefault="00992AB6" w:rsidP="00CE16E6">
            <w:pPr>
              <w:pStyle w:val="ListParagraph"/>
              <w:numPr>
                <w:ilvl w:val="0"/>
                <w:numId w:val="31"/>
              </w:numPr>
              <w:ind w:left="398"/>
            </w:pPr>
            <w:r>
              <w:rPr>
                <w:rFonts w:eastAsia="Times New Roman" w:cs="Arial"/>
                <w:szCs w:val="20"/>
                <w:lang w:eastAsia="en-GB"/>
              </w:rPr>
              <w:t>A</w:t>
            </w:r>
            <w:r w:rsidRPr="00C056C2">
              <w:rPr>
                <w:rFonts w:eastAsia="Times New Roman" w:cs="Arial"/>
                <w:szCs w:val="20"/>
                <w:lang w:eastAsia="en-GB"/>
              </w:rPr>
              <w:t>djustment</w:t>
            </w:r>
            <w:r>
              <w:rPr>
                <w:rFonts w:eastAsia="Times New Roman" w:cs="Arial"/>
                <w:szCs w:val="20"/>
                <w:lang w:eastAsia="en-GB"/>
              </w:rPr>
              <w:t>s</w:t>
            </w:r>
            <w:r w:rsidRPr="00C056C2">
              <w:rPr>
                <w:rFonts w:eastAsia="Times New Roman" w:cs="Arial"/>
                <w:szCs w:val="20"/>
                <w:lang w:eastAsia="en-GB"/>
              </w:rPr>
              <w:t xml:space="preserve"> </w:t>
            </w:r>
            <w:r>
              <w:rPr>
                <w:rFonts w:eastAsia="Times New Roman" w:cs="Arial"/>
                <w:szCs w:val="20"/>
                <w:lang w:eastAsia="en-GB"/>
              </w:rPr>
              <w:t>to the</w:t>
            </w:r>
            <w:r w:rsidRPr="00C056C2">
              <w:rPr>
                <w:rFonts w:eastAsia="Times New Roman" w:cs="Arial"/>
                <w:szCs w:val="20"/>
                <w:lang w:eastAsia="en-GB"/>
              </w:rPr>
              <w:t xml:space="preserve"> sodium and total sugars HSR baseline </w:t>
            </w:r>
            <w:proofErr w:type="gramStart"/>
            <w:r w:rsidRPr="00C056C2">
              <w:rPr>
                <w:rFonts w:eastAsia="Times New Roman" w:cs="Arial"/>
                <w:szCs w:val="20"/>
                <w:lang w:eastAsia="en-GB"/>
              </w:rPr>
              <w:t>points</w:t>
            </w:r>
            <w:proofErr w:type="gramEnd"/>
            <w:r w:rsidRPr="00C056C2">
              <w:rPr>
                <w:rFonts w:eastAsia="Times New Roman" w:cs="Arial"/>
                <w:szCs w:val="20"/>
                <w:lang w:eastAsia="en-GB"/>
              </w:rPr>
              <w:t xml:space="preserve"> tables</w:t>
            </w:r>
            <w:r>
              <w:rPr>
                <w:rFonts w:eastAsia="Times New Roman" w:cs="Arial"/>
                <w:szCs w:val="20"/>
                <w:lang w:eastAsia="en-GB"/>
              </w:rPr>
              <w:t xml:space="preserve"> </w:t>
            </w:r>
            <w:r w:rsidRPr="00C056C2">
              <w:rPr>
                <w:rFonts w:eastAsia="Times New Roman" w:cs="Arial"/>
                <w:szCs w:val="20"/>
                <w:lang w:eastAsia="en-GB"/>
              </w:rPr>
              <w:t xml:space="preserve">resulted in a reduction in HSRs </w:t>
            </w:r>
            <w:r>
              <w:rPr>
                <w:rFonts w:eastAsia="Times New Roman" w:cs="Arial"/>
                <w:szCs w:val="20"/>
                <w:lang w:eastAsia="en-GB"/>
              </w:rPr>
              <w:t>for a range of products.</w:t>
            </w:r>
          </w:p>
          <w:p w:rsidR="00DE1639" w:rsidRPr="00DE1639" w:rsidRDefault="004803A4" w:rsidP="00CE16E6">
            <w:pPr>
              <w:pStyle w:val="ListParagraph"/>
              <w:numPr>
                <w:ilvl w:val="0"/>
                <w:numId w:val="31"/>
              </w:numPr>
              <w:ind w:left="398"/>
            </w:pPr>
            <w:r w:rsidRPr="00DE0FFF">
              <w:rPr>
                <w:rFonts w:eastAsia="Times New Roman" w:cs="Arial"/>
                <w:szCs w:val="20"/>
                <w:lang w:eastAsia="en-GB"/>
              </w:rPr>
              <w:t xml:space="preserve">Rescaling of the HSR 3D </w:t>
            </w:r>
            <w:r w:rsidR="00DE0FFF" w:rsidRPr="00DE0FFF">
              <w:rPr>
                <w:rFonts w:eastAsia="Times New Roman" w:cs="Arial"/>
                <w:szCs w:val="20"/>
                <w:lang w:eastAsia="en-GB"/>
              </w:rPr>
              <w:t xml:space="preserve">cheese </w:t>
            </w:r>
            <w:r w:rsidRPr="00DE0FFF">
              <w:rPr>
                <w:rFonts w:eastAsia="Times New Roman" w:cs="Arial"/>
                <w:szCs w:val="20"/>
                <w:lang w:eastAsia="en-GB"/>
              </w:rPr>
              <w:t>category resulted in an increase of 0.5 stars for almost 70% of relevant products</w:t>
            </w:r>
            <w:r w:rsidR="00BF1FF7">
              <w:rPr>
                <w:rFonts w:eastAsia="Times New Roman" w:cs="Arial"/>
                <w:szCs w:val="20"/>
                <w:lang w:eastAsia="en-GB"/>
              </w:rPr>
              <w:t>.</w:t>
            </w:r>
          </w:p>
          <w:p w:rsidR="00DE0FFF" w:rsidRPr="00DE0FFF" w:rsidRDefault="00DE1639" w:rsidP="00CE16E6">
            <w:pPr>
              <w:pStyle w:val="ListParagraph"/>
              <w:numPr>
                <w:ilvl w:val="0"/>
                <w:numId w:val="31"/>
              </w:numPr>
              <w:ind w:left="398"/>
            </w:pPr>
            <w:r>
              <w:rPr>
                <w:rFonts w:eastAsia="Times New Roman" w:cs="Arial"/>
                <w:szCs w:val="20"/>
                <w:lang w:eastAsia="en-GB"/>
              </w:rPr>
              <w:t>Rescaling and reclassification of</w:t>
            </w:r>
            <w:r w:rsidR="004803A4" w:rsidRPr="00CE16E6">
              <w:rPr>
                <w:rFonts w:eastAsia="Times New Roman" w:cs="Arial"/>
                <w:szCs w:val="20"/>
                <w:lang w:eastAsia="en-GB"/>
              </w:rPr>
              <w:t xml:space="preserve"> </w:t>
            </w:r>
            <w:r w:rsidR="00DE0FFF" w:rsidRPr="00CE16E6">
              <w:rPr>
                <w:rFonts w:eastAsia="Times New Roman" w:cs="Arial"/>
                <w:szCs w:val="20"/>
                <w:lang w:eastAsia="en-GB"/>
              </w:rPr>
              <w:t xml:space="preserve">HSR Category 2D dairy foods, </w:t>
            </w:r>
            <w:r>
              <w:rPr>
                <w:rFonts w:eastAsia="Times New Roman" w:cs="Arial"/>
                <w:szCs w:val="20"/>
                <w:lang w:eastAsia="en-GB"/>
              </w:rPr>
              <w:t xml:space="preserve">resulted in increased HSRs for yoghurts and soft cheeses, reduced </w:t>
            </w:r>
            <w:r w:rsidR="004803A4" w:rsidRPr="00CE16E6">
              <w:rPr>
                <w:rFonts w:eastAsia="Times New Roman" w:cs="Arial"/>
                <w:szCs w:val="20"/>
                <w:lang w:eastAsia="en-GB"/>
              </w:rPr>
              <w:t xml:space="preserve">HSRs stars for </w:t>
            </w:r>
            <w:r w:rsidR="003B2183">
              <w:rPr>
                <w:rFonts w:eastAsia="Times New Roman" w:cs="Arial"/>
                <w:szCs w:val="20"/>
                <w:lang w:eastAsia="en-GB"/>
              </w:rPr>
              <w:t>c</w:t>
            </w:r>
            <w:r w:rsidR="004803A4" w:rsidRPr="00CE16E6">
              <w:rPr>
                <w:rFonts w:eastAsia="Times New Roman" w:cs="Arial"/>
                <w:szCs w:val="20"/>
                <w:lang w:eastAsia="en-GB"/>
              </w:rPr>
              <w:t xml:space="preserve">ream and </w:t>
            </w:r>
            <w:r w:rsidR="003B2183">
              <w:rPr>
                <w:rFonts w:eastAsia="Times New Roman" w:cs="Arial"/>
                <w:szCs w:val="20"/>
                <w:lang w:eastAsia="en-GB"/>
              </w:rPr>
              <w:t>c</w:t>
            </w:r>
            <w:r w:rsidR="004803A4" w:rsidRPr="00CE16E6">
              <w:rPr>
                <w:rFonts w:eastAsia="Times New Roman" w:cs="Arial"/>
                <w:szCs w:val="20"/>
                <w:lang w:eastAsia="en-GB"/>
              </w:rPr>
              <w:t>ream cheese products</w:t>
            </w:r>
            <w:r w:rsidR="003B2183">
              <w:rPr>
                <w:rFonts w:eastAsia="Times New Roman" w:cs="Arial"/>
                <w:szCs w:val="20"/>
                <w:lang w:eastAsia="en-GB"/>
              </w:rPr>
              <w:t xml:space="preserve"> and a mix of increased and decreased HSRs for custards/desserts</w:t>
            </w:r>
            <w:r w:rsidR="004803A4" w:rsidRPr="00CE16E6">
              <w:rPr>
                <w:rFonts w:eastAsia="Times New Roman" w:cs="Arial"/>
                <w:szCs w:val="20"/>
                <w:lang w:eastAsia="en-GB"/>
              </w:rPr>
              <w:t>.</w:t>
            </w:r>
          </w:p>
          <w:p w:rsidR="00DE0FFF" w:rsidRPr="004803A4" w:rsidRDefault="00DE0FFF" w:rsidP="00DE0FFF">
            <w:pPr>
              <w:pStyle w:val="ListParagraph"/>
              <w:numPr>
                <w:ilvl w:val="0"/>
                <w:numId w:val="31"/>
              </w:numPr>
              <w:ind w:left="398"/>
            </w:pPr>
            <w:r>
              <w:rPr>
                <w:lang w:eastAsia="en-AU"/>
              </w:rPr>
              <w:t xml:space="preserve">Reclassification of </w:t>
            </w:r>
            <w:r w:rsidR="003B2183">
              <w:rPr>
                <w:lang w:eastAsia="en-AU"/>
              </w:rPr>
              <w:t>j</w:t>
            </w:r>
            <w:r>
              <w:rPr>
                <w:lang w:eastAsia="en-AU"/>
              </w:rPr>
              <w:t xml:space="preserve">elly and </w:t>
            </w:r>
            <w:r w:rsidR="003B2183">
              <w:rPr>
                <w:lang w:eastAsia="en-AU"/>
              </w:rPr>
              <w:t>i</w:t>
            </w:r>
            <w:r>
              <w:rPr>
                <w:lang w:eastAsia="en-AU"/>
              </w:rPr>
              <w:t xml:space="preserve">ce confectionery product categories as HSR Category 1 </w:t>
            </w:r>
            <w:r w:rsidR="003B2183">
              <w:rPr>
                <w:lang w:eastAsia="en-AU"/>
              </w:rPr>
              <w:t>n</w:t>
            </w:r>
            <w:r>
              <w:rPr>
                <w:lang w:eastAsia="en-AU"/>
              </w:rPr>
              <w:t>on-dairy beverages</w:t>
            </w:r>
            <w:r>
              <w:t xml:space="preserve"> </w:t>
            </w:r>
            <w:r>
              <w:rPr>
                <w:lang w:eastAsia="en-AU"/>
              </w:rPr>
              <w:t>resulted in reductions for all of these products to a HSR of 0.5</w:t>
            </w:r>
            <w:r w:rsidR="00BF1FF7">
              <w:rPr>
                <w:lang w:eastAsia="en-AU"/>
              </w:rPr>
              <w:t>.</w:t>
            </w:r>
            <w:r>
              <w:rPr>
                <w:lang w:eastAsia="en-AU"/>
              </w:rPr>
              <w:t xml:space="preserve"> </w:t>
            </w:r>
          </w:p>
          <w:p w:rsidR="00DE0FFF" w:rsidRDefault="004803A4" w:rsidP="00DE0FFF">
            <w:pPr>
              <w:pStyle w:val="ListParagraph"/>
              <w:numPr>
                <w:ilvl w:val="0"/>
                <w:numId w:val="31"/>
              </w:numPr>
              <w:ind w:left="398"/>
            </w:pPr>
            <w:r>
              <w:rPr>
                <w:rFonts w:eastAsia="Times New Roman" w:cs="Arial"/>
                <w:szCs w:val="20"/>
                <w:lang w:eastAsia="en-GB"/>
              </w:rPr>
              <w:t xml:space="preserve">Implementing an alternative approach to calculate HSRs for non-dairy beverages, </w:t>
            </w:r>
            <w:r>
              <w:t>resulted in a majority (94%) of these products with a decrease in HSR of 0.5 to 3 stars.</w:t>
            </w:r>
          </w:p>
          <w:p w:rsidR="00DE0FFF" w:rsidRDefault="00CE16E6" w:rsidP="00DE0FFF">
            <w:pPr>
              <w:pStyle w:val="ListParagraph"/>
              <w:numPr>
                <w:ilvl w:val="0"/>
                <w:numId w:val="31"/>
              </w:numPr>
              <w:ind w:left="398"/>
            </w:pPr>
            <w:r>
              <w:t xml:space="preserve">Overall, the </w:t>
            </w:r>
            <w:r w:rsidR="00DE0FFF">
              <w:t xml:space="preserve">combined impact of </w:t>
            </w:r>
            <w:r>
              <w:t>recommended</w:t>
            </w:r>
            <w:r w:rsidR="00DE0FFF">
              <w:t xml:space="preserve"> changes </w:t>
            </w:r>
            <w:r w:rsidR="00DE0FFF" w:rsidRPr="00DE0FFF">
              <w:rPr>
                <w:rFonts w:eastAsia="Times New Roman" w:cs="Arial"/>
                <w:szCs w:val="20"/>
                <w:lang w:eastAsia="en-GB"/>
              </w:rPr>
              <w:t>to the Original HSR calculator would result in a better alignment with dietary guidelines.</w:t>
            </w:r>
          </w:p>
          <w:p w:rsidR="00471223" w:rsidRPr="004F688A" w:rsidRDefault="00471223" w:rsidP="00DE0FFF">
            <w:pPr>
              <w:pStyle w:val="ListParagraph"/>
              <w:ind w:left="398"/>
            </w:pPr>
          </w:p>
          <w:p w:rsidR="004F688A" w:rsidRPr="00471223" w:rsidRDefault="00471223" w:rsidP="00471223">
            <w:pPr>
              <w:pStyle w:val="ListParagraph"/>
              <w:ind w:left="38"/>
              <w:rPr>
                <w:i/>
              </w:rPr>
            </w:pPr>
            <w:r w:rsidRPr="00471223">
              <w:rPr>
                <w:i/>
              </w:rPr>
              <w:t>Reconsideration of recommended dairy re-categorisation and rescaling</w:t>
            </w:r>
          </w:p>
          <w:p w:rsidR="004F688A" w:rsidRDefault="00CE16E6" w:rsidP="004F688A">
            <w:pPr>
              <w:pStyle w:val="ListParagraph"/>
              <w:numPr>
                <w:ilvl w:val="0"/>
                <w:numId w:val="31"/>
              </w:numPr>
              <w:ind w:left="398"/>
            </w:pPr>
            <w:r>
              <w:t>Excluding the recommended reclassification and rescaling for dairy products in HSR Categories 2D and 3D resulted in only small changes for all dairy food categories</w:t>
            </w:r>
            <w:r w:rsidR="008D0A43">
              <w:t xml:space="preserve"> </w:t>
            </w:r>
            <w:r w:rsidR="00637AE1">
              <w:t>compared to the O</w:t>
            </w:r>
            <w:r w:rsidR="00F63C82">
              <w:t xml:space="preserve">riginal HSR calculator </w:t>
            </w:r>
            <w:r w:rsidR="008D0A43">
              <w:t>and</w:t>
            </w:r>
            <w:r w:rsidR="004F688A">
              <w:t xml:space="preserve"> did not result in </w:t>
            </w:r>
            <w:r w:rsidR="005D0AAF">
              <w:t xml:space="preserve">a </w:t>
            </w:r>
            <w:r w:rsidR="004F688A">
              <w:t>better alignment with dietary guidelines compared to the Recommended HSR calculator</w:t>
            </w:r>
            <w:r w:rsidR="00BF1FF7">
              <w:t>.</w:t>
            </w:r>
          </w:p>
          <w:p w:rsidR="009C2478" w:rsidRDefault="009C2478" w:rsidP="008D0A43">
            <w:pPr>
              <w:rPr>
                <w:b/>
              </w:rPr>
            </w:pPr>
          </w:p>
        </w:tc>
      </w:tr>
    </w:tbl>
    <w:p w:rsidR="00051E01" w:rsidRDefault="00051E01" w:rsidP="00051E01"/>
    <w:p w:rsidR="006D11AF" w:rsidRPr="001A0539" w:rsidRDefault="006D11AF" w:rsidP="001A0539">
      <w:pPr>
        <w:pStyle w:val="Heading2"/>
        <w:numPr>
          <w:ilvl w:val="0"/>
          <w:numId w:val="18"/>
        </w:numPr>
        <w:rPr>
          <w:rFonts w:eastAsiaTheme="minorHAnsi" w:cstheme="minorBidi"/>
          <w:bCs w:val="0"/>
          <w:sz w:val="22"/>
        </w:rPr>
      </w:pPr>
      <w:r w:rsidRPr="001A0539">
        <w:rPr>
          <w:rFonts w:eastAsiaTheme="minorHAnsi" w:cstheme="minorBidi"/>
          <w:bCs w:val="0"/>
          <w:sz w:val="24"/>
          <w:szCs w:val="24"/>
        </w:rPr>
        <w:t>Peer review of HSR modelling undertaken in the Review Report</w:t>
      </w:r>
    </w:p>
    <w:p w:rsidR="00E9291E" w:rsidRDefault="00CE22D1" w:rsidP="00E9291E">
      <w:r>
        <w:t xml:space="preserve">Modelling undertaken as part of </w:t>
      </w:r>
      <w:r w:rsidR="00937381">
        <w:t xml:space="preserve">the Review </w:t>
      </w:r>
      <w:r>
        <w:t xml:space="preserve">used the database of </w:t>
      </w:r>
      <w:r w:rsidR="00AA0D85">
        <w:t>food products developed and used by t</w:t>
      </w:r>
      <w:r w:rsidR="008F1BC9">
        <w:t>h</w:t>
      </w:r>
      <w:r w:rsidR="00AA0D85">
        <w:t xml:space="preserve">e HSR Technical Advisory Group (the </w:t>
      </w:r>
      <w:r w:rsidR="00090FD1">
        <w:t>TAG database</w:t>
      </w:r>
      <w:r w:rsidR="00AA0D85">
        <w:t>)</w:t>
      </w:r>
      <w:r w:rsidR="00090FD1">
        <w:t xml:space="preserve">. </w:t>
      </w:r>
      <w:r w:rsidR="006E6C44">
        <w:rPr>
          <w:lang w:eastAsia="en-AU"/>
        </w:rPr>
        <w:t>While noting it has some limitations</w:t>
      </w:r>
      <w:r w:rsidR="006E6C44">
        <w:t xml:space="preserve">, to be consistent </w:t>
      </w:r>
      <w:r w:rsidR="00090FD1">
        <w:t>FSANZ</w:t>
      </w:r>
      <w:r w:rsidR="00AA0D85">
        <w:t xml:space="preserve"> used the same TAG database and HSR calculator to assess the accuracy of the modelling. </w:t>
      </w:r>
      <w:r w:rsidR="002E45BE">
        <w:t xml:space="preserve">Overall, </w:t>
      </w:r>
      <w:r>
        <w:t xml:space="preserve">FSANZ found the </w:t>
      </w:r>
      <w:r w:rsidR="002E45BE">
        <w:t xml:space="preserve">modelling in </w:t>
      </w:r>
      <w:r>
        <w:t xml:space="preserve">the </w:t>
      </w:r>
      <w:r w:rsidR="002E45BE">
        <w:t xml:space="preserve">final Review </w:t>
      </w:r>
      <w:r>
        <w:t>r</w:t>
      </w:r>
      <w:r w:rsidR="002E45BE">
        <w:t xml:space="preserve">eport </w:t>
      </w:r>
      <w:r>
        <w:t>was</w:t>
      </w:r>
      <w:r w:rsidR="002E45BE">
        <w:t xml:space="preserve"> robust and accurate. Where small differences were identified, these could be attributed to slight differences in the underlying assumptions made about the data</w:t>
      </w:r>
      <w:r>
        <w:t>.</w:t>
      </w:r>
      <w:r w:rsidR="002E45BE">
        <w:t xml:space="preserve"> </w:t>
      </w:r>
    </w:p>
    <w:p w:rsidR="00830F4F" w:rsidRPr="00E9291E" w:rsidRDefault="00EC7F9E" w:rsidP="00E9291E">
      <w:pPr>
        <w:pStyle w:val="Heading2"/>
        <w:numPr>
          <w:ilvl w:val="0"/>
          <w:numId w:val="18"/>
        </w:numPr>
        <w:rPr>
          <w:rFonts w:eastAsiaTheme="minorHAnsi" w:cstheme="minorBidi"/>
          <w:bCs w:val="0"/>
          <w:sz w:val="24"/>
          <w:szCs w:val="24"/>
        </w:rPr>
      </w:pPr>
      <w:bookmarkStart w:id="0" w:name="_Toc34934638"/>
      <w:bookmarkStart w:id="1" w:name="_Toc35248843"/>
      <w:r w:rsidRPr="00E9291E">
        <w:rPr>
          <w:rFonts w:eastAsiaTheme="minorHAnsi" w:cstheme="minorBidi"/>
          <w:bCs w:val="0"/>
          <w:sz w:val="24"/>
          <w:szCs w:val="24"/>
        </w:rPr>
        <w:t>Impact of all recommended changes compared to original HSR calculator</w:t>
      </w:r>
      <w:bookmarkStart w:id="2" w:name="_Ref33636296"/>
      <w:bookmarkEnd w:id="0"/>
      <w:bookmarkEnd w:id="1"/>
    </w:p>
    <w:bookmarkEnd w:id="2"/>
    <w:p w:rsidR="00441705" w:rsidRDefault="00CC27EE" w:rsidP="00E9291E">
      <w:r>
        <w:t xml:space="preserve">In order to </w:t>
      </w:r>
      <w:r w:rsidR="00AA0D85">
        <w:t xml:space="preserve">determine the impact of all recommended changes to the HSR calculator, FSANZ used </w:t>
      </w:r>
      <w:r w:rsidR="003F7CDC">
        <w:t>the</w:t>
      </w:r>
      <w:r w:rsidR="00AA0D85">
        <w:t xml:space="preserve"> </w:t>
      </w:r>
      <w:r>
        <w:t xml:space="preserve">current HSR calculator (the </w:t>
      </w:r>
      <w:r w:rsidR="007E5E68">
        <w:t>o</w:t>
      </w:r>
      <w:r>
        <w:t xml:space="preserve">riginal scenario) </w:t>
      </w:r>
      <w:r w:rsidR="00AA0D85">
        <w:t xml:space="preserve">which was </w:t>
      </w:r>
      <w:r>
        <w:t xml:space="preserve">then updated to reflect all of the changes, outlined above, as recommended in the Review (the </w:t>
      </w:r>
      <w:r w:rsidR="007E5E68">
        <w:t>r</w:t>
      </w:r>
      <w:r>
        <w:t>ecommended scenario).</w:t>
      </w:r>
      <w:r w:rsidR="00441705" w:rsidRPr="00441705">
        <w:t xml:space="preserve"> </w:t>
      </w:r>
    </w:p>
    <w:p w:rsidR="008B30A3" w:rsidRDefault="008B30A3" w:rsidP="00E9291E"/>
    <w:p w:rsidR="00441705" w:rsidRDefault="00441705" w:rsidP="00E9291E">
      <w:r>
        <w:t xml:space="preserve">A summary of all </w:t>
      </w:r>
      <w:r w:rsidR="00AA0D85">
        <w:t xml:space="preserve">recommended </w:t>
      </w:r>
      <w:r>
        <w:t>changes to the Original HSR calculator can be found in Table 1 of the Appendix.</w:t>
      </w:r>
    </w:p>
    <w:p w:rsidR="0080508E" w:rsidRDefault="00064182" w:rsidP="001A0539">
      <w:pPr>
        <w:pStyle w:val="Heading4"/>
      </w:pPr>
      <w:r w:rsidRPr="00E10AEF">
        <w:t xml:space="preserve">Impact on all </w:t>
      </w:r>
      <w:r w:rsidR="003F7CDC">
        <w:t xml:space="preserve">food </w:t>
      </w:r>
      <w:r w:rsidRPr="00E10AEF">
        <w:t xml:space="preserve">categories except </w:t>
      </w:r>
      <w:r w:rsidR="007E5E68">
        <w:t>n</w:t>
      </w:r>
      <w:r w:rsidRPr="00E10AEF">
        <w:t>on-dairy beverages</w:t>
      </w:r>
    </w:p>
    <w:p w:rsidR="002E7A3F" w:rsidRDefault="00064182" w:rsidP="00051E01">
      <w:pPr>
        <w:rPr>
          <w:lang w:eastAsia="en-AU"/>
        </w:rPr>
      </w:pPr>
      <w:r>
        <w:rPr>
          <w:rFonts w:eastAsia="Times New Roman" w:cs="Arial"/>
          <w:szCs w:val="20"/>
          <w:lang w:eastAsia="en-GB"/>
        </w:rPr>
        <w:t xml:space="preserve">As </w:t>
      </w:r>
      <w:r w:rsidR="0080508E">
        <w:rPr>
          <w:rFonts w:eastAsia="Times New Roman" w:cs="Arial"/>
          <w:szCs w:val="20"/>
          <w:lang w:eastAsia="en-GB"/>
        </w:rPr>
        <w:t xml:space="preserve">summarised in Table 1 </w:t>
      </w:r>
      <w:r w:rsidR="0015220C">
        <w:rPr>
          <w:rFonts w:eastAsia="Times New Roman" w:cs="Arial"/>
          <w:szCs w:val="20"/>
          <w:lang w:eastAsia="en-GB"/>
        </w:rPr>
        <w:t>below</w:t>
      </w:r>
      <w:r w:rsidR="0080508E">
        <w:rPr>
          <w:rFonts w:eastAsia="Times New Roman" w:cs="Arial"/>
          <w:szCs w:val="20"/>
          <w:lang w:eastAsia="en-GB"/>
        </w:rPr>
        <w:t xml:space="preserve">, the </w:t>
      </w:r>
      <w:r w:rsidR="00051E01" w:rsidRPr="003C4ADD">
        <w:rPr>
          <w:rFonts w:eastAsia="Times New Roman" w:cs="Arial"/>
          <w:szCs w:val="20"/>
          <w:lang w:eastAsia="en-GB"/>
        </w:rPr>
        <w:t xml:space="preserve">impact </w:t>
      </w:r>
      <w:r w:rsidR="00051E01">
        <w:rPr>
          <w:rFonts w:eastAsia="Times New Roman" w:cs="Arial"/>
          <w:szCs w:val="20"/>
          <w:lang w:eastAsia="en-GB"/>
        </w:rPr>
        <w:t xml:space="preserve">of </w:t>
      </w:r>
      <w:r w:rsidR="000606C3">
        <w:rPr>
          <w:rFonts w:eastAsia="Times New Roman" w:cs="Arial"/>
          <w:szCs w:val="20"/>
          <w:lang w:eastAsia="en-GB"/>
        </w:rPr>
        <w:t xml:space="preserve">using </w:t>
      </w:r>
      <w:r w:rsidR="00051E01">
        <w:rPr>
          <w:rFonts w:eastAsia="Times New Roman" w:cs="Arial"/>
          <w:szCs w:val="20"/>
          <w:lang w:eastAsia="en-GB"/>
        </w:rPr>
        <w:t xml:space="preserve">the </w:t>
      </w:r>
      <w:r w:rsidR="007E5E68">
        <w:rPr>
          <w:rFonts w:eastAsia="Times New Roman" w:cs="Arial"/>
          <w:szCs w:val="20"/>
          <w:lang w:eastAsia="en-GB"/>
        </w:rPr>
        <w:t>r</w:t>
      </w:r>
      <w:r w:rsidR="00051E01">
        <w:rPr>
          <w:rFonts w:eastAsia="Times New Roman" w:cs="Arial"/>
          <w:szCs w:val="20"/>
          <w:lang w:eastAsia="en-GB"/>
        </w:rPr>
        <w:t>ecommended HSR calculator</w:t>
      </w:r>
      <w:r w:rsidR="00CC27EE">
        <w:rPr>
          <w:rFonts w:eastAsia="Times New Roman" w:cs="Arial"/>
          <w:szCs w:val="20"/>
          <w:lang w:eastAsia="en-GB"/>
        </w:rPr>
        <w:t xml:space="preserve">, compared to the </w:t>
      </w:r>
      <w:r w:rsidR="007E5E68">
        <w:rPr>
          <w:rFonts w:eastAsia="Times New Roman" w:cs="Arial"/>
          <w:szCs w:val="20"/>
          <w:lang w:eastAsia="en-GB"/>
        </w:rPr>
        <w:t>o</w:t>
      </w:r>
      <w:r w:rsidR="00CC27EE">
        <w:rPr>
          <w:rFonts w:eastAsia="Times New Roman" w:cs="Arial"/>
          <w:szCs w:val="20"/>
          <w:lang w:eastAsia="en-GB"/>
        </w:rPr>
        <w:t>riginal calculator,</w:t>
      </w:r>
      <w:r w:rsidR="00051E01">
        <w:rPr>
          <w:rFonts w:eastAsia="Times New Roman" w:cs="Arial"/>
          <w:szCs w:val="20"/>
          <w:lang w:eastAsia="en-GB"/>
        </w:rPr>
        <w:t xml:space="preserve"> resulted in approximately 22% of TAG database products being affected by </w:t>
      </w:r>
      <w:r w:rsidR="003F7CDC">
        <w:rPr>
          <w:rFonts w:eastAsia="Times New Roman" w:cs="Arial"/>
          <w:szCs w:val="20"/>
          <w:lang w:eastAsia="en-GB"/>
        </w:rPr>
        <w:t xml:space="preserve">an </w:t>
      </w:r>
      <w:r w:rsidR="00051E01">
        <w:rPr>
          <w:rFonts w:eastAsia="Times New Roman" w:cs="Arial"/>
          <w:szCs w:val="20"/>
          <w:lang w:eastAsia="en-GB"/>
        </w:rPr>
        <w:t xml:space="preserve">increased (14%) or decreased (8%) HSR. </w:t>
      </w:r>
      <w:r w:rsidR="00F63582">
        <w:rPr>
          <w:lang w:eastAsia="en-AU"/>
        </w:rPr>
        <w:t>Of these</w:t>
      </w:r>
      <w:r w:rsidR="00723F37">
        <w:rPr>
          <w:lang w:eastAsia="en-AU"/>
        </w:rPr>
        <w:t>,</w:t>
      </w:r>
      <w:r w:rsidR="00F63582">
        <w:rPr>
          <w:lang w:eastAsia="en-AU"/>
        </w:rPr>
        <w:t xml:space="preserve"> </w:t>
      </w:r>
      <w:r w:rsidR="0090636A">
        <w:rPr>
          <w:lang w:eastAsia="en-AU"/>
        </w:rPr>
        <w:t>16% were for FFG products and 6%</w:t>
      </w:r>
      <w:r w:rsidR="003F7CDC">
        <w:rPr>
          <w:lang w:eastAsia="en-AU"/>
        </w:rPr>
        <w:t xml:space="preserve"> were</w:t>
      </w:r>
      <w:r w:rsidR="0090636A">
        <w:rPr>
          <w:lang w:eastAsia="en-AU"/>
        </w:rPr>
        <w:t xml:space="preserve"> for discretionary</w:t>
      </w:r>
      <w:r w:rsidR="003F7CDC">
        <w:rPr>
          <w:rStyle w:val="FootnoteReference"/>
          <w:lang w:eastAsia="en-AU"/>
        </w:rPr>
        <w:footnoteReference w:id="5"/>
      </w:r>
      <w:r w:rsidR="0090636A">
        <w:rPr>
          <w:lang w:eastAsia="en-AU"/>
        </w:rPr>
        <w:t xml:space="preserve"> products</w:t>
      </w:r>
      <w:r w:rsidR="003F7CDC">
        <w:rPr>
          <w:lang w:eastAsia="en-AU"/>
        </w:rPr>
        <w:t>. M</w:t>
      </w:r>
      <w:r w:rsidR="0090636A">
        <w:rPr>
          <w:lang w:eastAsia="en-AU"/>
        </w:rPr>
        <w:t xml:space="preserve">ost of the increased HSRs </w:t>
      </w:r>
      <w:r w:rsidR="003F7CDC">
        <w:rPr>
          <w:lang w:eastAsia="en-AU"/>
        </w:rPr>
        <w:t>related</w:t>
      </w:r>
      <w:r w:rsidR="0090636A">
        <w:rPr>
          <w:lang w:eastAsia="en-AU"/>
        </w:rPr>
        <w:t xml:space="preserve"> </w:t>
      </w:r>
      <w:r w:rsidR="00DE1639">
        <w:rPr>
          <w:lang w:eastAsia="en-AU"/>
        </w:rPr>
        <w:t xml:space="preserve">to </w:t>
      </w:r>
      <w:r w:rsidR="0090636A">
        <w:rPr>
          <w:lang w:eastAsia="en-AU"/>
        </w:rPr>
        <w:t xml:space="preserve">FFG products (14% total) and the majority of decreased HSRs </w:t>
      </w:r>
      <w:r w:rsidR="003F7CDC">
        <w:rPr>
          <w:lang w:eastAsia="en-AU"/>
        </w:rPr>
        <w:t>related to</w:t>
      </w:r>
      <w:r w:rsidR="0090636A">
        <w:rPr>
          <w:lang w:eastAsia="en-AU"/>
        </w:rPr>
        <w:t xml:space="preserve"> dis</w:t>
      </w:r>
      <w:r w:rsidR="002E7A3F">
        <w:rPr>
          <w:lang w:eastAsia="en-AU"/>
        </w:rPr>
        <w:t xml:space="preserve">cretionary products (6% total), </w:t>
      </w:r>
      <w:r w:rsidR="003F7CDC">
        <w:rPr>
          <w:rFonts w:eastAsia="Times New Roman" w:cs="Arial"/>
          <w:szCs w:val="20"/>
          <w:lang w:eastAsia="en-GB"/>
        </w:rPr>
        <w:t>indicating</w:t>
      </w:r>
      <w:r w:rsidR="002E7A3F">
        <w:rPr>
          <w:rFonts w:eastAsia="Times New Roman" w:cs="Arial"/>
          <w:szCs w:val="20"/>
          <w:lang w:eastAsia="en-GB"/>
        </w:rPr>
        <w:t xml:space="preserve"> that the recommended changes to the Original HSR calculator would result in a better alignment with dietary guidelines.</w:t>
      </w:r>
    </w:p>
    <w:p w:rsidR="002E7A3F" w:rsidRDefault="002E7A3F" w:rsidP="00C34194">
      <w:pPr>
        <w:keepNext/>
        <w:rPr>
          <w:lang w:eastAsia="en-AU"/>
        </w:rPr>
      </w:pPr>
    </w:p>
    <w:p w:rsidR="00090FD1" w:rsidRDefault="00090FD1" w:rsidP="00C34194">
      <w:pPr>
        <w:pStyle w:val="Caption"/>
        <w:keepNext/>
        <w:ind w:left="1134" w:hanging="1134"/>
        <w:rPr>
          <w:lang w:eastAsia="en-AU"/>
        </w:rPr>
      </w:pPr>
      <w:bookmarkStart w:id="3" w:name="_Ref34403801"/>
      <w:r>
        <w:t xml:space="preserve">Table </w:t>
      </w:r>
      <w:bookmarkEnd w:id="3"/>
      <w:r>
        <w:t>1</w:t>
      </w:r>
      <w:r>
        <w:tab/>
        <w:t xml:space="preserve">Summary of impacts on HSR Category 1D, 2, 2D, 3 and 3D products as a result of </w:t>
      </w:r>
      <w:r w:rsidR="003851B5">
        <w:t>r</w:t>
      </w:r>
      <w:r>
        <w:t>ecommended changes to the HSR calculator</w:t>
      </w:r>
    </w:p>
    <w:tbl>
      <w:tblPr>
        <w:tblStyle w:val="PlainTable2"/>
        <w:tblW w:w="9067" w:type="dxa"/>
        <w:tblLook w:val="04A0" w:firstRow="1" w:lastRow="0" w:firstColumn="1" w:lastColumn="0" w:noHBand="0" w:noVBand="1"/>
        <w:tblCaption w:val="Table 1 Summary of impacts on HSR Category 1D, 2, 2D, 3 and 3D products as a result of recommended changes to the HSR calculator"/>
        <w:tblDescription w:val="Summary of impacts on HSR Category 1D, 2, 2D, 3 and 3D products, broken down by five food group and discretionary products, as a result of recommended changes to the HSR calculator"/>
      </w:tblPr>
      <w:tblGrid>
        <w:gridCol w:w="1980"/>
        <w:gridCol w:w="2693"/>
        <w:gridCol w:w="2127"/>
        <w:gridCol w:w="2267"/>
      </w:tblGrid>
      <w:tr w:rsidR="00AA0D85" w:rsidRPr="008A606A" w:rsidTr="0005647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shd w:val="clear" w:color="auto" w:fill="404040" w:themeFill="text1" w:themeFillTint="BF"/>
          </w:tcPr>
          <w:p w:rsidR="00AA0D85" w:rsidRPr="00414C3E" w:rsidRDefault="00AA0D85" w:rsidP="00C34194">
            <w:pPr>
              <w:keepNext/>
              <w:rPr>
                <w:rFonts w:cs="Arial"/>
                <w:color w:val="FFFFFF" w:themeColor="background1"/>
                <w:sz w:val="18"/>
                <w:szCs w:val="18"/>
                <w:lang w:eastAsia="en-AU"/>
              </w:rPr>
            </w:pPr>
          </w:p>
        </w:tc>
        <w:tc>
          <w:tcPr>
            <w:tcW w:w="2693" w:type="dxa"/>
            <w:shd w:val="clear" w:color="auto" w:fill="404040" w:themeFill="text1" w:themeFillTint="BF"/>
          </w:tcPr>
          <w:p w:rsidR="00AA0D85" w:rsidRPr="00414C3E" w:rsidRDefault="00AA0D85" w:rsidP="00C34194">
            <w:pPr>
              <w:keepNext/>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lang w:eastAsia="en-AU"/>
              </w:rPr>
            </w:pPr>
            <w:r w:rsidRPr="00414C3E">
              <w:rPr>
                <w:rFonts w:cs="Arial"/>
                <w:color w:val="FFFFFF" w:themeColor="background1"/>
                <w:sz w:val="18"/>
                <w:szCs w:val="18"/>
                <w:lang w:eastAsia="en-AU"/>
              </w:rPr>
              <w:t>All TAG database products</w:t>
            </w:r>
          </w:p>
          <w:p w:rsidR="00AA0D85" w:rsidRPr="00414C3E" w:rsidRDefault="00AA0D85" w:rsidP="00C34194">
            <w:pPr>
              <w:keepNext/>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lang w:eastAsia="en-AU"/>
              </w:rPr>
            </w:pPr>
            <w:r w:rsidRPr="00414C3E">
              <w:rPr>
                <w:rFonts w:cs="Arial"/>
                <w:color w:val="FFFFFF" w:themeColor="background1"/>
                <w:sz w:val="18"/>
                <w:szCs w:val="18"/>
                <w:lang w:eastAsia="en-AU"/>
              </w:rPr>
              <w:t>(% of total)</w:t>
            </w:r>
          </w:p>
        </w:tc>
        <w:tc>
          <w:tcPr>
            <w:tcW w:w="2127" w:type="dxa"/>
            <w:shd w:val="clear" w:color="auto" w:fill="404040" w:themeFill="text1" w:themeFillTint="BF"/>
          </w:tcPr>
          <w:p w:rsidR="00AA0D85" w:rsidRPr="00414C3E" w:rsidRDefault="00AA0D85" w:rsidP="00C34194">
            <w:pPr>
              <w:keepNext/>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lang w:eastAsia="en-AU"/>
              </w:rPr>
            </w:pPr>
            <w:r w:rsidRPr="00414C3E">
              <w:rPr>
                <w:rFonts w:cs="Arial"/>
                <w:color w:val="FFFFFF" w:themeColor="background1"/>
                <w:sz w:val="18"/>
                <w:szCs w:val="18"/>
                <w:lang w:eastAsia="en-AU"/>
              </w:rPr>
              <w:t>FFG products</w:t>
            </w:r>
          </w:p>
          <w:p w:rsidR="00AA0D85" w:rsidRPr="00414C3E" w:rsidRDefault="00AA0D85" w:rsidP="00C34194">
            <w:pPr>
              <w:keepNext/>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lang w:eastAsia="en-AU"/>
              </w:rPr>
            </w:pPr>
            <w:r w:rsidRPr="00414C3E">
              <w:rPr>
                <w:rFonts w:cs="Arial"/>
                <w:color w:val="FFFFFF" w:themeColor="background1"/>
                <w:sz w:val="18"/>
                <w:szCs w:val="18"/>
                <w:lang w:eastAsia="en-AU"/>
              </w:rPr>
              <w:t>(% of total)</w:t>
            </w:r>
          </w:p>
        </w:tc>
        <w:tc>
          <w:tcPr>
            <w:tcW w:w="2267" w:type="dxa"/>
            <w:shd w:val="clear" w:color="auto" w:fill="404040" w:themeFill="text1" w:themeFillTint="BF"/>
          </w:tcPr>
          <w:p w:rsidR="00AA0D85" w:rsidRPr="00414C3E" w:rsidRDefault="00AA0D85" w:rsidP="00C34194">
            <w:pPr>
              <w:keepNext/>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lang w:eastAsia="en-AU"/>
              </w:rPr>
            </w:pPr>
            <w:r w:rsidRPr="00414C3E">
              <w:rPr>
                <w:rFonts w:cs="Arial"/>
                <w:color w:val="FFFFFF" w:themeColor="background1"/>
                <w:sz w:val="18"/>
                <w:szCs w:val="18"/>
                <w:lang w:eastAsia="en-AU"/>
              </w:rPr>
              <w:t>Discretionary products</w:t>
            </w:r>
          </w:p>
          <w:p w:rsidR="00AA0D85" w:rsidRPr="00414C3E" w:rsidRDefault="00AA0D85" w:rsidP="00C34194">
            <w:pPr>
              <w:keepNext/>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lang w:eastAsia="en-AU"/>
              </w:rPr>
            </w:pPr>
            <w:r w:rsidRPr="00414C3E">
              <w:rPr>
                <w:rFonts w:cs="Arial"/>
                <w:color w:val="FFFFFF" w:themeColor="background1"/>
                <w:sz w:val="18"/>
                <w:szCs w:val="18"/>
                <w:lang w:eastAsia="en-AU"/>
              </w:rPr>
              <w:t>(% of total)</w:t>
            </w:r>
          </w:p>
        </w:tc>
      </w:tr>
      <w:tr w:rsidR="00AA0D85" w:rsidRPr="0030435C" w:rsidTr="00CE16E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80" w:type="dxa"/>
            <w:vAlign w:val="center"/>
          </w:tcPr>
          <w:p w:rsidR="00AA0D85" w:rsidRPr="00414C3E" w:rsidRDefault="00AA0D85" w:rsidP="00CE16E6">
            <w:pPr>
              <w:rPr>
                <w:rFonts w:cs="Arial"/>
                <w:sz w:val="18"/>
                <w:szCs w:val="18"/>
                <w:lang w:eastAsia="en-AU"/>
              </w:rPr>
            </w:pPr>
            <w:r w:rsidRPr="00414C3E">
              <w:rPr>
                <w:rFonts w:cs="Arial"/>
                <w:sz w:val="18"/>
                <w:szCs w:val="18"/>
                <w:lang w:eastAsia="en-AU"/>
              </w:rPr>
              <w:t>Total products</w:t>
            </w:r>
          </w:p>
        </w:tc>
        <w:tc>
          <w:tcPr>
            <w:tcW w:w="2693" w:type="dxa"/>
            <w:vAlign w:val="center"/>
          </w:tcPr>
          <w:p w:rsidR="00AA0D85" w:rsidRPr="00414C3E" w:rsidRDefault="00AA0D85" w:rsidP="00CE16E6">
            <w:pPr>
              <w:cnfStyle w:val="000000100000" w:firstRow="0" w:lastRow="0" w:firstColumn="0" w:lastColumn="0" w:oddVBand="0" w:evenVBand="0" w:oddHBand="1" w:evenHBand="0" w:firstRowFirstColumn="0" w:firstRowLastColumn="0" w:lastRowFirstColumn="0" w:lastRowLastColumn="0"/>
              <w:rPr>
                <w:rFonts w:cs="Arial"/>
                <w:sz w:val="18"/>
                <w:szCs w:val="18"/>
                <w:lang w:eastAsia="en-AU"/>
              </w:rPr>
            </w:pPr>
            <w:r w:rsidRPr="00414C3E">
              <w:rPr>
                <w:rFonts w:cs="Arial"/>
                <w:sz w:val="18"/>
                <w:szCs w:val="18"/>
                <w:lang w:eastAsia="en-AU"/>
              </w:rPr>
              <w:t>5522</w:t>
            </w:r>
          </w:p>
        </w:tc>
        <w:tc>
          <w:tcPr>
            <w:tcW w:w="2127" w:type="dxa"/>
            <w:vAlign w:val="center"/>
          </w:tcPr>
          <w:p w:rsidR="00AA0D85" w:rsidRPr="00414C3E" w:rsidRDefault="00AA0D85" w:rsidP="00CE16E6">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414C3E">
              <w:rPr>
                <w:rFonts w:cs="Arial"/>
                <w:sz w:val="18"/>
                <w:szCs w:val="18"/>
              </w:rPr>
              <w:t>3477 (63%)</w:t>
            </w:r>
          </w:p>
        </w:tc>
        <w:tc>
          <w:tcPr>
            <w:tcW w:w="2267" w:type="dxa"/>
            <w:vAlign w:val="center"/>
          </w:tcPr>
          <w:p w:rsidR="00AA0D85" w:rsidRPr="00414C3E" w:rsidRDefault="00AA0D85" w:rsidP="00CE16E6">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414C3E">
              <w:rPr>
                <w:rFonts w:cs="Arial"/>
                <w:sz w:val="18"/>
                <w:szCs w:val="18"/>
              </w:rPr>
              <w:t>2045 (37%)</w:t>
            </w:r>
          </w:p>
        </w:tc>
      </w:tr>
      <w:tr w:rsidR="00AA0D85" w:rsidRPr="0030435C" w:rsidTr="00CE16E6">
        <w:trPr>
          <w:trHeight w:val="567"/>
        </w:trPr>
        <w:tc>
          <w:tcPr>
            <w:cnfStyle w:val="001000000000" w:firstRow="0" w:lastRow="0" w:firstColumn="1" w:lastColumn="0" w:oddVBand="0" w:evenVBand="0" w:oddHBand="0" w:evenHBand="0" w:firstRowFirstColumn="0" w:firstRowLastColumn="0" w:lastRowFirstColumn="0" w:lastRowLastColumn="0"/>
            <w:tcW w:w="1980" w:type="dxa"/>
            <w:vAlign w:val="center"/>
          </w:tcPr>
          <w:p w:rsidR="00AA0D85" w:rsidRPr="00414C3E" w:rsidRDefault="00AA0D85" w:rsidP="00CE16E6">
            <w:pPr>
              <w:rPr>
                <w:rFonts w:cs="Arial"/>
                <w:sz w:val="18"/>
                <w:szCs w:val="18"/>
                <w:lang w:eastAsia="en-AU"/>
              </w:rPr>
            </w:pPr>
            <w:r w:rsidRPr="00414C3E">
              <w:rPr>
                <w:rFonts w:cs="Arial"/>
                <w:sz w:val="18"/>
                <w:szCs w:val="18"/>
                <w:lang w:eastAsia="en-AU"/>
              </w:rPr>
              <w:t>Products with increased HSR</w:t>
            </w:r>
          </w:p>
        </w:tc>
        <w:tc>
          <w:tcPr>
            <w:tcW w:w="2693" w:type="dxa"/>
            <w:vAlign w:val="center"/>
          </w:tcPr>
          <w:p w:rsidR="00AA0D85" w:rsidRPr="00414C3E" w:rsidRDefault="00AA0D85" w:rsidP="00CE16E6">
            <w:pPr>
              <w:cnfStyle w:val="000000000000" w:firstRow="0" w:lastRow="0" w:firstColumn="0" w:lastColumn="0" w:oddVBand="0" w:evenVBand="0" w:oddHBand="0" w:evenHBand="0" w:firstRowFirstColumn="0" w:firstRowLastColumn="0" w:lastRowFirstColumn="0" w:lastRowLastColumn="0"/>
              <w:rPr>
                <w:rFonts w:cs="Arial"/>
                <w:sz w:val="18"/>
                <w:szCs w:val="18"/>
                <w:lang w:eastAsia="en-AU"/>
              </w:rPr>
            </w:pPr>
            <w:r w:rsidRPr="00414C3E">
              <w:rPr>
                <w:rFonts w:cs="Arial"/>
                <w:sz w:val="18"/>
                <w:szCs w:val="18"/>
                <w:lang w:eastAsia="en-AU"/>
              </w:rPr>
              <w:t>791 (14%)</w:t>
            </w:r>
          </w:p>
        </w:tc>
        <w:tc>
          <w:tcPr>
            <w:tcW w:w="2127" w:type="dxa"/>
            <w:vAlign w:val="center"/>
          </w:tcPr>
          <w:p w:rsidR="00AA0D85" w:rsidRPr="00414C3E" w:rsidRDefault="00AA0D85" w:rsidP="00CE16E6">
            <w:pPr>
              <w:cnfStyle w:val="000000000000" w:firstRow="0" w:lastRow="0" w:firstColumn="0" w:lastColumn="0" w:oddVBand="0" w:evenVBand="0" w:oddHBand="0" w:evenHBand="0" w:firstRowFirstColumn="0" w:firstRowLastColumn="0" w:lastRowFirstColumn="0" w:lastRowLastColumn="0"/>
              <w:rPr>
                <w:rFonts w:cs="Arial"/>
                <w:sz w:val="18"/>
                <w:szCs w:val="18"/>
                <w:lang w:eastAsia="en-AU"/>
              </w:rPr>
            </w:pPr>
            <w:r w:rsidRPr="00414C3E">
              <w:rPr>
                <w:rFonts w:cs="Arial"/>
                <w:sz w:val="18"/>
                <w:szCs w:val="18"/>
              </w:rPr>
              <w:t>770 (14%)</w:t>
            </w:r>
          </w:p>
        </w:tc>
        <w:tc>
          <w:tcPr>
            <w:tcW w:w="2267" w:type="dxa"/>
            <w:vAlign w:val="center"/>
          </w:tcPr>
          <w:p w:rsidR="00AA0D85" w:rsidRPr="00414C3E" w:rsidRDefault="00AA0D85" w:rsidP="00CE16E6">
            <w:pPr>
              <w:cnfStyle w:val="000000000000" w:firstRow="0" w:lastRow="0" w:firstColumn="0" w:lastColumn="0" w:oddVBand="0" w:evenVBand="0" w:oddHBand="0" w:evenHBand="0" w:firstRowFirstColumn="0" w:firstRowLastColumn="0" w:lastRowFirstColumn="0" w:lastRowLastColumn="0"/>
              <w:rPr>
                <w:rFonts w:cs="Arial"/>
                <w:sz w:val="18"/>
                <w:szCs w:val="18"/>
                <w:lang w:eastAsia="en-AU"/>
              </w:rPr>
            </w:pPr>
            <w:r w:rsidRPr="00414C3E">
              <w:rPr>
                <w:rFonts w:cs="Arial"/>
                <w:sz w:val="18"/>
                <w:szCs w:val="18"/>
              </w:rPr>
              <w:t>21 (&lt;1%)</w:t>
            </w:r>
          </w:p>
        </w:tc>
      </w:tr>
      <w:tr w:rsidR="00AA0D85" w:rsidRPr="0030435C" w:rsidTr="00CE16E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vAlign w:val="center"/>
          </w:tcPr>
          <w:p w:rsidR="00AA0D85" w:rsidRPr="00414C3E" w:rsidRDefault="00AA0D85" w:rsidP="00CE16E6">
            <w:pPr>
              <w:rPr>
                <w:rFonts w:cs="Arial"/>
                <w:sz w:val="18"/>
                <w:szCs w:val="18"/>
                <w:lang w:eastAsia="en-AU"/>
              </w:rPr>
            </w:pPr>
            <w:r w:rsidRPr="00414C3E">
              <w:rPr>
                <w:rFonts w:cs="Arial"/>
                <w:sz w:val="18"/>
                <w:szCs w:val="18"/>
                <w:lang w:eastAsia="en-AU"/>
              </w:rPr>
              <w:t>Products with decreased HSR</w:t>
            </w:r>
          </w:p>
        </w:tc>
        <w:tc>
          <w:tcPr>
            <w:tcW w:w="2693" w:type="dxa"/>
            <w:vAlign w:val="center"/>
          </w:tcPr>
          <w:p w:rsidR="00AA0D85" w:rsidRPr="00414C3E" w:rsidRDefault="00AA0D85" w:rsidP="00CE16E6">
            <w:pPr>
              <w:cnfStyle w:val="000000100000" w:firstRow="0" w:lastRow="0" w:firstColumn="0" w:lastColumn="0" w:oddVBand="0" w:evenVBand="0" w:oddHBand="1" w:evenHBand="0" w:firstRowFirstColumn="0" w:firstRowLastColumn="0" w:lastRowFirstColumn="0" w:lastRowLastColumn="0"/>
              <w:rPr>
                <w:rFonts w:cs="Arial"/>
                <w:sz w:val="18"/>
                <w:szCs w:val="18"/>
                <w:lang w:eastAsia="en-AU"/>
              </w:rPr>
            </w:pPr>
            <w:r w:rsidRPr="00414C3E">
              <w:rPr>
                <w:rFonts w:cs="Arial"/>
                <w:sz w:val="18"/>
                <w:szCs w:val="18"/>
                <w:lang w:eastAsia="en-AU"/>
              </w:rPr>
              <w:t>447 (8%)</w:t>
            </w:r>
          </w:p>
        </w:tc>
        <w:tc>
          <w:tcPr>
            <w:tcW w:w="2127" w:type="dxa"/>
            <w:vAlign w:val="center"/>
          </w:tcPr>
          <w:p w:rsidR="00AA0D85" w:rsidRPr="00414C3E" w:rsidRDefault="00AA0D85" w:rsidP="00CE16E6">
            <w:pPr>
              <w:cnfStyle w:val="000000100000" w:firstRow="0" w:lastRow="0" w:firstColumn="0" w:lastColumn="0" w:oddVBand="0" w:evenVBand="0" w:oddHBand="1" w:evenHBand="0" w:firstRowFirstColumn="0" w:firstRowLastColumn="0" w:lastRowFirstColumn="0" w:lastRowLastColumn="0"/>
              <w:rPr>
                <w:rFonts w:cs="Arial"/>
                <w:sz w:val="18"/>
                <w:szCs w:val="18"/>
                <w:lang w:eastAsia="en-AU"/>
              </w:rPr>
            </w:pPr>
            <w:r w:rsidRPr="00414C3E">
              <w:rPr>
                <w:rFonts w:cs="Arial"/>
                <w:sz w:val="18"/>
                <w:szCs w:val="18"/>
              </w:rPr>
              <w:t>132 (2%)</w:t>
            </w:r>
          </w:p>
        </w:tc>
        <w:tc>
          <w:tcPr>
            <w:tcW w:w="2267" w:type="dxa"/>
            <w:vAlign w:val="center"/>
          </w:tcPr>
          <w:p w:rsidR="00AA0D85" w:rsidRPr="00414C3E" w:rsidRDefault="00AA0D85" w:rsidP="00CE16E6">
            <w:pPr>
              <w:cnfStyle w:val="000000100000" w:firstRow="0" w:lastRow="0" w:firstColumn="0" w:lastColumn="0" w:oddVBand="0" w:evenVBand="0" w:oddHBand="1" w:evenHBand="0" w:firstRowFirstColumn="0" w:firstRowLastColumn="0" w:lastRowFirstColumn="0" w:lastRowLastColumn="0"/>
              <w:rPr>
                <w:rFonts w:cs="Arial"/>
                <w:sz w:val="18"/>
                <w:szCs w:val="18"/>
                <w:lang w:eastAsia="en-AU"/>
              </w:rPr>
            </w:pPr>
            <w:r w:rsidRPr="00414C3E">
              <w:rPr>
                <w:rFonts w:cs="Arial"/>
                <w:sz w:val="18"/>
                <w:szCs w:val="18"/>
              </w:rPr>
              <w:t>315 (6%)</w:t>
            </w:r>
          </w:p>
        </w:tc>
      </w:tr>
      <w:tr w:rsidR="00AA0D85" w:rsidRPr="0030435C" w:rsidTr="00CE16E6">
        <w:trPr>
          <w:trHeight w:val="567"/>
        </w:trPr>
        <w:tc>
          <w:tcPr>
            <w:cnfStyle w:val="001000000000" w:firstRow="0" w:lastRow="0" w:firstColumn="1" w:lastColumn="0" w:oddVBand="0" w:evenVBand="0" w:oddHBand="0" w:evenHBand="0" w:firstRowFirstColumn="0" w:firstRowLastColumn="0" w:lastRowFirstColumn="0" w:lastRowLastColumn="0"/>
            <w:tcW w:w="1980" w:type="dxa"/>
            <w:vAlign w:val="center"/>
          </w:tcPr>
          <w:p w:rsidR="00AA0D85" w:rsidRPr="00414C3E" w:rsidRDefault="00AA0D85" w:rsidP="00CE16E6">
            <w:pPr>
              <w:rPr>
                <w:rFonts w:cs="Arial"/>
                <w:sz w:val="18"/>
                <w:szCs w:val="18"/>
                <w:lang w:eastAsia="en-AU"/>
              </w:rPr>
            </w:pPr>
            <w:r w:rsidRPr="00414C3E">
              <w:rPr>
                <w:rFonts w:cs="Arial"/>
                <w:sz w:val="18"/>
                <w:szCs w:val="18"/>
                <w:lang w:eastAsia="en-AU"/>
              </w:rPr>
              <w:t>Total impacted products</w:t>
            </w:r>
          </w:p>
        </w:tc>
        <w:tc>
          <w:tcPr>
            <w:tcW w:w="2693" w:type="dxa"/>
            <w:vAlign w:val="center"/>
          </w:tcPr>
          <w:p w:rsidR="00AA0D85" w:rsidRPr="00414C3E" w:rsidRDefault="00AA0D85" w:rsidP="00CE16E6">
            <w:pPr>
              <w:cnfStyle w:val="000000000000" w:firstRow="0" w:lastRow="0" w:firstColumn="0" w:lastColumn="0" w:oddVBand="0" w:evenVBand="0" w:oddHBand="0" w:evenHBand="0" w:firstRowFirstColumn="0" w:firstRowLastColumn="0" w:lastRowFirstColumn="0" w:lastRowLastColumn="0"/>
              <w:rPr>
                <w:rFonts w:cs="Arial"/>
                <w:sz w:val="18"/>
                <w:szCs w:val="18"/>
                <w:lang w:eastAsia="en-AU"/>
              </w:rPr>
            </w:pPr>
            <w:r w:rsidRPr="00414C3E">
              <w:rPr>
                <w:rFonts w:eastAsia="Times New Roman" w:cs="Arial"/>
                <w:bCs/>
                <w:sz w:val="18"/>
                <w:szCs w:val="18"/>
                <w:lang w:eastAsia="en-GB"/>
              </w:rPr>
              <w:t>1238 (22%)</w:t>
            </w:r>
          </w:p>
        </w:tc>
        <w:tc>
          <w:tcPr>
            <w:tcW w:w="2127" w:type="dxa"/>
            <w:vAlign w:val="center"/>
          </w:tcPr>
          <w:p w:rsidR="00AA0D85" w:rsidRPr="00414C3E" w:rsidRDefault="00AA0D85" w:rsidP="00CE16E6">
            <w:pPr>
              <w:cnfStyle w:val="000000000000" w:firstRow="0" w:lastRow="0" w:firstColumn="0" w:lastColumn="0" w:oddVBand="0" w:evenVBand="0" w:oddHBand="0" w:evenHBand="0" w:firstRowFirstColumn="0" w:firstRowLastColumn="0" w:lastRowFirstColumn="0" w:lastRowLastColumn="0"/>
              <w:rPr>
                <w:rFonts w:cs="Arial"/>
                <w:sz w:val="18"/>
                <w:szCs w:val="18"/>
                <w:lang w:eastAsia="en-AU"/>
              </w:rPr>
            </w:pPr>
            <w:r w:rsidRPr="00414C3E">
              <w:rPr>
                <w:rFonts w:cs="Arial"/>
                <w:sz w:val="18"/>
                <w:szCs w:val="18"/>
              </w:rPr>
              <w:t>902 (16%)</w:t>
            </w:r>
          </w:p>
        </w:tc>
        <w:tc>
          <w:tcPr>
            <w:tcW w:w="2267" w:type="dxa"/>
            <w:vAlign w:val="center"/>
          </w:tcPr>
          <w:p w:rsidR="00AA0D85" w:rsidRPr="00414C3E" w:rsidRDefault="00AA0D85" w:rsidP="00CE16E6">
            <w:pPr>
              <w:cnfStyle w:val="000000000000" w:firstRow="0" w:lastRow="0" w:firstColumn="0" w:lastColumn="0" w:oddVBand="0" w:evenVBand="0" w:oddHBand="0" w:evenHBand="0" w:firstRowFirstColumn="0" w:firstRowLastColumn="0" w:lastRowFirstColumn="0" w:lastRowLastColumn="0"/>
              <w:rPr>
                <w:rFonts w:cs="Arial"/>
                <w:sz w:val="18"/>
                <w:szCs w:val="18"/>
                <w:lang w:eastAsia="en-AU"/>
              </w:rPr>
            </w:pPr>
            <w:r w:rsidRPr="00414C3E">
              <w:rPr>
                <w:rFonts w:cs="Arial"/>
                <w:sz w:val="18"/>
                <w:szCs w:val="18"/>
              </w:rPr>
              <w:t>336 (6%)</w:t>
            </w:r>
          </w:p>
        </w:tc>
      </w:tr>
    </w:tbl>
    <w:p w:rsidR="002E7A3F" w:rsidRDefault="002E7A3F" w:rsidP="00051E01">
      <w:pPr>
        <w:rPr>
          <w:lang w:eastAsia="en-AU"/>
        </w:rPr>
      </w:pPr>
    </w:p>
    <w:p w:rsidR="009E0A1E" w:rsidRPr="001A0539" w:rsidRDefault="009E0A1E" w:rsidP="001A0539">
      <w:pPr>
        <w:spacing w:after="240"/>
        <w:rPr>
          <w:i/>
          <w:lang w:eastAsia="en-AU"/>
        </w:rPr>
      </w:pPr>
      <w:r w:rsidRPr="00E1781B">
        <w:rPr>
          <w:i/>
          <w:lang w:eastAsia="en-AU"/>
        </w:rPr>
        <w:t>Recommendation 4a</w:t>
      </w:r>
    </w:p>
    <w:p w:rsidR="00051E01" w:rsidRDefault="00051E01" w:rsidP="00051E01">
      <w:pPr>
        <w:rPr>
          <w:rFonts w:eastAsia="Times New Roman" w:cs="Arial"/>
          <w:szCs w:val="20"/>
          <w:lang w:eastAsia="en-GB"/>
        </w:rPr>
      </w:pPr>
      <w:r>
        <w:rPr>
          <w:rFonts w:eastAsia="Times New Roman" w:cs="Arial"/>
          <w:szCs w:val="20"/>
          <w:lang w:eastAsia="en-GB"/>
        </w:rPr>
        <w:t>The policy decision to award minimally processed fruits and vegetables a HSR of 5 resulted in increased HSRs for a range of fruits and vegetables in the TAG database that had lower stars (4-4.5) in the Original HSR calculator, generally due to their total sugars concentrations.</w:t>
      </w:r>
    </w:p>
    <w:p w:rsidR="00064182" w:rsidRDefault="00064182" w:rsidP="00051E01">
      <w:pPr>
        <w:rPr>
          <w:rFonts w:eastAsia="Times New Roman" w:cs="Arial"/>
          <w:szCs w:val="20"/>
          <w:lang w:eastAsia="en-GB"/>
        </w:rPr>
      </w:pPr>
    </w:p>
    <w:p w:rsidR="00064182" w:rsidRPr="00C056C2" w:rsidRDefault="00064182" w:rsidP="00070938">
      <w:pPr>
        <w:keepNext/>
        <w:spacing w:after="240"/>
        <w:rPr>
          <w:i/>
          <w:lang w:eastAsia="en-AU"/>
        </w:rPr>
      </w:pPr>
      <w:r w:rsidRPr="00C056C2">
        <w:rPr>
          <w:i/>
          <w:lang w:eastAsia="en-AU"/>
        </w:rPr>
        <w:t>Recommendation 4b and 4c</w:t>
      </w:r>
    </w:p>
    <w:p w:rsidR="00064182" w:rsidRDefault="009264E2" w:rsidP="00070938">
      <w:pPr>
        <w:keepNext/>
        <w:rPr>
          <w:rFonts w:eastAsia="Times New Roman" w:cs="Arial"/>
          <w:szCs w:val="20"/>
          <w:lang w:eastAsia="en-GB"/>
        </w:rPr>
      </w:pPr>
      <w:r>
        <w:rPr>
          <w:rFonts w:eastAsia="Times New Roman" w:cs="Arial"/>
          <w:szCs w:val="20"/>
          <w:lang w:eastAsia="en-GB"/>
        </w:rPr>
        <w:t>A</w:t>
      </w:r>
      <w:r w:rsidR="00064182" w:rsidRPr="00C056C2">
        <w:rPr>
          <w:rFonts w:eastAsia="Times New Roman" w:cs="Arial"/>
          <w:szCs w:val="20"/>
          <w:lang w:eastAsia="en-GB"/>
        </w:rPr>
        <w:t>djustment</w:t>
      </w:r>
      <w:r>
        <w:rPr>
          <w:rFonts w:eastAsia="Times New Roman" w:cs="Arial"/>
          <w:szCs w:val="20"/>
          <w:lang w:eastAsia="en-GB"/>
        </w:rPr>
        <w:t>s</w:t>
      </w:r>
      <w:r w:rsidR="00064182" w:rsidRPr="00C056C2">
        <w:rPr>
          <w:rFonts w:eastAsia="Times New Roman" w:cs="Arial"/>
          <w:szCs w:val="20"/>
          <w:lang w:eastAsia="en-GB"/>
        </w:rPr>
        <w:t xml:space="preserve"> </w:t>
      </w:r>
      <w:r>
        <w:rPr>
          <w:rFonts w:eastAsia="Times New Roman" w:cs="Arial"/>
          <w:szCs w:val="20"/>
          <w:lang w:eastAsia="en-GB"/>
        </w:rPr>
        <w:t>to the</w:t>
      </w:r>
      <w:r w:rsidRPr="00C056C2">
        <w:rPr>
          <w:rFonts w:eastAsia="Times New Roman" w:cs="Arial"/>
          <w:szCs w:val="20"/>
          <w:lang w:eastAsia="en-GB"/>
        </w:rPr>
        <w:t xml:space="preserve"> </w:t>
      </w:r>
      <w:r w:rsidR="00064182" w:rsidRPr="00C056C2">
        <w:rPr>
          <w:rFonts w:eastAsia="Times New Roman" w:cs="Arial"/>
          <w:szCs w:val="20"/>
          <w:lang w:eastAsia="en-GB"/>
        </w:rPr>
        <w:t xml:space="preserve">sodium and total sugars HSR baseline </w:t>
      </w:r>
      <w:proofErr w:type="gramStart"/>
      <w:r w:rsidR="00064182" w:rsidRPr="00C056C2">
        <w:rPr>
          <w:rFonts w:eastAsia="Times New Roman" w:cs="Arial"/>
          <w:szCs w:val="20"/>
          <w:lang w:eastAsia="en-GB"/>
        </w:rPr>
        <w:t>points</w:t>
      </w:r>
      <w:proofErr w:type="gramEnd"/>
      <w:r w:rsidR="00064182" w:rsidRPr="00C056C2">
        <w:rPr>
          <w:rFonts w:eastAsia="Times New Roman" w:cs="Arial"/>
          <w:szCs w:val="20"/>
          <w:lang w:eastAsia="en-GB"/>
        </w:rPr>
        <w:t xml:space="preserve"> tables</w:t>
      </w:r>
      <w:r w:rsidR="00064182">
        <w:rPr>
          <w:rFonts w:eastAsia="Times New Roman" w:cs="Arial"/>
          <w:szCs w:val="20"/>
          <w:lang w:eastAsia="en-GB"/>
        </w:rPr>
        <w:t xml:space="preserve"> in the Recommended HSR calculator</w:t>
      </w:r>
      <w:r w:rsidR="00064182" w:rsidRPr="00C056C2">
        <w:rPr>
          <w:rFonts w:eastAsia="Times New Roman" w:cs="Arial"/>
          <w:szCs w:val="20"/>
          <w:lang w:eastAsia="en-GB"/>
        </w:rPr>
        <w:t xml:space="preserve"> resulted in a reduction in HSRs </w:t>
      </w:r>
      <w:r w:rsidR="00064182">
        <w:rPr>
          <w:rFonts w:eastAsia="Times New Roman" w:cs="Arial"/>
          <w:szCs w:val="20"/>
          <w:lang w:eastAsia="en-GB"/>
        </w:rPr>
        <w:t>for a range of products</w:t>
      </w:r>
      <w:r>
        <w:rPr>
          <w:rFonts w:eastAsia="Times New Roman" w:cs="Arial"/>
          <w:szCs w:val="20"/>
          <w:lang w:eastAsia="en-GB"/>
        </w:rPr>
        <w:t>.</w:t>
      </w:r>
      <w:r w:rsidR="00064182">
        <w:rPr>
          <w:rFonts w:eastAsia="Times New Roman" w:cs="Arial"/>
          <w:szCs w:val="20"/>
          <w:lang w:eastAsia="en-GB"/>
        </w:rPr>
        <w:t xml:space="preserve"> </w:t>
      </w:r>
      <w:r>
        <w:rPr>
          <w:rFonts w:eastAsia="Times New Roman" w:cs="Arial"/>
          <w:szCs w:val="20"/>
          <w:lang w:eastAsia="en-GB"/>
        </w:rPr>
        <w:t>T</w:t>
      </w:r>
      <w:r w:rsidR="00064182">
        <w:rPr>
          <w:rFonts w:eastAsia="Times New Roman" w:cs="Arial"/>
          <w:szCs w:val="20"/>
          <w:lang w:eastAsia="en-GB"/>
        </w:rPr>
        <w:t xml:space="preserve">he majority </w:t>
      </w:r>
      <w:r>
        <w:rPr>
          <w:rFonts w:eastAsia="Times New Roman" w:cs="Arial"/>
          <w:szCs w:val="20"/>
          <w:lang w:eastAsia="en-GB"/>
        </w:rPr>
        <w:t xml:space="preserve">of these reductions were </w:t>
      </w:r>
      <w:r w:rsidR="00064182">
        <w:rPr>
          <w:rFonts w:eastAsia="Times New Roman" w:cs="Arial"/>
          <w:szCs w:val="20"/>
          <w:lang w:eastAsia="en-GB"/>
        </w:rPr>
        <w:t>as a result of the u</w:t>
      </w:r>
      <w:r w:rsidR="00064182">
        <w:rPr>
          <w:lang w:eastAsia="en-AU"/>
        </w:rPr>
        <w:t>pdated total sugars HSR baseline points table, given that changes to the sodium HSR baseline points table were limited to products with &gt;900 mg</w:t>
      </w:r>
      <w:r w:rsidR="00064182" w:rsidRPr="00724275">
        <w:rPr>
          <w:lang w:eastAsia="en-AU"/>
        </w:rPr>
        <w:t xml:space="preserve"> </w:t>
      </w:r>
      <w:r w:rsidR="00064182">
        <w:rPr>
          <w:lang w:eastAsia="en-AU"/>
        </w:rPr>
        <w:t>sodium/100 g.</w:t>
      </w:r>
    </w:p>
    <w:p w:rsidR="00051E01" w:rsidRDefault="00051E01" w:rsidP="00051E01">
      <w:pPr>
        <w:rPr>
          <w:rFonts w:eastAsia="Times New Roman" w:cs="Arial"/>
          <w:szCs w:val="20"/>
          <w:lang w:eastAsia="en-GB"/>
        </w:rPr>
      </w:pPr>
    </w:p>
    <w:p w:rsidR="009E0A1E" w:rsidRPr="001A0539" w:rsidRDefault="009E0A1E" w:rsidP="001A0539">
      <w:pPr>
        <w:spacing w:after="240"/>
        <w:rPr>
          <w:i/>
          <w:lang w:eastAsia="en-AU"/>
        </w:rPr>
      </w:pPr>
      <w:r w:rsidRPr="00E1781B">
        <w:rPr>
          <w:i/>
          <w:lang w:eastAsia="en-AU"/>
        </w:rPr>
        <w:t>Recommendation 4d</w:t>
      </w:r>
    </w:p>
    <w:p w:rsidR="00D007CB" w:rsidRDefault="00051E01" w:rsidP="00D007CB">
      <w:pPr>
        <w:rPr>
          <w:lang w:eastAsia="en-AU"/>
        </w:rPr>
      </w:pPr>
      <w:r>
        <w:rPr>
          <w:rFonts w:eastAsia="Times New Roman" w:cs="Arial"/>
          <w:szCs w:val="20"/>
          <w:lang w:eastAsia="en-GB"/>
        </w:rPr>
        <w:t>Rescaling of</w:t>
      </w:r>
      <w:r w:rsidR="009264E2">
        <w:rPr>
          <w:rFonts w:eastAsia="Times New Roman" w:cs="Arial"/>
          <w:szCs w:val="20"/>
          <w:lang w:eastAsia="en-GB"/>
        </w:rPr>
        <w:t xml:space="preserve"> the</w:t>
      </w:r>
      <w:r>
        <w:rPr>
          <w:rFonts w:eastAsia="Times New Roman" w:cs="Arial"/>
          <w:szCs w:val="20"/>
          <w:lang w:eastAsia="en-GB"/>
        </w:rPr>
        <w:t xml:space="preserve"> HSR 3D cheeses </w:t>
      </w:r>
      <w:r w:rsidR="009264E2">
        <w:rPr>
          <w:rFonts w:eastAsia="Times New Roman" w:cs="Arial"/>
          <w:szCs w:val="20"/>
          <w:lang w:eastAsia="en-GB"/>
        </w:rPr>
        <w:t xml:space="preserve">category </w:t>
      </w:r>
      <w:r>
        <w:rPr>
          <w:rFonts w:eastAsia="Times New Roman" w:cs="Arial"/>
          <w:szCs w:val="20"/>
          <w:lang w:eastAsia="en-GB"/>
        </w:rPr>
        <w:t>and clarification of definitions resulted in an increase of 0.5 stars for almost 70% of relevant products</w:t>
      </w:r>
      <w:r w:rsidR="009264E2">
        <w:rPr>
          <w:rFonts w:eastAsia="Times New Roman" w:cs="Arial"/>
          <w:szCs w:val="20"/>
          <w:lang w:eastAsia="en-GB"/>
        </w:rPr>
        <w:t xml:space="preserve"> in the TAG database</w:t>
      </w:r>
      <w:r>
        <w:rPr>
          <w:rFonts w:eastAsia="Times New Roman" w:cs="Arial"/>
          <w:szCs w:val="20"/>
          <w:lang w:eastAsia="en-GB"/>
        </w:rPr>
        <w:t xml:space="preserve">, impacting regular and reduced fat hard ripened and processed style cheeses as well as camembert, brie and other surface ripened cheeses. </w:t>
      </w:r>
      <w:r w:rsidR="00D007CB">
        <w:rPr>
          <w:lang w:eastAsia="en-AU"/>
        </w:rPr>
        <w:t>A greater proportion (65%) of reduced fat products receive 4.5-5 stars in the Recommended calculator, compared to 30% in the Original HSR calculator thereby improving alignment with dietary guidelines.</w:t>
      </w:r>
      <w:r w:rsidR="001960ED">
        <w:rPr>
          <w:lang w:eastAsia="en-AU"/>
        </w:rPr>
        <w:t xml:space="preserve"> Rescaling of this category increased the proportion of cheeses with HSRs </w:t>
      </w:r>
      <w:r w:rsidR="0065169C">
        <w:rPr>
          <w:rFonts w:cs="Arial"/>
          <w:lang w:eastAsia="en-AU"/>
        </w:rPr>
        <w:t>≥</w:t>
      </w:r>
      <w:r w:rsidR="001960ED">
        <w:rPr>
          <w:lang w:eastAsia="en-AU"/>
        </w:rPr>
        <w:t>3 from 45% to 52%</w:t>
      </w:r>
      <w:r w:rsidR="0065169C">
        <w:rPr>
          <w:lang w:eastAsia="en-AU"/>
        </w:rPr>
        <w:t>.</w:t>
      </w:r>
    </w:p>
    <w:p w:rsidR="00CA362C" w:rsidRDefault="00CA362C" w:rsidP="00051E01">
      <w:pPr>
        <w:rPr>
          <w:rFonts w:eastAsia="Times New Roman" w:cs="Arial"/>
          <w:szCs w:val="20"/>
          <w:lang w:eastAsia="en-GB"/>
        </w:rPr>
      </w:pPr>
    </w:p>
    <w:p w:rsidR="00FC236B" w:rsidRDefault="00F23847" w:rsidP="00051E01">
      <w:pPr>
        <w:rPr>
          <w:rFonts w:eastAsia="Times New Roman" w:cs="Arial"/>
          <w:szCs w:val="20"/>
          <w:lang w:eastAsia="en-GB"/>
        </w:rPr>
      </w:pPr>
      <w:r>
        <w:rPr>
          <w:rFonts w:eastAsia="Times New Roman" w:cs="Arial"/>
          <w:szCs w:val="20"/>
          <w:lang w:eastAsia="en-GB"/>
        </w:rPr>
        <w:t xml:space="preserve">Rescaling and reclassification of other HSR Category 2D dairy foods including </w:t>
      </w:r>
      <w:r w:rsidR="003B2183">
        <w:rPr>
          <w:rFonts w:eastAsia="Times New Roman" w:cs="Arial"/>
          <w:szCs w:val="20"/>
          <w:lang w:eastAsia="en-GB"/>
        </w:rPr>
        <w:t>y</w:t>
      </w:r>
      <w:r>
        <w:rPr>
          <w:rFonts w:eastAsia="Times New Roman" w:cs="Arial"/>
          <w:szCs w:val="20"/>
          <w:lang w:eastAsia="en-GB"/>
        </w:rPr>
        <w:t xml:space="preserve">oghurts and soft cheeses, </w:t>
      </w:r>
      <w:r w:rsidR="003B2183">
        <w:rPr>
          <w:rFonts w:eastAsia="Times New Roman" w:cs="Arial"/>
          <w:szCs w:val="20"/>
          <w:lang w:eastAsia="en-GB"/>
        </w:rPr>
        <w:t>c</w:t>
      </w:r>
      <w:r>
        <w:rPr>
          <w:rFonts w:eastAsia="Times New Roman" w:cs="Arial"/>
          <w:szCs w:val="20"/>
          <w:lang w:eastAsia="en-GB"/>
        </w:rPr>
        <w:t xml:space="preserve">ustards/desserts, </w:t>
      </w:r>
      <w:r w:rsidR="003B2183">
        <w:rPr>
          <w:rFonts w:eastAsia="Times New Roman" w:cs="Arial"/>
          <w:szCs w:val="20"/>
          <w:lang w:eastAsia="en-GB"/>
        </w:rPr>
        <w:t>c</w:t>
      </w:r>
      <w:r>
        <w:rPr>
          <w:rFonts w:eastAsia="Times New Roman" w:cs="Arial"/>
          <w:szCs w:val="20"/>
          <w:lang w:eastAsia="en-GB"/>
        </w:rPr>
        <w:t xml:space="preserve">ream and </w:t>
      </w:r>
      <w:r w:rsidR="003B2183">
        <w:rPr>
          <w:rFonts w:eastAsia="Times New Roman" w:cs="Arial"/>
          <w:szCs w:val="20"/>
          <w:lang w:eastAsia="en-GB"/>
        </w:rPr>
        <w:t>c</w:t>
      </w:r>
      <w:r>
        <w:rPr>
          <w:rFonts w:eastAsia="Times New Roman" w:cs="Arial"/>
          <w:szCs w:val="20"/>
          <w:lang w:eastAsia="en-GB"/>
        </w:rPr>
        <w:t>ream cheese</w:t>
      </w:r>
      <w:r w:rsidR="00847DA7">
        <w:rPr>
          <w:rFonts w:eastAsia="Times New Roman" w:cs="Arial"/>
          <w:szCs w:val="20"/>
          <w:lang w:eastAsia="en-GB"/>
        </w:rPr>
        <w:t>,</w:t>
      </w:r>
      <w:r>
        <w:rPr>
          <w:rFonts w:eastAsia="Times New Roman" w:cs="Arial"/>
          <w:szCs w:val="20"/>
          <w:lang w:eastAsia="en-GB"/>
        </w:rPr>
        <w:t xml:space="preserve"> resulted in </w:t>
      </w:r>
      <w:r w:rsidR="00FC236B">
        <w:rPr>
          <w:rFonts w:eastAsia="Times New Roman" w:cs="Arial"/>
          <w:szCs w:val="20"/>
          <w:lang w:eastAsia="en-GB"/>
        </w:rPr>
        <w:t>reduced</w:t>
      </w:r>
      <w:r>
        <w:rPr>
          <w:rFonts w:eastAsia="Times New Roman" w:cs="Arial"/>
          <w:szCs w:val="20"/>
          <w:lang w:eastAsia="en-GB"/>
        </w:rPr>
        <w:t xml:space="preserve"> HSRs </w:t>
      </w:r>
      <w:r w:rsidR="00FC236B">
        <w:rPr>
          <w:rFonts w:eastAsia="Times New Roman" w:cs="Arial"/>
          <w:szCs w:val="20"/>
          <w:lang w:eastAsia="en-GB"/>
        </w:rPr>
        <w:t xml:space="preserve">to </w:t>
      </w:r>
      <w:r w:rsidR="00277DFF">
        <w:rPr>
          <w:rFonts w:eastAsia="Times New Roman" w:cs="Arial"/>
          <w:szCs w:val="20"/>
          <w:lang w:eastAsia="en-GB"/>
        </w:rPr>
        <w:t>as low as 0.5 stars</w:t>
      </w:r>
      <w:r w:rsidR="00051E01">
        <w:rPr>
          <w:rFonts w:eastAsia="Times New Roman" w:cs="Arial"/>
          <w:szCs w:val="20"/>
          <w:lang w:eastAsia="en-GB"/>
        </w:rPr>
        <w:t xml:space="preserve"> for </w:t>
      </w:r>
      <w:r w:rsidR="003B2183">
        <w:rPr>
          <w:rFonts w:eastAsia="Times New Roman" w:cs="Arial"/>
          <w:szCs w:val="20"/>
          <w:lang w:eastAsia="en-GB"/>
        </w:rPr>
        <w:t>c</w:t>
      </w:r>
      <w:r w:rsidR="00051E01">
        <w:rPr>
          <w:rFonts w:eastAsia="Times New Roman" w:cs="Arial"/>
          <w:szCs w:val="20"/>
          <w:lang w:eastAsia="en-GB"/>
        </w:rPr>
        <w:t xml:space="preserve">ream and </w:t>
      </w:r>
      <w:r w:rsidR="003B2183">
        <w:rPr>
          <w:rFonts w:eastAsia="Times New Roman" w:cs="Arial"/>
          <w:szCs w:val="20"/>
          <w:lang w:eastAsia="en-GB"/>
        </w:rPr>
        <w:t>c</w:t>
      </w:r>
      <w:r w:rsidR="00051E01">
        <w:rPr>
          <w:rFonts w:eastAsia="Times New Roman" w:cs="Arial"/>
          <w:szCs w:val="20"/>
          <w:lang w:eastAsia="en-GB"/>
        </w:rPr>
        <w:t xml:space="preserve">ream cheese products, although these were already scoring relatively low </w:t>
      </w:r>
      <w:r w:rsidR="00277DFF">
        <w:rPr>
          <w:lang w:eastAsia="en-AU"/>
        </w:rPr>
        <w:t xml:space="preserve">HSRs at </w:t>
      </w:r>
      <w:r w:rsidR="00277DFF">
        <w:rPr>
          <w:rFonts w:cs="Arial"/>
          <w:lang w:eastAsia="en-AU"/>
        </w:rPr>
        <w:t>≤</w:t>
      </w:r>
      <w:r w:rsidR="00277DFF">
        <w:rPr>
          <w:lang w:eastAsia="en-AU"/>
        </w:rPr>
        <w:t xml:space="preserve">2 </w:t>
      </w:r>
      <w:r w:rsidR="00051E01">
        <w:rPr>
          <w:rFonts w:eastAsia="Times New Roman" w:cs="Arial"/>
          <w:szCs w:val="20"/>
          <w:lang w:eastAsia="en-GB"/>
        </w:rPr>
        <w:t xml:space="preserve">using the </w:t>
      </w:r>
      <w:r w:rsidR="003B2183">
        <w:rPr>
          <w:rFonts w:eastAsia="Times New Roman" w:cs="Arial"/>
          <w:szCs w:val="20"/>
          <w:lang w:eastAsia="en-GB"/>
        </w:rPr>
        <w:t>o</w:t>
      </w:r>
      <w:r w:rsidR="00051E01">
        <w:rPr>
          <w:rFonts w:eastAsia="Times New Roman" w:cs="Arial"/>
          <w:szCs w:val="20"/>
          <w:lang w:eastAsia="en-GB"/>
        </w:rPr>
        <w:t xml:space="preserve">riginal HSR calculator. </w:t>
      </w:r>
    </w:p>
    <w:p w:rsidR="00FC236B" w:rsidRDefault="00FC236B" w:rsidP="00051E01">
      <w:pPr>
        <w:rPr>
          <w:rFonts w:eastAsia="Times New Roman" w:cs="Arial"/>
          <w:szCs w:val="20"/>
          <w:lang w:eastAsia="en-GB"/>
        </w:rPr>
      </w:pPr>
    </w:p>
    <w:p w:rsidR="00F23847" w:rsidRDefault="00FC236B" w:rsidP="00051E01">
      <w:pPr>
        <w:rPr>
          <w:lang w:eastAsia="en-AU"/>
        </w:rPr>
      </w:pPr>
      <w:r>
        <w:rPr>
          <w:rFonts w:eastAsia="Times New Roman" w:cs="Arial"/>
          <w:szCs w:val="20"/>
          <w:lang w:eastAsia="en-GB"/>
        </w:rPr>
        <w:t xml:space="preserve">HSRs for </w:t>
      </w:r>
      <w:r w:rsidR="003B2183">
        <w:rPr>
          <w:rFonts w:eastAsia="Times New Roman" w:cs="Arial"/>
          <w:szCs w:val="20"/>
          <w:lang w:eastAsia="en-GB"/>
        </w:rPr>
        <w:t>y</w:t>
      </w:r>
      <w:r w:rsidR="00051E01">
        <w:rPr>
          <w:rFonts w:eastAsia="Times New Roman" w:cs="Arial"/>
          <w:szCs w:val="20"/>
          <w:lang w:eastAsia="en-GB"/>
        </w:rPr>
        <w:t>oghurts and soft cheeses increase</w:t>
      </w:r>
      <w:r>
        <w:rPr>
          <w:rFonts w:eastAsia="Times New Roman" w:cs="Arial"/>
          <w:szCs w:val="20"/>
          <w:lang w:eastAsia="en-GB"/>
        </w:rPr>
        <w:t>d</w:t>
      </w:r>
      <w:r w:rsidR="00E10AEF">
        <w:rPr>
          <w:rFonts w:eastAsia="Times New Roman" w:cs="Arial"/>
          <w:szCs w:val="20"/>
          <w:lang w:eastAsia="en-GB"/>
        </w:rPr>
        <w:t>,</w:t>
      </w:r>
      <w:r w:rsidR="00D57525">
        <w:rPr>
          <w:rFonts w:eastAsia="Times New Roman" w:cs="Arial"/>
          <w:szCs w:val="20"/>
          <w:lang w:eastAsia="en-GB"/>
        </w:rPr>
        <w:t xml:space="preserve"> while </w:t>
      </w:r>
      <w:r w:rsidR="003B2183">
        <w:rPr>
          <w:rFonts w:eastAsia="Times New Roman" w:cs="Arial"/>
          <w:szCs w:val="20"/>
          <w:lang w:eastAsia="en-GB"/>
        </w:rPr>
        <w:t>c</w:t>
      </w:r>
      <w:r w:rsidR="00051E01">
        <w:rPr>
          <w:rFonts w:eastAsia="Times New Roman" w:cs="Arial"/>
          <w:szCs w:val="20"/>
          <w:lang w:eastAsia="en-GB"/>
        </w:rPr>
        <w:t>ustards/desserts</w:t>
      </w:r>
      <w:r w:rsidR="00E10AEF">
        <w:rPr>
          <w:rFonts w:eastAsia="Times New Roman" w:cs="Arial"/>
          <w:szCs w:val="20"/>
          <w:lang w:eastAsia="en-GB"/>
        </w:rPr>
        <w:t xml:space="preserve"> </w:t>
      </w:r>
      <w:r w:rsidR="00051E01">
        <w:rPr>
          <w:rFonts w:eastAsia="Times New Roman" w:cs="Arial"/>
          <w:szCs w:val="20"/>
          <w:lang w:eastAsia="en-GB"/>
        </w:rPr>
        <w:t xml:space="preserve">were impacted by a mixture of increased </w:t>
      </w:r>
      <w:r w:rsidR="00DA72F7">
        <w:rPr>
          <w:rFonts w:eastAsia="Times New Roman" w:cs="Arial"/>
          <w:szCs w:val="20"/>
          <w:lang w:eastAsia="en-GB"/>
        </w:rPr>
        <w:t xml:space="preserve">(44%) </w:t>
      </w:r>
      <w:r w:rsidR="00051E01">
        <w:rPr>
          <w:rFonts w:eastAsia="Times New Roman" w:cs="Arial"/>
          <w:szCs w:val="20"/>
          <w:lang w:eastAsia="en-GB"/>
        </w:rPr>
        <w:t xml:space="preserve">and decreased </w:t>
      </w:r>
      <w:r w:rsidR="00DA72F7">
        <w:rPr>
          <w:rFonts w:eastAsia="Times New Roman" w:cs="Arial"/>
          <w:szCs w:val="20"/>
          <w:lang w:eastAsia="en-GB"/>
        </w:rPr>
        <w:t xml:space="preserve">(23%) </w:t>
      </w:r>
      <w:r w:rsidR="00051E01">
        <w:rPr>
          <w:rFonts w:eastAsia="Times New Roman" w:cs="Arial"/>
          <w:szCs w:val="20"/>
          <w:lang w:eastAsia="en-GB"/>
        </w:rPr>
        <w:t>HSRs giving a better spread of HSRs across this category compared to the nutritionally similar Yoghurts and soft cheeses, overall providing better alignment with dietary guidelines.</w:t>
      </w:r>
      <w:r w:rsidR="00051E01" w:rsidRPr="009144AD">
        <w:rPr>
          <w:lang w:eastAsia="en-AU"/>
        </w:rPr>
        <w:t xml:space="preserve"> </w:t>
      </w:r>
    </w:p>
    <w:p w:rsidR="00051E01" w:rsidRDefault="00051E01" w:rsidP="00051E01">
      <w:pPr>
        <w:rPr>
          <w:rFonts w:eastAsia="Times New Roman" w:cs="Arial"/>
          <w:szCs w:val="20"/>
          <w:lang w:eastAsia="en-GB"/>
        </w:rPr>
      </w:pPr>
    </w:p>
    <w:p w:rsidR="009E0A1E" w:rsidRPr="001A0539" w:rsidRDefault="009E0A1E" w:rsidP="001A0539">
      <w:pPr>
        <w:spacing w:after="240"/>
        <w:rPr>
          <w:i/>
          <w:lang w:eastAsia="en-AU"/>
        </w:rPr>
      </w:pPr>
      <w:r w:rsidRPr="001A0539">
        <w:rPr>
          <w:i/>
          <w:lang w:eastAsia="en-AU"/>
        </w:rPr>
        <w:t>R</w:t>
      </w:r>
      <w:r w:rsidRPr="00DA72F7">
        <w:rPr>
          <w:i/>
          <w:lang w:eastAsia="en-AU"/>
        </w:rPr>
        <w:t>ecommendation 4</w:t>
      </w:r>
      <w:r w:rsidRPr="001A0539">
        <w:rPr>
          <w:i/>
          <w:lang w:eastAsia="en-AU"/>
        </w:rPr>
        <w:t>e</w:t>
      </w:r>
    </w:p>
    <w:p w:rsidR="009E0A1E" w:rsidRDefault="00982BAB" w:rsidP="001A0539">
      <w:pPr>
        <w:spacing w:after="240"/>
        <w:rPr>
          <w:rFonts w:eastAsia="Times New Roman" w:cs="Arial"/>
          <w:szCs w:val="20"/>
          <w:lang w:eastAsia="en-GB"/>
        </w:rPr>
      </w:pPr>
      <w:r>
        <w:rPr>
          <w:lang w:eastAsia="en-AU"/>
        </w:rPr>
        <w:t>Reclassification of Jelly and Ice confectionery</w:t>
      </w:r>
      <w:r w:rsidR="00FC236B">
        <w:rPr>
          <w:lang w:eastAsia="en-AU"/>
        </w:rPr>
        <w:t xml:space="preserve"> product categories</w:t>
      </w:r>
      <w:r>
        <w:rPr>
          <w:lang w:eastAsia="en-AU"/>
        </w:rPr>
        <w:t xml:space="preserve"> as </w:t>
      </w:r>
      <w:r w:rsidR="00FC236B">
        <w:rPr>
          <w:lang w:eastAsia="en-AU"/>
        </w:rPr>
        <w:t xml:space="preserve">HSR </w:t>
      </w:r>
      <w:r>
        <w:rPr>
          <w:lang w:eastAsia="en-AU"/>
        </w:rPr>
        <w:t>Category 1 Non-dairy beverages</w:t>
      </w:r>
      <w:r>
        <w:rPr>
          <w:rStyle w:val="FootnoteReference"/>
          <w:lang w:eastAsia="en-AU"/>
        </w:rPr>
        <w:footnoteReference w:id="6"/>
      </w:r>
      <w:r>
        <w:rPr>
          <w:lang w:eastAsia="en-AU"/>
        </w:rPr>
        <w:t xml:space="preserve"> for the purpose of HSR calculations resulted in reductions for all products in these categories </w:t>
      </w:r>
      <w:r w:rsidR="0065169C">
        <w:rPr>
          <w:lang w:eastAsia="en-AU"/>
        </w:rPr>
        <w:t xml:space="preserve">from a HSR of 2.5-3.5 </w:t>
      </w:r>
      <w:r>
        <w:rPr>
          <w:lang w:eastAsia="en-AU"/>
        </w:rPr>
        <w:t>to a HSR of 0.5 when the Recommended HSR calculator was implemented.</w:t>
      </w:r>
    </w:p>
    <w:p w:rsidR="009E0A1E" w:rsidRPr="00064182" w:rsidRDefault="009E0A1E" w:rsidP="001A0539">
      <w:pPr>
        <w:pStyle w:val="Heading4"/>
        <w:ind w:left="0" w:firstLine="0"/>
      </w:pPr>
      <w:r w:rsidRPr="00064182">
        <w:t>Impact on Non-dairy beverages (Recommendation 5)</w:t>
      </w:r>
    </w:p>
    <w:p w:rsidR="00051E01" w:rsidRDefault="00841CE2" w:rsidP="00051E01">
      <w:r>
        <w:rPr>
          <w:rFonts w:eastAsia="Times New Roman" w:cs="Arial"/>
          <w:szCs w:val="20"/>
          <w:lang w:eastAsia="en-GB"/>
        </w:rPr>
        <w:t>As a result of i</w:t>
      </w:r>
      <w:r w:rsidR="00F7332C">
        <w:rPr>
          <w:rFonts w:eastAsia="Times New Roman" w:cs="Arial"/>
          <w:szCs w:val="20"/>
          <w:lang w:eastAsia="en-GB"/>
        </w:rPr>
        <w:t>mplementing</w:t>
      </w:r>
      <w:r w:rsidR="005B4FDC">
        <w:rPr>
          <w:rFonts w:eastAsia="Times New Roman" w:cs="Arial"/>
          <w:szCs w:val="20"/>
          <w:lang w:eastAsia="en-GB"/>
        </w:rPr>
        <w:t xml:space="preserve"> an approach similar</w:t>
      </w:r>
      <w:r w:rsidR="00F7332C">
        <w:rPr>
          <w:rFonts w:eastAsia="Times New Roman" w:cs="Arial"/>
          <w:szCs w:val="20"/>
          <w:lang w:eastAsia="en-GB"/>
        </w:rPr>
        <w:t xml:space="preserve"> </w:t>
      </w:r>
      <w:r w:rsidR="005B4FDC">
        <w:rPr>
          <w:rFonts w:eastAsia="Times New Roman" w:cs="Arial"/>
          <w:szCs w:val="20"/>
          <w:lang w:eastAsia="en-GB"/>
        </w:rPr>
        <w:t xml:space="preserve">to </w:t>
      </w:r>
      <w:r w:rsidR="00F7332C">
        <w:rPr>
          <w:rFonts w:eastAsia="Times New Roman" w:cs="Arial"/>
          <w:szCs w:val="20"/>
          <w:lang w:eastAsia="en-GB"/>
        </w:rPr>
        <w:t xml:space="preserve">the </w:t>
      </w:r>
      <w:proofErr w:type="spellStart"/>
      <w:r w:rsidR="00F7332C">
        <w:rPr>
          <w:rFonts w:eastAsia="Times New Roman" w:cs="Arial"/>
          <w:szCs w:val="20"/>
          <w:lang w:eastAsia="en-GB"/>
        </w:rPr>
        <w:t>Nutri</w:t>
      </w:r>
      <w:proofErr w:type="spellEnd"/>
      <w:r w:rsidR="00F7332C">
        <w:rPr>
          <w:rFonts w:eastAsia="Times New Roman" w:cs="Arial"/>
          <w:szCs w:val="20"/>
          <w:lang w:eastAsia="en-GB"/>
        </w:rPr>
        <w:t xml:space="preserve">-Score System to calculate HSRs for </w:t>
      </w:r>
      <w:r w:rsidR="00FC236B">
        <w:rPr>
          <w:rFonts w:eastAsia="Times New Roman" w:cs="Arial"/>
          <w:szCs w:val="20"/>
          <w:lang w:eastAsia="en-GB"/>
        </w:rPr>
        <w:t>non</w:t>
      </w:r>
      <w:r w:rsidR="00F7332C">
        <w:rPr>
          <w:rFonts w:eastAsia="Times New Roman" w:cs="Arial"/>
          <w:szCs w:val="20"/>
          <w:lang w:eastAsia="en-GB"/>
        </w:rPr>
        <w:t>-dairy beverages</w:t>
      </w:r>
      <w:r>
        <w:rPr>
          <w:rFonts w:eastAsia="Times New Roman" w:cs="Arial"/>
          <w:szCs w:val="20"/>
          <w:lang w:eastAsia="en-GB"/>
        </w:rPr>
        <w:t xml:space="preserve">, </w:t>
      </w:r>
      <w:r w:rsidR="00F7332C">
        <w:t xml:space="preserve">the majority (94%) of </w:t>
      </w:r>
      <w:r w:rsidR="00FC236B">
        <w:t>these products</w:t>
      </w:r>
      <w:r w:rsidR="00F7332C">
        <w:t xml:space="preserve"> had a decrease in HSR of 0.5 to 3 stars</w:t>
      </w:r>
      <w:r w:rsidR="00FC236B">
        <w:t xml:space="preserve">. The </w:t>
      </w:r>
      <w:r w:rsidR="00F7332C">
        <w:t xml:space="preserve">greatest impact </w:t>
      </w:r>
      <w:r w:rsidR="00FC236B">
        <w:t xml:space="preserve">was </w:t>
      </w:r>
      <w:r>
        <w:t>for</w:t>
      </w:r>
      <w:r w:rsidR="00F7332C">
        <w:t xml:space="preserve"> whole juices with 98% of products affected, </w:t>
      </w:r>
      <w:r>
        <w:t>with up to</w:t>
      </w:r>
      <w:r w:rsidR="00FC236B">
        <w:t xml:space="preserve"> a</w:t>
      </w:r>
      <w:r>
        <w:t xml:space="preserve"> 3 stars reduction for some products.</w:t>
      </w:r>
    </w:p>
    <w:p w:rsidR="00D44DCD" w:rsidRDefault="00D44DCD" w:rsidP="00051E01"/>
    <w:p w:rsidR="001B6542" w:rsidRPr="00C056C2" w:rsidRDefault="001B6542" w:rsidP="001B6542">
      <w:pPr>
        <w:rPr>
          <w:lang w:eastAsia="en-AU"/>
        </w:rPr>
      </w:pPr>
      <w:r>
        <w:rPr>
          <w:lang w:eastAsia="en-AU"/>
        </w:rPr>
        <w:t xml:space="preserve">Overall, </w:t>
      </w:r>
      <w:r>
        <w:rPr>
          <w:lang w:eastAsia="en-GB"/>
        </w:rPr>
        <w:t>r</w:t>
      </w:r>
      <w:r w:rsidRPr="002D171F">
        <w:rPr>
          <w:lang w:eastAsia="en-GB"/>
        </w:rPr>
        <w:t>eclassification, rescaling and using new calculation methods (non-dairy beverages</w:t>
      </w:r>
      <w:r>
        <w:rPr>
          <w:lang w:eastAsia="en-GB"/>
        </w:rPr>
        <w:t>, ice confectionery and jelly</w:t>
      </w:r>
      <w:r w:rsidRPr="002D171F">
        <w:rPr>
          <w:lang w:eastAsia="en-GB"/>
        </w:rPr>
        <w:t xml:space="preserve">) had a greater impact </w:t>
      </w:r>
      <w:r>
        <w:rPr>
          <w:lang w:eastAsia="en-GB"/>
        </w:rPr>
        <w:t xml:space="preserve">on HSRs </w:t>
      </w:r>
      <w:r w:rsidRPr="002D171F">
        <w:rPr>
          <w:lang w:eastAsia="en-GB"/>
        </w:rPr>
        <w:t xml:space="preserve">than the adjustment of sodium and total sugars </w:t>
      </w:r>
      <w:r>
        <w:rPr>
          <w:lang w:eastAsia="en-GB"/>
        </w:rPr>
        <w:t xml:space="preserve">baseline </w:t>
      </w:r>
      <w:r w:rsidRPr="002D171F">
        <w:rPr>
          <w:lang w:eastAsia="en-GB"/>
        </w:rPr>
        <w:t>points tables</w:t>
      </w:r>
      <w:r>
        <w:rPr>
          <w:lang w:eastAsia="en-GB"/>
        </w:rPr>
        <w:t>,</w:t>
      </w:r>
      <w:r w:rsidRPr="002D171F">
        <w:rPr>
          <w:lang w:eastAsia="en-GB"/>
        </w:rPr>
        <w:t xml:space="preserve"> which generally resulted in a reduction in HSRs for a smaller proportion of products across a broad range of AGHE categories.</w:t>
      </w:r>
    </w:p>
    <w:p w:rsidR="001B6542" w:rsidRPr="001A0539" w:rsidRDefault="00F40A92" w:rsidP="001A0539">
      <w:pPr>
        <w:pStyle w:val="Heading2"/>
        <w:numPr>
          <w:ilvl w:val="0"/>
          <w:numId w:val="18"/>
        </w:numPr>
        <w:rPr>
          <w:rFonts w:eastAsiaTheme="minorHAnsi" w:cstheme="minorBidi"/>
          <w:bCs w:val="0"/>
          <w:sz w:val="22"/>
        </w:rPr>
      </w:pPr>
      <w:bookmarkStart w:id="4" w:name="_Toc34934642"/>
      <w:bookmarkStart w:id="5" w:name="_Toc35248846"/>
      <w:r w:rsidRPr="001A0539">
        <w:rPr>
          <w:rFonts w:eastAsiaTheme="minorHAnsi" w:cstheme="minorBidi"/>
          <w:bCs w:val="0"/>
          <w:sz w:val="22"/>
        </w:rPr>
        <w:t>Reconsideration of recommended dairy re-categorisation and rescaling</w:t>
      </w:r>
      <w:bookmarkEnd w:id="4"/>
      <w:bookmarkEnd w:id="5"/>
    </w:p>
    <w:p w:rsidR="00F40A92" w:rsidRDefault="00F40A92" w:rsidP="001A0539">
      <w:r>
        <w:t xml:space="preserve">The Forum also requested that FSANZ provide advice on whether it was necessary to re-categorise and rescale dairy categories in combination with the recommended adjustments to HSR baseline point </w:t>
      </w:r>
      <w:r w:rsidR="00B36525">
        <w:t xml:space="preserve">tables </w:t>
      </w:r>
      <w:r>
        <w:t xml:space="preserve">for individual nutrients. </w:t>
      </w:r>
    </w:p>
    <w:p w:rsidR="001B6542" w:rsidRDefault="001B6542" w:rsidP="001B6542"/>
    <w:p w:rsidR="001B6542" w:rsidRDefault="001B6542" w:rsidP="009C2478">
      <w:r>
        <w:t xml:space="preserve">Outcomes from the Original HSR calculator were compared to the Recommended HSR calculator </w:t>
      </w:r>
      <w:r w:rsidR="00B36525">
        <w:t>which was adjusted to remove reclassification and rescaling of products in HSR categories 2D and 3D.</w:t>
      </w:r>
    </w:p>
    <w:p w:rsidR="001B6542" w:rsidRDefault="001B6542" w:rsidP="001B6542"/>
    <w:p w:rsidR="00EB6406" w:rsidRDefault="00B36525" w:rsidP="00EB6406">
      <w:r>
        <w:t>E</w:t>
      </w:r>
      <w:r w:rsidR="001B6542">
        <w:t xml:space="preserve">xcluding the recommended reclassification and rescaling for dairy products in HSR Categories 2D and 3D </w:t>
      </w:r>
      <w:r w:rsidR="00EB6406">
        <w:t>result</w:t>
      </w:r>
      <w:r>
        <w:t>ed</w:t>
      </w:r>
      <w:r w:rsidR="00EB6406">
        <w:t xml:space="preserve"> in only small changes for all dairy food categories</w:t>
      </w:r>
      <w:r w:rsidR="00567358">
        <w:t xml:space="preserve">. </w:t>
      </w:r>
      <w:r w:rsidR="00543CD9">
        <w:t xml:space="preserve">Yoghurt and soft cheeses (13%), Cream cheese (7%) and Custards/desserts (6%) products </w:t>
      </w:r>
      <w:r w:rsidR="005E0913">
        <w:t>were all</w:t>
      </w:r>
      <w:r w:rsidR="00543CD9">
        <w:t xml:space="preserve"> affected by a 0.5 star reduction</w:t>
      </w:r>
      <w:r w:rsidR="005E0913">
        <w:t xml:space="preserve">, however, </w:t>
      </w:r>
      <w:r w:rsidR="00492A4B">
        <w:t xml:space="preserve">no Cream products </w:t>
      </w:r>
      <w:r w:rsidR="005E0913">
        <w:t xml:space="preserve">were </w:t>
      </w:r>
      <w:r w:rsidR="00492A4B">
        <w:t>impacted.</w:t>
      </w:r>
      <w:r w:rsidR="00441705">
        <w:t xml:space="preserve"> </w:t>
      </w:r>
      <w:r w:rsidR="00543CD9">
        <w:t xml:space="preserve">The reduction in HSR </w:t>
      </w:r>
      <w:r w:rsidR="00492A4B">
        <w:t xml:space="preserve">was as </w:t>
      </w:r>
      <w:r w:rsidR="00543CD9">
        <w:t>a result of the recommended changes to the total sugars HSR baseline points tables</w:t>
      </w:r>
      <w:r>
        <w:t xml:space="preserve"> only</w:t>
      </w:r>
      <w:r w:rsidR="00543CD9">
        <w:t xml:space="preserve"> as all product</w:t>
      </w:r>
      <w:r>
        <w:t>s</w:t>
      </w:r>
      <w:r w:rsidR="00543CD9">
        <w:t xml:space="preserve"> had a sodium concentration of &lt;900 mg/100 g.</w:t>
      </w:r>
    </w:p>
    <w:p w:rsidR="00543CD9" w:rsidRDefault="00543CD9" w:rsidP="00EB6406"/>
    <w:p w:rsidR="00EB6406" w:rsidRDefault="00B36525" w:rsidP="00EB6406">
      <w:r>
        <w:t xml:space="preserve">This option </w:t>
      </w:r>
      <w:r w:rsidR="00EB6406">
        <w:t>did not result in better alignment with dietary guidelines compared to the Recommended HSR calculator.</w:t>
      </w:r>
    </w:p>
    <w:p w:rsidR="00E465C2" w:rsidRPr="001A0539" w:rsidRDefault="00E465C2" w:rsidP="00051E01"/>
    <w:p w:rsidR="00E465C2" w:rsidRPr="001A0539" w:rsidRDefault="00E465C2" w:rsidP="001A0539">
      <w:pPr>
        <w:pStyle w:val="Heading2"/>
        <w:keepLines/>
        <w:pageBreakBefore/>
        <w:ind w:left="0" w:firstLine="0"/>
        <w:rPr>
          <w:rFonts w:eastAsiaTheme="minorHAnsi" w:cstheme="minorBidi"/>
          <w:bCs w:val="0"/>
          <w:sz w:val="24"/>
          <w:szCs w:val="24"/>
        </w:rPr>
      </w:pPr>
      <w:r w:rsidRPr="001A0539">
        <w:rPr>
          <w:rFonts w:eastAsiaTheme="minorHAnsi" w:cstheme="minorBidi"/>
          <w:bCs w:val="0"/>
          <w:sz w:val="24"/>
          <w:szCs w:val="24"/>
        </w:rPr>
        <w:t>Appendix</w:t>
      </w:r>
    </w:p>
    <w:p w:rsidR="00E465C2" w:rsidRDefault="00E465C2" w:rsidP="001A0539">
      <w:pPr>
        <w:keepNext/>
        <w:keepLines/>
        <w:rPr>
          <w:b/>
        </w:rPr>
      </w:pPr>
    </w:p>
    <w:p w:rsidR="00E465C2" w:rsidRDefault="00E465C2" w:rsidP="001A0539">
      <w:pPr>
        <w:pStyle w:val="Caption"/>
        <w:keepNext/>
        <w:keepLines/>
        <w:ind w:left="1134" w:hanging="1134"/>
      </w:pPr>
      <w:bookmarkStart w:id="6" w:name="_Ref34925814"/>
      <w:r>
        <w:t xml:space="preserve">Table </w:t>
      </w:r>
      <w:bookmarkEnd w:id="6"/>
      <w:r>
        <w:t>1</w:t>
      </w:r>
      <w:r>
        <w:tab/>
        <w:t>Summary of all changes to the Original HSR calculator as recommended in the HSR System Five Year Review Report</w:t>
      </w:r>
    </w:p>
    <w:tbl>
      <w:tblPr>
        <w:tblStyle w:val="PlainTable2"/>
        <w:tblW w:w="9209" w:type="dxa"/>
        <w:tblLayout w:type="fixed"/>
        <w:tblLook w:val="04A0" w:firstRow="1" w:lastRow="0" w:firstColumn="1" w:lastColumn="0" w:noHBand="0" w:noVBand="1"/>
        <w:tblCaption w:val="Table 1 Summary of all changes to the Original HSR calculator as recommended in the HSR System Five Year Review Report"/>
        <w:tblDescription w:val="Summary of all changes to parameters to the Original HSR calculator as recommended in the HSR System Five Year Review Report"/>
      </w:tblPr>
      <w:tblGrid>
        <w:gridCol w:w="448"/>
        <w:gridCol w:w="1532"/>
        <w:gridCol w:w="1843"/>
        <w:gridCol w:w="1701"/>
        <w:gridCol w:w="1842"/>
        <w:gridCol w:w="1843"/>
      </w:tblGrid>
      <w:tr w:rsidR="00F63C82" w:rsidRPr="00F63C82" w:rsidTr="0005647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gridSpan w:val="2"/>
            <w:shd w:val="clear" w:color="auto" w:fill="404040" w:themeFill="text1" w:themeFillTint="BF"/>
          </w:tcPr>
          <w:p w:rsidR="00E465C2" w:rsidRPr="00F63C82" w:rsidRDefault="00E465C2" w:rsidP="001A0539">
            <w:pPr>
              <w:keepNext/>
              <w:keepLines/>
              <w:jc w:val="center"/>
              <w:rPr>
                <w:b w:val="0"/>
                <w:color w:val="FFFFFF" w:themeColor="background1"/>
                <w:sz w:val="18"/>
              </w:rPr>
            </w:pPr>
            <w:r w:rsidRPr="00F63C82">
              <w:rPr>
                <w:color w:val="FFFFFF" w:themeColor="background1"/>
                <w:sz w:val="18"/>
              </w:rPr>
              <w:t>Recommendation in Review Report</w:t>
            </w:r>
          </w:p>
        </w:tc>
        <w:tc>
          <w:tcPr>
            <w:tcW w:w="3544" w:type="dxa"/>
            <w:gridSpan w:val="2"/>
            <w:shd w:val="clear" w:color="auto" w:fill="404040" w:themeFill="text1" w:themeFillTint="BF"/>
          </w:tcPr>
          <w:p w:rsidR="00E465C2" w:rsidRPr="00F63C82" w:rsidRDefault="00E465C2" w:rsidP="001A0539">
            <w:pPr>
              <w:keepNext/>
              <w:keepLines/>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rPr>
            </w:pPr>
            <w:r w:rsidRPr="00F63C82">
              <w:rPr>
                <w:color w:val="FFFFFF" w:themeColor="background1"/>
                <w:sz w:val="18"/>
              </w:rPr>
              <w:t>Original HSR calculator parameters</w:t>
            </w:r>
          </w:p>
        </w:tc>
        <w:tc>
          <w:tcPr>
            <w:tcW w:w="3685" w:type="dxa"/>
            <w:gridSpan w:val="2"/>
            <w:shd w:val="clear" w:color="auto" w:fill="404040" w:themeFill="text1" w:themeFillTint="BF"/>
          </w:tcPr>
          <w:p w:rsidR="00E465C2" w:rsidRPr="00F63C82" w:rsidRDefault="00E465C2" w:rsidP="001A0539">
            <w:pPr>
              <w:keepNext/>
              <w:keepLines/>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rPr>
            </w:pPr>
            <w:r w:rsidRPr="00F63C82">
              <w:rPr>
                <w:color w:val="FFFFFF" w:themeColor="background1"/>
                <w:sz w:val="18"/>
              </w:rPr>
              <w:t>Recommended HSR calculator parameters</w:t>
            </w:r>
          </w:p>
        </w:tc>
      </w:tr>
      <w:tr w:rsidR="00E465C2" w:rsidRPr="00884E4A" w:rsidTr="0005647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8" w:type="dxa"/>
            <w:shd w:val="clear" w:color="auto" w:fill="BFBFBF" w:themeFill="background1" w:themeFillShade="BF"/>
          </w:tcPr>
          <w:p w:rsidR="00E465C2" w:rsidRPr="00884E4A" w:rsidRDefault="00E465C2" w:rsidP="00CE16E6">
            <w:pPr>
              <w:rPr>
                <w:b w:val="0"/>
                <w:sz w:val="18"/>
              </w:rPr>
            </w:pPr>
          </w:p>
        </w:tc>
        <w:tc>
          <w:tcPr>
            <w:tcW w:w="1532" w:type="dxa"/>
            <w:shd w:val="clear" w:color="auto" w:fill="BFBFBF" w:themeFill="background1" w:themeFillShade="BF"/>
          </w:tcPr>
          <w:p w:rsidR="00E465C2" w:rsidRPr="00884E4A" w:rsidRDefault="00E465C2" w:rsidP="00CE16E6">
            <w:pPr>
              <w:cnfStyle w:val="100000000000" w:firstRow="1" w:lastRow="0" w:firstColumn="0" w:lastColumn="0" w:oddVBand="0" w:evenVBand="0" w:oddHBand="0" w:evenHBand="0" w:firstRowFirstColumn="0" w:firstRowLastColumn="0" w:lastRowFirstColumn="0" w:lastRowLastColumn="0"/>
              <w:rPr>
                <w:b w:val="0"/>
                <w:sz w:val="18"/>
              </w:rPr>
            </w:pPr>
          </w:p>
        </w:tc>
        <w:tc>
          <w:tcPr>
            <w:tcW w:w="1843" w:type="dxa"/>
            <w:shd w:val="clear" w:color="auto" w:fill="BFBFBF" w:themeFill="background1" w:themeFillShade="BF"/>
          </w:tcPr>
          <w:p w:rsidR="00E465C2" w:rsidRPr="00884E4A" w:rsidRDefault="00E465C2" w:rsidP="00CE16E6">
            <w:pPr>
              <w:cnfStyle w:val="100000000000" w:firstRow="1" w:lastRow="0" w:firstColumn="0" w:lastColumn="0" w:oddVBand="0" w:evenVBand="0" w:oddHBand="0" w:evenHBand="0" w:firstRowFirstColumn="0" w:firstRowLastColumn="0" w:lastRowFirstColumn="0" w:lastRowLastColumn="0"/>
              <w:rPr>
                <w:b w:val="0"/>
                <w:sz w:val="18"/>
              </w:rPr>
            </w:pPr>
            <w:r w:rsidRPr="00884E4A">
              <w:rPr>
                <w:sz w:val="18"/>
              </w:rPr>
              <w:t>Category 1, 1D, 2 and  2D</w:t>
            </w:r>
          </w:p>
        </w:tc>
        <w:tc>
          <w:tcPr>
            <w:tcW w:w="1701" w:type="dxa"/>
            <w:shd w:val="clear" w:color="auto" w:fill="BFBFBF" w:themeFill="background1" w:themeFillShade="BF"/>
          </w:tcPr>
          <w:p w:rsidR="00E465C2" w:rsidRPr="00884E4A" w:rsidRDefault="00E465C2" w:rsidP="00CE16E6">
            <w:pPr>
              <w:cnfStyle w:val="100000000000" w:firstRow="1" w:lastRow="0" w:firstColumn="0" w:lastColumn="0" w:oddVBand="0" w:evenVBand="0" w:oddHBand="0" w:evenHBand="0" w:firstRowFirstColumn="0" w:firstRowLastColumn="0" w:lastRowFirstColumn="0" w:lastRowLastColumn="0"/>
              <w:rPr>
                <w:b w:val="0"/>
                <w:sz w:val="18"/>
              </w:rPr>
            </w:pPr>
            <w:r w:rsidRPr="00884E4A">
              <w:rPr>
                <w:sz w:val="18"/>
              </w:rPr>
              <w:t>Category 3 and 3D</w:t>
            </w:r>
          </w:p>
        </w:tc>
        <w:tc>
          <w:tcPr>
            <w:tcW w:w="1842" w:type="dxa"/>
            <w:shd w:val="clear" w:color="auto" w:fill="BFBFBF" w:themeFill="background1" w:themeFillShade="BF"/>
          </w:tcPr>
          <w:p w:rsidR="00E465C2" w:rsidRPr="00884E4A" w:rsidRDefault="00E465C2" w:rsidP="00CE16E6">
            <w:pPr>
              <w:cnfStyle w:val="100000000000" w:firstRow="1" w:lastRow="0" w:firstColumn="0" w:lastColumn="0" w:oddVBand="0" w:evenVBand="0" w:oddHBand="0" w:evenHBand="0" w:firstRowFirstColumn="0" w:firstRowLastColumn="0" w:lastRowFirstColumn="0" w:lastRowLastColumn="0"/>
              <w:rPr>
                <w:b w:val="0"/>
                <w:sz w:val="18"/>
              </w:rPr>
            </w:pPr>
            <w:r w:rsidRPr="00884E4A">
              <w:rPr>
                <w:sz w:val="18"/>
              </w:rPr>
              <w:t>Category 1, 1D, 2 and  2D</w:t>
            </w:r>
          </w:p>
        </w:tc>
        <w:tc>
          <w:tcPr>
            <w:tcW w:w="1843" w:type="dxa"/>
            <w:shd w:val="clear" w:color="auto" w:fill="BFBFBF" w:themeFill="background1" w:themeFillShade="BF"/>
          </w:tcPr>
          <w:p w:rsidR="00E465C2" w:rsidRPr="00884E4A" w:rsidRDefault="00E465C2" w:rsidP="00CE16E6">
            <w:pPr>
              <w:cnfStyle w:val="100000000000" w:firstRow="1" w:lastRow="0" w:firstColumn="0" w:lastColumn="0" w:oddVBand="0" w:evenVBand="0" w:oddHBand="0" w:evenHBand="0" w:firstRowFirstColumn="0" w:firstRowLastColumn="0" w:lastRowFirstColumn="0" w:lastRowLastColumn="0"/>
              <w:rPr>
                <w:b w:val="0"/>
                <w:sz w:val="18"/>
              </w:rPr>
            </w:pPr>
            <w:r w:rsidRPr="00884E4A">
              <w:rPr>
                <w:sz w:val="18"/>
              </w:rPr>
              <w:t>Category 3 and 3D</w:t>
            </w:r>
          </w:p>
        </w:tc>
      </w:tr>
      <w:tr w:rsidR="00E465C2" w:rsidRPr="00C1264D" w:rsidTr="00F63C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dxa"/>
          </w:tcPr>
          <w:p w:rsidR="00E465C2" w:rsidRDefault="00E465C2" w:rsidP="00CE16E6">
            <w:pPr>
              <w:rPr>
                <w:sz w:val="18"/>
              </w:rPr>
            </w:pPr>
            <w:r>
              <w:rPr>
                <w:sz w:val="18"/>
              </w:rPr>
              <w:t>4A</w:t>
            </w:r>
          </w:p>
        </w:tc>
        <w:tc>
          <w:tcPr>
            <w:tcW w:w="1532" w:type="dxa"/>
          </w:tcPr>
          <w:p w:rsidR="00E465C2" w:rsidRDefault="00E465C2" w:rsidP="00CE16E6">
            <w:pPr>
              <w:cnfStyle w:val="000000100000" w:firstRow="0" w:lastRow="0" w:firstColumn="0" w:lastColumn="0" w:oddVBand="0" w:evenVBand="0" w:oddHBand="1" w:evenHBand="0" w:firstRowFirstColumn="0" w:firstRowLastColumn="0" w:lastRowFirstColumn="0" w:lastRowLastColumn="0"/>
              <w:rPr>
                <w:sz w:val="18"/>
              </w:rPr>
            </w:pPr>
            <w:r>
              <w:rPr>
                <w:sz w:val="18"/>
              </w:rPr>
              <w:t>Automatic HSR of 5 for unprocessed or minimally processed fruit and vegetables</w:t>
            </w:r>
          </w:p>
          <w:p w:rsidR="00E465C2" w:rsidRDefault="00E465C2" w:rsidP="00CE16E6">
            <w:pPr>
              <w:cnfStyle w:val="000000100000" w:firstRow="0" w:lastRow="0" w:firstColumn="0" w:lastColumn="0" w:oddVBand="0" w:evenVBand="0" w:oddHBand="1" w:evenHBand="0" w:firstRowFirstColumn="0" w:firstRowLastColumn="0" w:lastRowFirstColumn="0" w:lastRowLastColumn="0"/>
              <w:rPr>
                <w:sz w:val="18"/>
              </w:rPr>
            </w:pPr>
          </w:p>
          <w:p w:rsidR="00E465C2" w:rsidRDefault="00E465C2" w:rsidP="00CE16E6">
            <w:pPr>
              <w:cnfStyle w:val="000000100000" w:firstRow="0" w:lastRow="0" w:firstColumn="0" w:lastColumn="0" w:oddVBand="0" w:evenVBand="0" w:oddHBand="1" w:evenHBand="0" w:firstRowFirstColumn="0" w:firstRowLastColumn="0" w:lastRowFirstColumn="0" w:lastRowLastColumn="0"/>
              <w:rPr>
                <w:sz w:val="18"/>
              </w:rPr>
            </w:pPr>
            <w:r>
              <w:rPr>
                <w:sz w:val="18"/>
              </w:rPr>
              <w:t>(refer p</w:t>
            </w:r>
            <w:r w:rsidR="00F63C82">
              <w:rPr>
                <w:sz w:val="18"/>
              </w:rPr>
              <w:t xml:space="preserve"> </w:t>
            </w:r>
            <w:r>
              <w:rPr>
                <w:sz w:val="18"/>
              </w:rPr>
              <w:t>49 of Review Report)</w:t>
            </w:r>
          </w:p>
        </w:tc>
        <w:tc>
          <w:tcPr>
            <w:tcW w:w="1843" w:type="dxa"/>
          </w:tcPr>
          <w:p w:rsidR="00E465C2" w:rsidRDefault="00E465C2" w:rsidP="00CE16E6">
            <w:pPr>
              <w:cnfStyle w:val="000000100000" w:firstRow="0" w:lastRow="0" w:firstColumn="0" w:lastColumn="0" w:oddVBand="0" w:evenVBand="0" w:oddHBand="1" w:evenHBand="0" w:firstRowFirstColumn="0" w:firstRowLastColumn="0" w:lastRowFirstColumn="0" w:lastRowLastColumn="0"/>
              <w:rPr>
                <w:sz w:val="18"/>
              </w:rPr>
            </w:pPr>
            <w:r>
              <w:rPr>
                <w:sz w:val="18"/>
              </w:rPr>
              <w:t>As per HSR Category 2 other foods</w:t>
            </w:r>
          </w:p>
        </w:tc>
        <w:tc>
          <w:tcPr>
            <w:tcW w:w="1701" w:type="dxa"/>
          </w:tcPr>
          <w:p w:rsidR="00E465C2" w:rsidRDefault="00E465C2" w:rsidP="00CE16E6">
            <w:pPr>
              <w:cnfStyle w:val="000000100000" w:firstRow="0" w:lastRow="0" w:firstColumn="0" w:lastColumn="0" w:oddVBand="0" w:evenVBand="0" w:oddHBand="1" w:evenHBand="0" w:firstRowFirstColumn="0" w:firstRowLastColumn="0" w:lastRowFirstColumn="0" w:lastRowLastColumn="0"/>
              <w:rPr>
                <w:sz w:val="18"/>
              </w:rPr>
            </w:pPr>
            <w:r>
              <w:rPr>
                <w:sz w:val="18"/>
              </w:rPr>
              <w:t>N/A</w:t>
            </w:r>
          </w:p>
        </w:tc>
        <w:tc>
          <w:tcPr>
            <w:tcW w:w="1842" w:type="dxa"/>
          </w:tcPr>
          <w:p w:rsidR="00E465C2" w:rsidRDefault="00E465C2" w:rsidP="00CE16E6">
            <w:pPr>
              <w:cnfStyle w:val="000000100000" w:firstRow="0" w:lastRow="0" w:firstColumn="0" w:lastColumn="0" w:oddVBand="0" w:evenVBand="0" w:oddHBand="1" w:evenHBand="0" w:firstRowFirstColumn="0" w:firstRowLastColumn="0" w:lastRowFirstColumn="0" w:lastRowLastColumn="0"/>
              <w:rPr>
                <w:sz w:val="18"/>
              </w:rPr>
            </w:pPr>
            <w:r>
              <w:rPr>
                <w:sz w:val="18"/>
              </w:rPr>
              <w:t>Eligible fruits and vegetables in HSR Category 2 automatically receive HSR of 5</w:t>
            </w:r>
          </w:p>
        </w:tc>
        <w:tc>
          <w:tcPr>
            <w:tcW w:w="1843" w:type="dxa"/>
          </w:tcPr>
          <w:p w:rsidR="00E465C2" w:rsidRDefault="00E465C2" w:rsidP="00CE16E6">
            <w:pPr>
              <w:cnfStyle w:val="000000100000" w:firstRow="0" w:lastRow="0" w:firstColumn="0" w:lastColumn="0" w:oddVBand="0" w:evenVBand="0" w:oddHBand="1" w:evenHBand="0" w:firstRowFirstColumn="0" w:firstRowLastColumn="0" w:lastRowFirstColumn="0" w:lastRowLastColumn="0"/>
              <w:rPr>
                <w:sz w:val="18"/>
              </w:rPr>
            </w:pPr>
            <w:r>
              <w:rPr>
                <w:sz w:val="18"/>
              </w:rPr>
              <w:t>N/A</w:t>
            </w:r>
          </w:p>
        </w:tc>
      </w:tr>
      <w:tr w:rsidR="00E465C2" w:rsidRPr="00C1264D" w:rsidTr="00F63C82">
        <w:tc>
          <w:tcPr>
            <w:cnfStyle w:val="001000000000" w:firstRow="0" w:lastRow="0" w:firstColumn="1" w:lastColumn="0" w:oddVBand="0" w:evenVBand="0" w:oddHBand="0" w:evenHBand="0" w:firstRowFirstColumn="0" w:firstRowLastColumn="0" w:lastRowFirstColumn="0" w:lastRowLastColumn="0"/>
            <w:tcW w:w="448" w:type="dxa"/>
          </w:tcPr>
          <w:p w:rsidR="00E465C2" w:rsidRPr="00C1264D" w:rsidRDefault="00E465C2" w:rsidP="00CE16E6">
            <w:pPr>
              <w:rPr>
                <w:sz w:val="18"/>
              </w:rPr>
            </w:pPr>
            <w:r>
              <w:rPr>
                <w:sz w:val="18"/>
              </w:rPr>
              <w:t>4B</w:t>
            </w:r>
          </w:p>
        </w:tc>
        <w:tc>
          <w:tcPr>
            <w:tcW w:w="1532" w:type="dxa"/>
          </w:tcPr>
          <w:p w:rsidR="00E465C2" w:rsidRDefault="00E465C2" w:rsidP="00CE16E6">
            <w:pPr>
              <w:cnfStyle w:val="000000000000" w:firstRow="0" w:lastRow="0" w:firstColumn="0" w:lastColumn="0" w:oddVBand="0" w:evenVBand="0" w:oddHBand="0" w:evenHBand="0" w:firstRowFirstColumn="0" w:firstRowLastColumn="0" w:lastRowFirstColumn="0" w:lastRowLastColumn="0"/>
              <w:rPr>
                <w:sz w:val="18"/>
              </w:rPr>
            </w:pPr>
            <w:r w:rsidRPr="00C1264D">
              <w:rPr>
                <w:sz w:val="18"/>
              </w:rPr>
              <w:t xml:space="preserve">Total sugars </w:t>
            </w:r>
            <w:r>
              <w:rPr>
                <w:sz w:val="18"/>
              </w:rPr>
              <w:t xml:space="preserve">baseline </w:t>
            </w:r>
            <w:r w:rsidRPr="00C1264D">
              <w:rPr>
                <w:sz w:val="18"/>
              </w:rPr>
              <w:t>points table</w:t>
            </w:r>
            <w:r>
              <w:rPr>
                <w:sz w:val="18"/>
              </w:rPr>
              <w:t xml:space="preserve"> adjusted</w:t>
            </w:r>
          </w:p>
          <w:p w:rsidR="00E465C2" w:rsidRDefault="00E465C2" w:rsidP="00CE16E6">
            <w:pPr>
              <w:cnfStyle w:val="000000000000" w:firstRow="0" w:lastRow="0" w:firstColumn="0" w:lastColumn="0" w:oddVBand="0" w:evenVBand="0" w:oddHBand="0" w:evenHBand="0" w:firstRowFirstColumn="0" w:firstRowLastColumn="0" w:lastRowFirstColumn="0" w:lastRowLastColumn="0"/>
              <w:rPr>
                <w:sz w:val="18"/>
              </w:rPr>
            </w:pPr>
          </w:p>
          <w:p w:rsidR="00E465C2" w:rsidRPr="00C1264D" w:rsidRDefault="00E465C2" w:rsidP="00CE16E6">
            <w:pPr>
              <w:cnfStyle w:val="000000000000" w:firstRow="0" w:lastRow="0" w:firstColumn="0" w:lastColumn="0" w:oddVBand="0" w:evenVBand="0" w:oddHBand="0" w:evenHBand="0" w:firstRowFirstColumn="0" w:firstRowLastColumn="0" w:lastRowFirstColumn="0" w:lastRowLastColumn="0"/>
              <w:rPr>
                <w:sz w:val="18"/>
              </w:rPr>
            </w:pPr>
            <w:r w:rsidRPr="00243F1B">
              <w:rPr>
                <w:sz w:val="18"/>
                <w:szCs w:val="18"/>
              </w:rPr>
              <w:t>(</w:t>
            </w:r>
            <w:r>
              <w:rPr>
                <w:sz w:val="18"/>
                <w:szCs w:val="18"/>
              </w:rPr>
              <w:t>refer</w:t>
            </w:r>
            <w:r w:rsidRPr="00243F1B">
              <w:rPr>
                <w:sz w:val="18"/>
                <w:szCs w:val="18"/>
              </w:rPr>
              <w:t xml:space="preserve"> p 52 </w:t>
            </w:r>
            <w:r>
              <w:rPr>
                <w:sz w:val="18"/>
                <w:szCs w:val="18"/>
              </w:rPr>
              <w:t xml:space="preserve">of </w:t>
            </w:r>
            <w:r w:rsidRPr="00243F1B">
              <w:rPr>
                <w:sz w:val="18"/>
                <w:szCs w:val="18"/>
              </w:rPr>
              <w:t>Review Report)</w:t>
            </w:r>
          </w:p>
        </w:tc>
        <w:tc>
          <w:tcPr>
            <w:tcW w:w="1843" w:type="dxa"/>
          </w:tcPr>
          <w:p w:rsidR="00E465C2" w:rsidRDefault="00E465C2" w:rsidP="00CE16E6">
            <w:pPr>
              <w:cnfStyle w:val="000000000000" w:firstRow="0" w:lastRow="0" w:firstColumn="0" w:lastColumn="0" w:oddVBand="0" w:evenVBand="0" w:oddHBand="0" w:evenHBand="0" w:firstRowFirstColumn="0" w:firstRowLastColumn="0" w:lastRowFirstColumn="0" w:lastRowLastColumn="0"/>
              <w:rPr>
                <w:sz w:val="18"/>
              </w:rPr>
            </w:pPr>
            <w:r w:rsidRPr="00C1264D">
              <w:rPr>
                <w:sz w:val="18"/>
              </w:rPr>
              <w:t>22 point table</w:t>
            </w:r>
          </w:p>
          <w:p w:rsidR="00E465C2" w:rsidRDefault="00E465C2" w:rsidP="00CE16E6">
            <w:pPr>
              <w:cnfStyle w:val="000000000000" w:firstRow="0" w:lastRow="0" w:firstColumn="0" w:lastColumn="0" w:oddVBand="0" w:evenVBand="0" w:oddHBand="0" w:evenHBand="0" w:firstRowFirstColumn="0" w:firstRowLastColumn="0" w:lastRowFirstColumn="0" w:lastRowLastColumn="0"/>
              <w:rPr>
                <w:sz w:val="18"/>
              </w:rPr>
            </w:pPr>
          </w:p>
          <w:p w:rsidR="00E465C2" w:rsidRPr="00C1264D" w:rsidRDefault="00E465C2" w:rsidP="00CE16E6">
            <w:pPr>
              <w:cnfStyle w:val="000000000000" w:firstRow="0" w:lastRow="0" w:firstColumn="0" w:lastColumn="0" w:oddVBand="0" w:evenVBand="0" w:oddHBand="0" w:evenHBand="0" w:firstRowFirstColumn="0" w:firstRowLastColumn="0" w:lastRowFirstColumn="0" w:lastRowLastColumn="0"/>
              <w:rPr>
                <w:sz w:val="18"/>
              </w:rPr>
            </w:pPr>
            <w:r w:rsidRPr="00C1264D">
              <w:rPr>
                <w:sz w:val="18"/>
              </w:rPr>
              <w:t>increasing from 1 point at 5.01 g</w:t>
            </w:r>
            <w:r>
              <w:rPr>
                <w:sz w:val="18"/>
              </w:rPr>
              <w:t xml:space="preserve"> total sugars </w:t>
            </w:r>
            <w:r w:rsidRPr="00C1264D">
              <w:rPr>
                <w:sz w:val="18"/>
              </w:rPr>
              <w:t>/100 g to 22 points at 99.01 g/100g (4-5 g</w:t>
            </w:r>
            <w:r>
              <w:rPr>
                <w:sz w:val="18"/>
              </w:rPr>
              <w:t xml:space="preserve"> total sugars </w:t>
            </w:r>
            <w:r w:rsidRPr="00C1264D">
              <w:rPr>
                <w:sz w:val="18"/>
              </w:rPr>
              <w:t xml:space="preserve">/100g increments per point) </w:t>
            </w:r>
          </w:p>
        </w:tc>
        <w:tc>
          <w:tcPr>
            <w:tcW w:w="1701" w:type="dxa"/>
          </w:tcPr>
          <w:p w:rsidR="00E465C2" w:rsidRDefault="00E465C2" w:rsidP="00CE16E6">
            <w:pPr>
              <w:cnfStyle w:val="000000000000" w:firstRow="0" w:lastRow="0" w:firstColumn="0" w:lastColumn="0" w:oddVBand="0" w:evenVBand="0" w:oddHBand="0" w:evenHBand="0" w:firstRowFirstColumn="0" w:firstRowLastColumn="0" w:lastRowFirstColumn="0" w:lastRowLastColumn="0"/>
              <w:rPr>
                <w:sz w:val="18"/>
              </w:rPr>
            </w:pPr>
            <w:r>
              <w:rPr>
                <w:sz w:val="18"/>
              </w:rPr>
              <w:t>10</w:t>
            </w:r>
            <w:r w:rsidRPr="00C1264D">
              <w:rPr>
                <w:sz w:val="18"/>
              </w:rPr>
              <w:t xml:space="preserve"> point table</w:t>
            </w:r>
          </w:p>
          <w:p w:rsidR="00E465C2" w:rsidRDefault="00E465C2" w:rsidP="00CE16E6">
            <w:pPr>
              <w:cnfStyle w:val="000000000000" w:firstRow="0" w:lastRow="0" w:firstColumn="0" w:lastColumn="0" w:oddVBand="0" w:evenVBand="0" w:oddHBand="0" w:evenHBand="0" w:firstRowFirstColumn="0" w:firstRowLastColumn="0" w:lastRowFirstColumn="0" w:lastRowLastColumn="0"/>
              <w:rPr>
                <w:sz w:val="18"/>
              </w:rPr>
            </w:pPr>
          </w:p>
          <w:p w:rsidR="00E465C2" w:rsidRPr="00C1264D" w:rsidRDefault="00E465C2" w:rsidP="00CE16E6">
            <w:pPr>
              <w:cnfStyle w:val="000000000000" w:firstRow="0" w:lastRow="0" w:firstColumn="0" w:lastColumn="0" w:oddVBand="0" w:evenVBand="0" w:oddHBand="0" w:evenHBand="0" w:firstRowFirstColumn="0" w:firstRowLastColumn="0" w:lastRowFirstColumn="0" w:lastRowLastColumn="0"/>
              <w:rPr>
                <w:sz w:val="18"/>
              </w:rPr>
            </w:pPr>
            <w:r w:rsidRPr="00C1264D">
              <w:rPr>
                <w:sz w:val="18"/>
              </w:rPr>
              <w:t>increasing from 1 point at 5.01 g</w:t>
            </w:r>
            <w:r>
              <w:rPr>
                <w:sz w:val="18"/>
              </w:rPr>
              <w:t xml:space="preserve"> total sugars </w:t>
            </w:r>
            <w:r w:rsidRPr="00C1264D">
              <w:rPr>
                <w:sz w:val="18"/>
              </w:rPr>
              <w:t xml:space="preserve">/100 g to </w:t>
            </w:r>
            <w:r>
              <w:rPr>
                <w:sz w:val="18"/>
              </w:rPr>
              <w:t>10</w:t>
            </w:r>
            <w:r w:rsidRPr="00C1264D">
              <w:rPr>
                <w:sz w:val="18"/>
              </w:rPr>
              <w:t xml:space="preserve"> points at </w:t>
            </w:r>
            <w:r>
              <w:rPr>
                <w:sz w:val="18"/>
              </w:rPr>
              <w:t>45</w:t>
            </w:r>
            <w:r w:rsidRPr="00C1264D">
              <w:rPr>
                <w:sz w:val="18"/>
              </w:rPr>
              <w:t>.01 g/100g (4-5 g</w:t>
            </w:r>
            <w:r>
              <w:rPr>
                <w:sz w:val="18"/>
              </w:rPr>
              <w:t xml:space="preserve"> total sugars </w:t>
            </w:r>
            <w:r w:rsidRPr="00C1264D">
              <w:rPr>
                <w:sz w:val="18"/>
              </w:rPr>
              <w:t>/100g increments per point)</w:t>
            </w:r>
          </w:p>
        </w:tc>
        <w:tc>
          <w:tcPr>
            <w:tcW w:w="1842" w:type="dxa"/>
          </w:tcPr>
          <w:p w:rsidR="00E465C2" w:rsidRDefault="00E465C2" w:rsidP="00CE16E6">
            <w:pPr>
              <w:cnfStyle w:val="000000000000" w:firstRow="0" w:lastRow="0" w:firstColumn="0" w:lastColumn="0" w:oddVBand="0" w:evenVBand="0" w:oddHBand="0" w:evenHBand="0" w:firstRowFirstColumn="0" w:firstRowLastColumn="0" w:lastRowFirstColumn="0" w:lastRowLastColumn="0"/>
              <w:rPr>
                <w:sz w:val="18"/>
              </w:rPr>
            </w:pPr>
            <w:r w:rsidRPr="00C1264D">
              <w:rPr>
                <w:sz w:val="18"/>
              </w:rPr>
              <w:t xml:space="preserve">25 point table </w:t>
            </w:r>
            <w:r>
              <w:rPr>
                <w:sz w:val="18"/>
              </w:rPr>
              <w:t>for HSR Category 1D, 2 and 2D</w:t>
            </w:r>
          </w:p>
          <w:p w:rsidR="00E465C2" w:rsidRDefault="00E465C2" w:rsidP="00CE16E6">
            <w:pPr>
              <w:cnfStyle w:val="000000000000" w:firstRow="0" w:lastRow="0" w:firstColumn="0" w:lastColumn="0" w:oddVBand="0" w:evenVBand="0" w:oddHBand="0" w:evenHBand="0" w:firstRowFirstColumn="0" w:firstRowLastColumn="0" w:lastRowFirstColumn="0" w:lastRowLastColumn="0"/>
              <w:rPr>
                <w:sz w:val="18"/>
              </w:rPr>
            </w:pPr>
          </w:p>
          <w:p w:rsidR="00E465C2" w:rsidRPr="00C1264D" w:rsidRDefault="00E465C2" w:rsidP="00CE16E6">
            <w:pPr>
              <w:cnfStyle w:val="000000000000" w:firstRow="0" w:lastRow="0" w:firstColumn="0" w:lastColumn="0" w:oddVBand="0" w:evenVBand="0" w:oddHBand="0" w:evenHBand="0" w:firstRowFirstColumn="0" w:firstRowLastColumn="0" w:lastRowFirstColumn="0" w:lastRowLastColumn="0"/>
              <w:rPr>
                <w:sz w:val="18"/>
              </w:rPr>
            </w:pPr>
            <w:r w:rsidRPr="00C1264D">
              <w:rPr>
                <w:sz w:val="18"/>
              </w:rPr>
              <w:t>increasing from 1 point at 5.01 g</w:t>
            </w:r>
            <w:r>
              <w:rPr>
                <w:sz w:val="18"/>
              </w:rPr>
              <w:t xml:space="preserve"> total sugars </w:t>
            </w:r>
            <w:r w:rsidRPr="00C1264D">
              <w:rPr>
                <w:sz w:val="18"/>
              </w:rPr>
              <w:t>/100g to 25 points at 99.01 g/100 g (3.92 g</w:t>
            </w:r>
            <w:r>
              <w:rPr>
                <w:sz w:val="18"/>
              </w:rPr>
              <w:t xml:space="preserve"> total sugars </w:t>
            </w:r>
            <w:r w:rsidRPr="00C1264D">
              <w:rPr>
                <w:sz w:val="18"/>
              </w:rPr>
              <w:t>/100g increments</w:t>
            </w:r>
            <w:r>
              <w:rPr>
                <w:sz w:val="18"/>
              </w:rPr>
              <w:t xml:space="preserve"> per point</w:t>
            </w:r>
            <w:r w:rsidRPr="00C1264D">
              <w:rPr>
                <w:sz w:val="18"/>
              </w:rPr>
              <w:t>)</w:t>
            </w:r>
          </w:p>
        </w:tc>
        <w:tc>
          <w:tcPr>
            <w:tcW w:w="1843" w:type="dxa"/>
          </w:tcPr>
          <w:p w:rsidR="00E465C2" w:rsidRPr="00C1264D" w:rsidRDefault="00E465C2" w:rsidP="00CE16E6">
            <w:pPr>
              <w:cnfStyle w:val="000000000000" w:firstRow="0" w:lastRow="0" w:firstColumn="0" w:lastColumn="0" w:oddVBand="0" w:evenVBand="0" w:oddHBand="0" w:evenHBand="0" w:firstRowFirstColumn="0" w:firstRowLastColumn="0" w:lastRowFirstColumn="0" w:lastRowLastColumn="0"/>
              <w:rPr>
                <w:sz w:val="18"/>
              </w:rPr>
            </w:pPr>
            <w:r>
              <w:rPr>
                <w:sz w:val="18"/>
              </w:rPr>
              <w:t>No change from Original</w:t>
            </w:r>
          </w:p>
        </w:tc>
      </w:tr>
      <w:tr w:rsidR="00E465C2" w:rsidRPr="00C1264D" w:rsidTr="00F63C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dxa"/>
          </w:tcPr>
          <w:p w:rsidR="00E465C2" w:rsidRPr="00C1264D" w:rsidRDefault="00E465C2" w:rsidP="00CE16E6">
            <w:pPr>
              <w:rPr>
                <w:sz w:val="18"/>
              </w:rPr>
            </w:pPr>
            <w:r>
              <w:rPr>
                <w:sz w:val="18"/>
              </w:rPr>
              <w:t>4C</w:t>
            </w:r>
          </w:p>
        </w:tc>
        <w:tc>
          <w:tcPr>
            <w:tcW w:w="1532" w:type="dxa"/>
          </w:tcPr>
          <w:p w:rsidR="00E465C2" w:rsidRDefault="00E465C2" w:rsidP="00CE16E6">
            <w:pPr>
              <w:cnfStyle w:val="000000100000" w:firstRow="0" w:lastRow="0" w:firstColumn="0" w:lastColumn="0" w:oddVBand="0" w:evenVBand="0" w:oddHBand="1" w:evenHBand="0" w:firstRowFirstColumn="0" w:firstRowLastColumn="0" w:lastRowFirstColumn="0" w:lastRowLastColumn="0"/>
              <w:rPr>
                <w:sz w:val="18"/>
              </w:rPr>
            </w:pPr>
            <w:r w:rsidRPr="00C1264D">
              <w:rPr>
                <w:sz w:val="18"/>
              </w:rPr>
              <w:t xml:space="preserve">Sodium </w:t>
            </w:r>
            <w:r>
              <w:rPr>
                <w:sz w:val="18"/>
              </w:rPr>
              <w:t xml:space="preserve">baseline </w:t>
            </w:r>
            <w:r w:rsidRPr="00C1264D">
              <w:rPr>
                <w:sz w:val="18"/>
              </w:rPr>
              <w:t>points table</w:t>
            </w:r>
            <w:r>
              <w:rPr>
                <w:sz w:val="18"/>
              </w:rPr>
              <w:t xml:space="preserve"> adjusted</w:t>
            </w:r>
          </w:p>
          <w:p w:rsidR="00E465C2" w:rsidRDefault="00E465C2" w:rsidP="00CE16E6">
            <w:pPr>
              <w:cnfStyle w:val="000000100000" w:firstRow="0" w:lastRow="0" w:firstColumn="0" w:lastColumn="0" w:oddVBand="0" w:evenVBand="0" w:oddHBand="1" w:evenHBand="0" w:firstRowFirstColumn="0" w:firstRowLastColumn="0" w:lastRowFirstColumn="0" w:lastRowLastColumn="0"/>
              <w:rPr>
                <w:sz w:val="18"/>
              </w:rPr>
            </w:pPr>
          </w:p>
          <w:p w:rsidR="00E465C2" w:rsidRPr="00C1264D" w:rsidRDefault="00E465C2" w:rsidP="00CE16E6">
            <w:pPr>
              <w:cnfStyle w:val="000000100000" w:firstRow="0" w:lastRow="0" w:firstColumn="0" w:lastColumn="0" w:oddVBand="0" w:evenVBand="0" w:oddHBand="1" w:evenHBand="0" w:firstRowFirstColumn="0" w:firstRowLastColumn="0" w:lastRowFirstColumn="0" w:lastRowLastColumn="0"/>
              <w:rPr>
                <w:sz w:val="18"/>
              </w:rPr>
            </w:pPr>
            <w:r w:rsidRPr="00243F1B">
              <w:rPr>
                <w:sz w:val="18"/>
                <w:szCs w:val="18"/>
              </w:rPr>
              <w:t>(</w:t>
            </w:r>
            <w:r>
              <w:rPr>
                <w:sz w:val="18"/>
                <w:szCs w:val="18"/>
              </w:rPr>
              <w:t>refer p 53 of</w:t>
            </w:r>
            <w:r w:rsidRPr="00243F1B">
              <w:rPr>
                <w:sz w:val="18"/>
                <w:szCs w:val="18"/>
              </w:rPr>
              <w:t xml:space="preserve"> Review Report)</w:t>
            </w:r>
          </w:p>
        </w:tc>
        <w:tc>
          <w:tcPr>
            <w:tcW w:w="1843" w:type="dxa"/>
          </w:tcPr>
          <w:p w:rsidR="00E465C2" w:rsidRDefault="00E465C2" w:rsidP="00CE16E6">
            <w:pPr>
              <w:cnfStyle w:val="000000100000" w:firstRow="0" w:lastRow="0" w:firstColumn="0" w:lastColumn="0" w:oddVBand="0" w:evenVBand="0" w:oddHBand="1" w:evenHBand="0" w:firstRowFirstColumn="0" w:firstRowLastColumn="0" w:lastRowFirstColumn="0" w:lastRowLastColumn="0"/>
              <w:rPr>
                <w:sz w:val="18"/>
              </w:rPr>
            </w:pPr>
            <w:r>
              <w:rPr>
                <w:sz w:val="18"/>
              </w:rPr>
              <w:t>30</w:t>
            </w:r>
            <w:r w:rsidRPr="00C1264D">
              <w:rPr>
                <w:sz w:val="18"/>
              </w:rPr>
              <w:t xml:space="preserve"> point table</w:t>
            </w:r>
          </w:p>
          <w:p w:rsidR="00E465C2" w:rsidRDefault="00E465C2" w:rsidP="00CE16E6">
            <w:pPr>
              <w:cnfStyle w:val="000000100000" w:firstRow="0" w:lastRow="0" w:firstColumn="0" w:lastColumn="0" w:oddVBand="0" w:evenVBand="0" w:oddHBand="1" w:evenHBand="0" w:firstRowFirstColumn="0" w:firstRowLastColumn="0" w:lastRowFirstColumn="0" w:lastRowLastColumn="0"/>
              <w:rPr>
                <w:sz w:val="18"/>
              </w:rPr>
            </w:pPr>
          </w:p>
          <w:p w:rsidR="00E465C2" w:rsidRPr="00C1264D" w:rsidRDefault="00E465C2" w:rsidP="00CE16E6">
            <w:pPr>
              <w:cnfStyle w:val="000000100000" w:firstRow="0" w:lastRow="0" w:firstColumn="0" w:lastColumn="0" w:oddVBand="0" w:evenVBand="0" w:oddHBand="1" w:evenHBand="0" w:firstRowFirstColumn="0" w:firstRowLastColumn="0" w:lastRowFirstColumn="0" w:lastRowLastColumn="0"/>
              <w:rPr>
                <w:sz w:val="18"/>
              </w:rPr>
            </w:pPr>
            <w:r w:rsidRPr="00C1264D">
              <w:rPr>
                <w:sz w:val="18"/>
              </w:rPr>
              <w:t xml:space="preserve">increasing from 1 point at </w:t>
            </w:r>
            <w:r>
              <w:rPr>
                <w:sz w:val="18"/>
              </w:rPr>
              <w:t>90.01 mg sodium</w:t>
            </w:r>
            <w:r w:rsidRPr="00C1264D">
              <w:rPr>
                <w:sz w:val="18"/>
              </w:rPr>
              <w:t xml:space="preserve">/100 g to </w:t>
            </w:r>
            <w:r>
              <w:rPr>
                <w:sz w:val="18"/>
              </w:rPr>
              <w:t>30</w:t>
            </w:r>
            <w:r w:rsidRPr="00C1264D">
              <w:rPr>
                <w:sz w:val="18"/>
              </w:rPr>
              <w:t xml:space="preserve"> points at </w:t>
            </w:r>
            <w:r>
              <w:rPr>
                <w:sz w:val="18"/>
              </w:rPr>
              <w:t>8106.01 mg</w:t>
            </w:r>
            <w:r w:rsidRPr="00C1264D">
              <w:rPr>
                <w:sz w:val="18"/>
              </w:rPr>
              <w:t>/100g (</w:t>
            </w:r>
            <w:r>
              <w:rPr>
                <w:sz w:val="18"/>
              </w:rPr>
              <w:t>90 mg sodium</w:t>
            </w:r>
            <w:r w:rsidRPr="00C1264D">
              <w:rPr>
                <w:sz w:val="18"/>
              </w:rPr>
              <w:t xml:space="preserve"> /100g increments per point</w:t>
            </w:r>
            <w:r>
              <w:rPr>
                <w:sz w:val="18"/>
              </w:rPr>
              <w:t xml:space="preserve"> up to 10 points, then exponentially increasing  increments to 30 points</w:t>
            </w:r>
            <w:r w:rsidRPr="00C1264D">
              <w:rPr>
                <w:sz w:val="18"/>
              </w:rPr>
              <w:t>)</w:t>
            </w:r>
          </w:p>
        </w:tc>
        <w:tc>
          <w:tcPr>
            <w:tcW w:w="1701" w:type="dxa"/>
          </w:tcPr>
          <w:p w:rsidR="00E465C2" w:rsidRDefault="00E465C2" w:rsidP="00CE16E6">
            <w:pPr>
              <w:cnfStyle w:val="000000100000" w:firstRow="0" w:lastRow="0" w:firstColumn="0" w:lastColumn="0" w:oddVBand="0" w:evenVBand="0" w:oddHBand="1" w:evenHBand="0" w:firstRowFirstColumn="0" w:firstRowLastColumn="0" w:lastRowFirstColumn="0" w:lastRowLastColumn="0"/>
              <w:rPr>
                <w:sz w:val="18"/>
              </w:rPr>
            </w:pPr>
            <w:r>
              <w:rPr>
                <w:sz w:val="18"/>
              </w:rPr>
              <w:t>30</w:t>
            </w:r>
            <w:r w:rsidRPr="00C1264D">
              <w:rPr>
                <w:sz w:val="18"/>
              </w:rPr>
              <w:t xml:space="preserve"> point table</w:t>
            </w:r>
          </w:p>
          <w:p w:rsidR="00E465C2" w:rsidRDefault="00E465C2" w:rsidP="00CE16E6">
            <w:pPr>
              <w:cnfStyle w:val="000000100000" w:firstRow="0" w:lastRow="0" w:firstColumn="0" w:lastColumn="0" w:oddVBand="0" w:evenVBand="0" w:oddHBand="1" w:evenHBand="0" w:firstRowFirstColumn="0" w:firstRowLastColumn="0" w:lastRowFirstColumn="0" w:lastRowLastColumn="0"/>
              <w:rPr>
                <w:sz w:val="18"/>
              </w:rPr>
            </w:pPr>
          </w:p>
          <w:p w:rsidR="00E465C2" w:rsidRPr="00C1264D" w:rsidRDefault="00E465C2" w:rsidP="00CE16E6">
            <w:pPr>
              <w:cnfStyle w:val="000000100000" w:firstRow="0" w:lastRow="0" w:firstColumn="0" w:lastColumn="0" w:oddVBand="0" w:evenVBand="0" w:oddHBand="1" w:evenHBand="0" w:firstRowFirstColumn="0" w:firstRowLastColumn="0" w:lastRowFirstColumn="0" w:lastRowLastColumn="0"/>
              <w:rPr>
                <w:sz w:val="18"/>
              </w:rPr>
            </w:pPr>
            <w:r w:rsidRPr="00C1264D">
              <w:rPr>
                <w:sz w:val="18"/>
              </w:rPr>
              <w:t xml:space="preserve">increasing from 1 point at </w:t>
            </w:r>
            <w:r>
              <w:rPr>
                <w:sz w:val="18"/>
              </w:rPr>
              <w:t>90.01 mg sodium</w:t>
            </w:r>
            <w:r w:rsidRPr="00C1264D">
              <w:rPr>
                <w:sz w:val="18"/>
              </w:rPr>
              <w:t xml:space="preserve"> /100 g to </w:t>
            </w:r>
            <w:r>
              <w:rPr>
                <w:sz w:val="18"/>
              </w:rPr>
              <w:t>30</w:t>
            </w:r>
            <w:r w:rsidRPr="00C1264D">
              <w:rPr>
                <w:sz w:val="18"/>
              </w:rPr>
              <w:t xml:space="preserve"> points at </w:t>
            </w:r>
            <w:r>
              <w:rPr>
                <w:sz w:val="18"/>
              </w:rPr>
              <w:t>2700.01 mg</w:t>
            </w:r>
            <w:r w:rsidRPr="00C1264D">
              <w:rPr>
                <w:sz w:val="18"/>
              </w:rPr>
              <w:t>/100g (</w:t>
            </w:r>
            <w:r>
              <w:rPr>
                <w:sz w:val="18"/>
              </w:rPr>
              <w:t>90 mg sodium</w:t>
            </w:r>
            <w:r w:rsidRPr="00C1264D">
              <w:rPr>
                <w:sz w:val="18"/>
              </w:rPr>
              <w:t xml:space="preserve"> /100g increments per point)</w:t>
            </w:r>
          </w:p>
        </w:tc>
        <w:tc>
          <w:tcPr>
            <w:tcW w:w="1842" w:type="dxa"/>
          </w:tcPr>
          <w:p w:rsidR="00E465C2" w:rsidRDefault="00E465C2" w:rsidP="00CE16E6">
            <w:pPr>
              <w:cnfStyle w:val="000000100000" w:firstRow="0" w:lastRow="0" w:firstColumn="0" w:lastColumn="0" w:oddVBand="0" w:evenVBand="0" w:oddHBand="1" w:evenHBand="0" w:firstRowFirstColumn="0" w:firstRowLastColumn="0" w:lastRowFirstColumn="0" w:lastRowLastColumn="0"/>
              <w:rPr>
                <w:sz w:val="18"/>
              </w:rPr>
            </w:pPr>
            <w:r>
              <w:rPr>
                <w:sz w:val="18"/>
              </w:rPr>
              <w:t>30 point table for AHS Category 1D, 2 and 2D</w:t>
            </w:r>
          </w:p>
          <w:p w:rsidR="00E465C2" w:rsidRDefault="00E465C2" w:rsidP="00CE16E6">
            <w:pPr>
              <w:cnfStyle w:val="000000100000" w:firstRow="0" w:lastRow="0" w:firstColumn="0" w:lastColumn="0" w:oddVBand="0" w:evenVBand="0" w:oddHBand="1" w:evenHBand="0" w:firstRowFirstColumn="0" w:firstRowLastColumn="0" w:lastRowFirstColumn="0" w:lastRowLastColumn="0"/>
              <w:rPr>
                <w:sz w:val="18"/>
              </w:rPr>
            </w:pPr>
          </w:p>
          <w:p w:rsidR="00E465C2" w:rsidRPr="00C1264D" w:rsidRDefault="00E465C2" w:rsidP="00CE16E6">
            <w:pPr>
              <w:cnfStyle w:val="000000100000" w:firstRow="0" w:lastRow="0" w:firstColumn="0" w:lastColumn="0" w:oddVBand="0" w:evenVBand="0" w:oddHBand="1" w:evenHBand="0" w:firstRowFirstColumn="0" w:firstRowLastColumn="0" w:lastRowFirstColumn="0" w:lastRowLastColumn="0"/>
              <w:rPr>
                <w:sz w:val="18"/>
              </w:rPr>
            </w:pPr>
            <w:r>
              <w:rPr>
                <w:sz w:val="18"/>
              </w:rPr>
              <w:t>Points as for Category 3 and 3D (90 mg sodium/100g increments per point)</w:t>
            </w:r>
          </w:p>
        </w:tc>
        <w:tc>
          <w:tcPr>
            <w:tcW w:w="1843" w:type="dxa"/>
          </w:tcPr>
          <w:p w:rsidR="00E465C2" w:rsidRPr="00C1264D" w:rsidRDefault="00E465C2" w:rsidP="00CE16E6">
            <w:pPr>
              <w:cnfStyle w:val="000000100000" w:firstRow="0" w:lastRow="0" w:firstColumn="0" w:lastColumn="0" w:oddVBand="0" w:evenVBand="0" w:oddHBand="1" w:evenHBand="0" w:firstRowFirstColumn="0" w:firstRowLastColumn="0" w:lastRowFirstColumn="0" w:lastRowLastColumn="0"/>
              <w:rPr>
                <w:sz w:val="18"/>
              </w:rPr>
            </w:pPr>
            <w:r>
              <w:rPr>
                <w:sz w:val="18"/>
              </w:rPr>
              <w:t>No change from Original</w:t>
            </w:r>
          </w:p>
        </w:tc>
      </w:tr>
      <w:tr w:rsidR="00E465C2" w:rsidRPr="00C1264D" w:rsidTr="00F63C82">
        <w:tc>
          <w:tcPr>
            <w:cnfStyle w:val="001000000000" w:firstRow="0" w:lastRow="0" w:firstColumn="1" w:lastColumn="0" w:oddVBand="0" w:evenVBand="0" w:oddHBand="0" w:evenHBand="0" w:firstRowFirstColumn="0" w:firstRowLastColumn="0" w:lastRowFirstColumn="0" w:lastRowLastColumn="0"/>
            <w:tcW w:w="448" w:type="dxa"/>
          </w:tcPr>
          <w:p w:rsidR="00E465C2" w:rsidRDefault="00E465C2" w:rsidP="00CE16E6">
            <w:pPr>
              <w:rPr>
                <w:sz w:val="18"/>
              </w:rPr>
            </w:pPr>
            <w:r>
              <w:rPr>
                <w:sz w:val="18"/>
              </w:rPr>
              <w:t>4D</w:t>
            </w:r>
          </w:p>
        </w:tc>
        <w:tc>
          <w:tcPr>
            <w:tcW w:w="1532" w:type="dxa"/>
          </w:tcPr>
          <w:p w:rsidR="00E465C2" w:rsidRDefault="00E465C2" w:rsidP="00CE16E6">
            <w:pPr>
              <w:cnfStyle w:val="000000000000" w:firstRow="0" w:lastRow="0" w:firstColumn="0" w:lastColumn="0" w:oddVBand="0" w:evenVBand="0" w:oddHBand="0" w:evenHBand="0" w:firstRowFirstColumn="0" w:firstRowLastColumn="0" w:lastRowFirstColumn="0" w:lastRowLastColumn="0"/>
              <w:rPr>
                <w:sz w:val="18"/>
              </w:rPr>
            </w:pPr>
            <w:r>
              <w:rPr>
                <w:sz w:val="18"/>
              </w:rPr>
              <w:t>Redefine and rescale dairy categories</w:t>
            </w:r>
          </w:p>
          <w:p w:rsidR="00E465C2" w:rsidRDefault="00E465C2" w:rsidP="00CE16E6">
            <w:pPr>
              <w:cnfStyle w:val="000000000000" w:firstRow="0" w:lastRow="0" w:firstColumn="0" w:lastColumn="0" w:oddVBand="0" w:evenVBand="0" w:oddHBand="0" w:evenHBand="0" w:firstRowFirstColumn="0" w:firstRowLastColumn="0" w:lastRowFirstColumn="0" w:lastRowLastColumn="0"/>
              <w:rPr>
                <w:sz w:val="18"/>
              </w:rPr>
            </w:pPr>
          </w:p>
          <w:p w:rsidR="00E465C2" w:rsidRPr="00DC4F4F" w:rsidRDefault="00E465C2" w:rsidP="00CE16E6">
            <w:pPr>
              <w:cnfStyle w:val="000000000000" w:firstRow="0" w:lastRow="0" w:firstColumn="0" w:lastColumn="0" w:oddVBand="0" w:evenVBand="0" w:oddHBand="0" w:evenHBand="0" w:firstRowFirstColumn="0" w:firstRowLastColumn="0" w:lastRowFirstColumn="0" w:lastRowLastColumn="0"/>
              <w:rPr>
                <w:sz w:val="18"/>
                <w:szCs w:val="18"/>
              </w:rPr>
            </w:pPr>
            <w:r w:rsidRPr="00DC4F4F">
              <w:rPr>
                <w:sz w:val="18"/>
                <w:szCs w:val="18"/>
              </w:rPr>
              <w:t>(</w:t>
            </w:r>
            <w:r>
              <w:rPr>
                <w:sz w:val="18"/>
                <w:szCs w:val="18"/>
              </w:rPr>
              <w:t xml:space="preserve">refer </w:t>
            </w:r>
            <w:r w:rsidRPr="00DC4F4F">
              <w:rPr>
                <w:sz w:val="18"/>
                <w:szCs w:val="18"/>
              </w:rPr>
              <w:t>p 5</w:t>
            </w:r>
            <w:r>
              <w:rPr>
                <w:sz w:val="18"/>
                <w:szCs w:val="18"/>
              </w:rPr>
              <w:t>6</w:t>
            </w:r>
            <w:r w:rsidRPr="00DC4F4F">
              <w:rPr>
                <w:sz w:val="18"/>
                <w:szCs w:val="18"/>
              </w:rPr>
              <w:t xml:space="preserve"> </w:t>
            </w:r>
            <w:r>
              <w:rPr>
                <w:sz w:val="18"/>
                <w:szCs w:val="18"/>
              </w:rPr>
              <w:t xml:space="preserve">of </w:t>
            </w:r>
            <w:r w:rsidRPr="00DC4F4F">
              <w:rPr>
                <w:sz w:val="18"/>
                <w:szCs w:val="18"/>
              </w:rPr>
              <w:t>Review Report)</w:t>
            </w:r>
          </w:p>
          <w:p w:rsidR="00E465C2" w:rsidRPr="00C1264D" w:rsidRDefault="00E465C2" w:rsidP="00CE16E6">
            <w:pPr>
              <w:cnfStyle w:val="000000000000" w:firstRow="0" w:lastRow="0" w:firstColumn="0" w:lastColumn="0" w:oddVBand="0" w:evenVBand="0" w:oddHBand="0" w:evenHBand="0" w:firstRowFirstColumn="0" w:firstRowLastColumn="0" w:lastRowFirstColumn="0" w:lastRowLastColumn="0"/>
              <w:rPr>
                <w:sz w:val="18"/>
              </w:rPr>
            </w:pPr>
          </w:p>
        </w:tc>
        <w:tc>
          <w:tcPr>
            <w:tcW w:w="1843" w:type="dxa"/>
          </w:tcPr>
          <w:p w:rsidR="00E465C2" w:rsidRDefault="00E465C2" w:rsidP="00CE16E6">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HSR Category 2D </w:t>
            </w:r>
          </w:p>
          <w:p w:rsidR="00E465C2" w:rsidRDefault="00E465C2" w:rsidP="00CE16E6">
            <w:pPr>
              <w:cnfStyle w:val="000000000000" w:firstRow="0" w:lastRow="0" w:firstColumn="0" w:lastColumn="0" w:oddVBand="0" w:evenVBand="0" w:oddHBand="0" w:evenHBand="0" w:firstRowFirstColumn="0" w:firstRowLastColumn="0" w:lastRowFirstColumn="0" w:lastRowLastColumn="0"/>
              <w:rPr>
                <w:sz w:val="18"/>
              </w:rPr>
            </w:pPr>
          </w:p>
          <w:p w:rsidR="00E465C2" w:rsidRDefault="00E465C2" w:rsidP="00CE16E6">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includes yoghurts, soft cheeses (calcium &lt;320 mg/100 g), dairy foods with </w:t>
            </w:r>
            <w:r>
              <w:rPr>
                <w:rFonts w:cs="Arial"/>
                <w:sz w:val="18"/>
              </w:rPr>
              <w:t>≤</w:t>
            </w:r>
            <w:r>
              <w:rPr>
                <w:sz w:val="18"/>
              </w:rPr>
              <w:t>25% non-dairy ingredients</w:t>
            </w:r>
          </w:p>
          <w:p w:rsidR="00E465C2" w:rsidRPr="00C1264D" w:rsidRDefault="00E465C2" w:rsidP="00CE16E6">
            <w:pPr>
              <w:cnfStyle w:val="000000000000" w:firstRow="0" w:lastRow="0" w:firstColumn="0" w:lastColumn="0" w:oddVBand="0" w:evenVBand="0" w:oddHBand="0" w:evenHBand="0" w:firstRowFirstColumn="0" w:firstRowLastColumn="0" w:lastRowFirstColumn="0" w:lastRowLastColumn="0"/>
              <w:rPr>
                <w:sz w:val="18"/>
              </w:rPr>
            </w:pPr>
          </w:p>
        </w:tc>
        <w:tc>
          <w:tcPr>
            <w:tcW w:w="1701" w:type="dxa"/>
          </w:tcPr>
          <w:p w:rsidR="00E465C2" w:rsidRDefault="00E465C2" w:rsidP="00CE16E6">
            <w:pPr>
              <w:cnfStyle w:val="000000000000" w:firstRow="0" w:lastRow="0" w:firstColumn="0" w:lastColumn="0" w:oddVBand="0" w:evenVBand="0" w:oddHBand="0" w:evenHBand="0" w:firstRowFirstColumn="0" w:firstRowLastColumn="0" w:lastRowFirstColumn="0" w:lastRowLastColumn="0"/>
              <w:rPr>
                <w:sz w:val="18"/>
              </w:rPr>
            </w:pPr>
            <w:r>
              <w:rPr>
                <w:sz w:val="18"/>
              </w:rPr>
              <w:t>HSR Category 3D</w:t>
            </w:r>
          </w:p>
          <w:p w:rsidR="00E465C2" w:rsidRDefault="00E465C2" w:rsidP="00CE16E6">
            <w:pPr>
              <w:cnfStyle w:val="000000000000" w:firstRow="0" w:lastRow="0" w:firstColumn="0" w:lastColumn="0" w:oddVBand="0" w:evenVBand="0" w:oddHBand="0" w:evenHBand="0" w:firstRowFirstColumn="0" w:firstRowLastColumn="0" w:lastRowFirstColumn="0" w:lastRowLastColumn="0"/>
              <w:rPr>
                <w:sz w:val="18"/>
              </w:rPr>
            </w:pPr>
          </w:p>
          <w:p w:rsidR="00E465C2" w:rsidRPr="00C1264D" w:rsidRDefault="00E465C2" w:rsidP="00CE16E6">
            <w:pPr>
              <w:cnfStyle w:val="000000000000" w:firstRow="0" w:lastRow="0" w:firstColumn="0" w:lastColumn="0" w:oddVBand="0" w:evenVBand="0" w:oddHBand="0" w:evenHBand="0" w:firstRowFirstColumn="0" w:firstRowLastColumn="0" w:lastRowFirstColumn="0" w:lastRowLastColumn="0"/>
              <w:rPr>
                <w:sz w:val="18"/>
              </w:rPr>
            </w:pPr>
            <w:r>
              <w:rPr>
                <w:sz w:val="18"/>
              </w:rPr>
              <w:t>Includes cheese and processed cheese (calcium &gt;320 mg/100g)</w:t>
            </w:r>
          </w:p>
        </w:tc>
        <w:tc>
          <w:tcPr>
            <w:tcW w:w="1842" w:type="dxa"/>
          </w:tcPr>
          <w:p w:rsidR="00E465C2" w:rsidRDefault="00E465C2" w:rsidP="00CE16E6">
            <w:pPr>
              <w:cnfStyle w:val="000000000000" w:firstRow="0" w:lastRow="0" w:firstColumn="0" w:lastColumn="0" w:oddVBand="0" w:evenVBand="0" w:oddHBand="0" w:evenHBand="0" w:firstRowFirstColumn="0" w:firstRowLastColumn="0" w:lastRowFirstColumn="0" w:lastRowLastColumn="0"/>
              <w:rPr>
                <w:sz w:val="18"/>
              </w:rPr>
            </w:pPr>
            <w:r>
              <w:rPr>
                <w:sz w:val="18"/>
              </w:rPr>
              <w:t>HSR Category 2D</w:t>
            </w:r>
          </w:p>
          <w:p w:rsidR="00E465C2" w:rsidRDefault="00E465C2" w:rsidP="00CE16E6">
            <w:pPr>
              <w:cnfStyle w:val="000000000000" w:firstRow="0" w:lastRow="0" w:firstColumn="0" w:lastColumn="0" w:oddVBand="0" w:evenVBand="0" w:oddHBand="0" w:evenHBand="0" w:firstRowFirstColumn="0" w:firstRowLastColumn="0" w:lastRowFirstColumn="0" w:lastRowLastColumn="0"/>
              <w:rPr>
                <w:sz w:val="18"/>
              </w:rPr>
            </w:pPr>
          </w:p>
          <w:p w:rsidR="00E465C2" w:rsidRDefault="00E465C2" w:rsidP="00CE16E6">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includes yoghurts, soft cheeses (calcium &lt;320 mg/100 g), </w:t>
            </w:r>
            <w:proofErr w:type="spellStart"/>
            <w:r w:rsidRPr="0013065B">
              <w:rPr>
                <w:b/>
                <w:sz w:val="18"/>
              </w:rPr>
              <w:t>spoonable</w:t>
            </w:r>
            <w:proofErr w:type="spellEnd"/>
            <w:r>
              <w:rPr>
                <w:sz w:val="18"/>
              </w:rPr>
              <w:t xml:space="preserve"> dairy foods with </w:t>
            </w:r>
            <w:r>
              <w:rPr>
                <w:rFonts w:cs="Arial"/>
                <w:sz w:val="18"/>
              </w:rPr>
              <w:t>≤</w:t>
            </w:r>
            <w:r>
              <w:rPr>
                <w:sz w:val="18"/>
              </w:rPr>
              <w:t xml:space="preserve">25% non-dairy ingredients, e.g. cream, cream cheeses, custards, dairy desserts, mascarpone, evaporated milk, ricotta </w:t>
            </w:r>
            <w:proofErr w:type="spellStart"/>
            <w:r>
              <w:rPr>
                <w:sz w:val="18"/>
              </w:rPr>
              <w:t>etc</w:t>
            </w:r>
            <w:proofErr w:type="spellEnd"/>
            <w:r>
              <w:rPr>
                <w:sz w:val="18"/>
              </w:rPr>
              <w:t xml:space="preserve">, </w:t>
            </w:r>
          </w:p>
          <w:p w:rsidR="00E465C2" w:rsidRDefault="00E465C2" w:rsidP="00CE16E6">
            <w:pPr>
              <w:cnfStyle w:val="000000000000" w:firstRow="0" w:lastRow="0" w:firstColumn="0" w:lastColumn="0" w:oddVBand="0" w:evenVBand="0" w:oddHBand="0" w:evenHBand="0" w:firstRowFirstColumn="0" w:firstRowLastColumn="0" w:lastRowFirstColumn="0" w:lastRowLastColumn="0"/>
              <w:rPr>
                <w:sz w:val="18"/>
              </w:rPr>
            </w:pPr>
          </w:p>
          <w:p w:rsidR="00E465C2" w:rsidRPr="00C1264D" w:rsidRDefault="00E465C2" w:rsidP="00CE16E6">
            <w:pPr>
              <w:cnfStyle w:val="000000000000" w:firstRow="0" w:lastRow="0" w:firstColumn="0" w:lastColumn="0" w:oddVBand="0" w:evenVBand="0" w:oddHBand="0" w:evenHBand="0" w:firstRowFirstColumn="0" w:firstRowLastColumn="0" w:lastRowFirstColumn="0" w:lastRowLastColumn="0"/>
              <w:rPr>
                <w:sz w:val="18"/>
              </w:rPr>
            </w:pPr>
            <w:r>
              <w:rPr>
                <w:sz w:val="18"/>
              </w:rPr>
              <w:t>Rescale conversion of HSR final score to star rating*</w:t>
            </w:r>
          </w:p>
        </w:tc>
        <w:tc>
          <w:tcPr>
            <w:tcW w:w="1843" w:type="dxa"/>
          </w:tcPr>
          <w:p w:rsidR="00E465C2" w:rsidRDefault="00E465C2" w:rsidP="00CE16E6">
            <w:pPr>
              <w:cnfStyle w:val="000000000000" w:firstRow="0" w:lastRow="0" w:firstColumn="0" w:lastColumn="0" w:oddVBand="0" w:evenVBand="0" w:oddHBand="0" w:evenHBand="0" w:firstRowFirstColumn="0" w:firstRowLastColumn="0" w:lastRowFirstColumn="0" w:lastRowLastColumn="0"/>
              <w:rPr>
                <w:sz w:val="18"/>
              </w:rPr>
            </w:pPr>
            <w:r>
              <w:rPr>
                <w:sz w:val="18"/>
              </w:rPr>
              <w:t>HSR Category 3D</w:t>
            </w:r>
          </w:p>
          <w:p w:rsidR="00E465C2" w:rsidRDefault="00E465C2" w:rsidP="00CE16E6">
            <w:pPr>
              <w:cnfStyle w:val="000000000000" w:firstRow="0" w:lastRow="0" w:firstColumn="0" w:lastColumn="0" w:oddVBand="0" w:evenVBand="0" w:oddHBand="0" w:evenHBand="0" w:firstRowFirstColumn="0" w:firstRowLastColumn="0" w:lastRowFirstColumn="0" w:lastRowLastColumn="0"/>
              <w:rPr>
                <w:sz w:val="18"/>
              </w:rPr>
            </w:pPr>
          </w:p>
          <w:p w:rsidR="00E465C2" w:rsidRDefault="00E465C2" w:rsidP="00CE16E6">
            <w:pPr>
              <w:cnfStyle w:val="000000000000" w:firstRow="0" w:lastRow="0" w:firstColumn="0" w:lastColumn="0" w:oddVBand="0" w:evenVBand="0" w:oddHBand="0" w:evenHBand="0" w:firstRowFirstColumn="0" w:firstRowLastColumn="0" w:lastRowFirstColumn="0" w:lastRowLastColumn="0"/>
              <w:rPr>
                <w:sz w:val="18"/>
              </w:rPr>
            </w:pPr>
            <w:proofErr w:type="gramStart"/>
            <w:r>
              <w:rPr>
                <w:sz w:val="18"/>
              </w:rPr>
              <w:t>includes</w:t>
            </w:r>
            <w:proofErr w:type="gramEnd"/>
            <w:r>
              <w:rPr>
                <w:sz w:val="18"/>
              </w:rPr>
              <w:t xml:space="preserve"> cheese and processed cheese, </w:t>
            </w:r>
            <w:r w:rsidRPr="00E0189B">
              <w:rPr>
                <w:b/>
                <w:sz w:val="18"/>
              </w:rPr>
              <w:t>including surface ripened cheeses</w:t>
            </w:r>
            <w:r>
              <w:rPr>
                <w:sz w:val="18"/>
              </w:rPr>
              <w:t xml:space="preserve"> (calcium &gt;320 mg/100g).</w:t>
            </w:r>
          </w:p>
          <w:p w:rsidR="00E465C2" w:rsidRDefault="00E465C2" w:rsidP="00CE16E6">
            <w:pPr>
              <w:cnfStyle w:val="000000000000" w:firstRow="0" w:lastRow="0" w:firstColumn="0" w:lastColumn="0" w:oddVBand="0" w:evenVBand="0" w:oddHBand="0" w:evenHBand="0" w:firstRowFirstColumn="0" w:firstRowLastColumn="0" w:lastRowFirstColumn="0" w:lastRowLastColumn="0"/>
              <w:rPr>
                <w:sz w:val="18"/>
              </w:rPr>
            </w:pPr>
          </w:p>
          <w:p w:rsidR="00E465C2" w:rsidRPr="00C1264D" w:rsidRDefault="00E465C2" w:rsidP="00CE16E6">
            <w:pPr>
              <w:cnfStyle w:val="000000000000" w:firstRow="0" w:lastRow="0" w:firstColumn="0" w:lastColumn="0" w:oddVBand="0" w:evenVBand="0" w:oddHBand="0" w:evenHBand="0" w:firstRowFirstColumn="0" w:firstRowLastColumn="0" w:lastRowFirstColumn="0" w:lastRowLastColumn="0"/>
              <w:rPr>
                <w:sz w:val="18"/>
              </w:rPr>
            </w:pPr>
            <w:r>
              <w:rPr>
                <w:sz w:val="18"/>
              </w:rPr>
              <w:t>Rescale conversion of HSR final score to star rating*</w:t>
            </w:r>
          </w:p>
        </w:tc>
      </w:tr>
      <w:tr w:rsidR="00E465C2" w:rsidRPr="00C1264D" w:rsidTr="00F63C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dxa"/>
          </w:tcPr>
          <w:p w:rsidR="00E465C2" w:rsidRPr="00C1264D" w:rsidRDefault="00E465C2" w:rsidP="00CE16E6">
            <w:pPr>
              <w:rPr>
                <w:sz w:val="18"/>
              </w:rPr>
            </w:pPr>
            <w:r>
              <w:rPr>
                <w:sz w:val="18"/>
              </w:rPr>
              <w:t>4E</w:t>
            </w:r>
          </w:p>
        </w:tc>
        <w:tc>
          <w:tcPr>
            <w:tcW w:w="1532" w:type="dxa"/>
          </w:tcPr>
          <w:p w:rsidR="00E465C2" w:rsidRDefault="00E465C2" w:rsidP="00CE16E6">
            <w:pPr>
              <w:cnfStyle w:val="000000100000" w:firstRow="0" w:lastRow="0" w:firstColumn="0" w:lastColumn="0" w:oddVBand="0" w:evenVBand="0" w:oddHBand="1" w:evenHBand="0" w:firstRowFirstColumn="0" w:firstRowLastColumn="0" w:lastRowFirstColumn="0" w:lastRowLastColumn="0"/>
              <w:rPr>
                <w:sz w:val="18"/>
              </w:rPr>
            </w:pPr>
            <w:r w:rsidRPr="00C1264D">
              <w:rPr>
                <w:sz w:val="18"/>
              </w:rPr>
              <w:t>Reclassification of ice confection and jelly</w:t>
            </w:r>
          </w:p>
          <w:p w:rsidR="00E465C2" w:rsidRDefault="00E465C2" w:rsidP="00CE16E6">
            <w:pPr>
              <w:cnfStyle w:val="000000100000" w:firstRow="0" w:lastRow="0" w:firstColumn="0" w:lastColumn="0" w:oddVBand="0" w:evenVBand="0" w:oddHBand="1" w:evenHBand="0" w:firstRowFirstColumn="0" w:firstRowLastColumn="0" w:lastRowFirstColumn="0" w:lastRowLastColumn="0"/>
              <w:rPr>
                <w:sz w:val="18"/>
              </w:rPr>
            </w:pPr>
          </w:p>
          <w:p w:rsidR="00E465C2" w:rsidRPr="0046797D" w:rsidRDefault="00E465C2" w:rsidP="00CE16E6">
            <w:pPr>
              <w:cnfStyle w:val="000000100000" w:firstRow="0" w:lastRow="0" w:firstColumn="0" w:lastColumn="0" w:oddVBand="0" w:evenVBand="0" w:oddHBand="1" w:evenHBand="0" w:firstRowFirstColumn="0" w:firstRowLastColumn="0" w:lastRowFirstColumn="0" w:lastRowLastColumn="0"/>
              <w:rPr>
                <w:sz w:val="18"/>
                <w:szCs w:val="18"/>
              </w:rPr>
            </w:pPr>
            <w:r w:rsidRPr="0046797D">
              <w:rPr>
                <w:sz w:val="18"/>
                <w:szCs w:val="18"/>
              </w:rPr>
              <w:t>(</w:t>
            </w:r>
            <w:r>
              <w:rPr>
                <w:sz w:val="18"/>
                <w:szCs w:val="18"/>
              </w:rPr>
              <w:t>refer</w:t>
            </w:r>
            <w:r w:rsidRPr="0046797D">
              <w:rPr>
                <w:sz w:val="18"/>
                <w:szCs w:val="18"/>
              </w:rPr>
              <w:t xml:space="preserve"> p</w:t>
            </w:r>
            <w:r>
              <w:rPr>
                <w:sz w:val="18"/>
                <w:szCs w:val="18"/>
              </w:rPr>
              <w:t> 57</w:t>
            </w:r>
            <w:r w:rsidRPr="0046797D">
              <w:rPr>
                <w:sz w:val="18"/>
                <w:szCs w:val="18"/>
              </w:rPr>
              <w:t xml:space="preserve"> Review Report)</w:t>
            </w:r>
          </w:p>
          <w:p w:rsidR="00E465C2" w:rsidRPr="00C1264D" w:rsidRDefault="00E465C2" w:rsidP="00CE16E6">
            <w:pPr>
              <w:cnfStyle w:val="000000100000" w:firstRow="0" w:lastRow="0" w:firstColumn="0" w:lastColumn="0" w:oddVBand="0" w:evenVBand="0" w:oddHBand="1" w:evenHBand="0" w:firstRowFirstColumn="0" w:firstRowLastColumn="0" w:lastRowFirstColumn="0" w:lastRowLastColumn="0"/>
              <w:rPr>
                <w:sz w:val="18"/>
              </w:rPr>
            </w:pPr>
          </w:p>
        </w:tc>
        <w:tc>
          <w:tcPr>
            <w:tcW w:w="1843" w:type="dxa"/>
          </w:tcPr>
          <w:p w:rsidR="00E465C2" w:rsidRPr="00C1264D" w:rsidRDefault="00E465C2" w:rsidP="00CE16E6">
            <w:pPr>
              <w:cnfStyle w:val="000000100000" w:firstRow="0" w:lastRow="0" w:firstColumn="0" w:lastColumn="0" w:oddVBand="0" w:evenVBand="0" w:oddHBand="1" w:evenHBand="0" w:firstRowFirstColumn="0" w:firstRowLastColumn="0" w:lastRowFirstColumn="0" w:lastRowLastColumn="0"/>
              <w:rPr>
                <w:sz w:val="18"/>
              </w:rPr>
            </w:pPr>
            <w:r w:rsidRPr="00C1264D">
              <w:rPr>
                <w:sz w:val="18"/>
              </w:rPr>
              <w:t xml:space="preserve">Classified under </w:t>
            </w:r>
            <w:r>
              <w:rPr>
                <w:sz w:val="18"/>
              </w:rPr>
              <w:t xml:space="preserve">HSR </w:t>
            </w:r>
            <w:r w:rsidRPr="00C1264D">
              <w:rPr>
                <w:sz w:val="18"/>
              </w:rPr>
              <w:t>Category 2 – other foods</w:t>
            </w:r>
          </w:p>
        </w:tc>
        <w:tc>
          <w:tcPr>
            <w:tcW w:w="1701" w:type="dxa"/>
          </w:tcPr>
          <w:p w:rsidR="00E465C2" w:rsidRPr="00C1264D" w:rsidRDefault="00E465C2" w:rsidP="00CE16E6">
            <w:pPr>
              <w:cnfStyle w:val="000000100000" w:firstRow="0" w:lastRow="0" w:firstColumn="0" w:lastColumn="0" w:oddVBand="0" w:evenVBand="0" w:oddHBand="1" w:evenHBand="0" w:firstRowFirstColumn="0" w:firstRowLastColumn="0" w:lastRowFirstColumn="0" w:lastRowLastColumn="0"/>
              <w:rPr>
                <w:sz w:val="18"/>
              </w:rPr>
            </w:pPr>
            <w:r>
              <w:rPr>
                <w:sz w:val="18"/>
              </w:rPr>
              <w:t>N/A</w:t>
            </w:r>
          </w:p>
        </w:tc>
        <w:tc>
          <w:tcPr>
            <w:tcW w:w="1842" w:type="dxa"/>
          </w:tcPr>
          <w:p w:rsidR="00E465C2" w:rsidRPr="00C1264D" w:rsidRDefault="00E465C2" w:rsidP="00CE16E6">
            <w:pPr>
              <w:cnfStyle w:val="000000100000" w:firstRow="0" w:lastRow="0" w:firstColumn="0" w:lastColumn="0" w:oddVBand="0" w:evenVBand="0" w:oddHBand="1" w:evenHBand="0" w:firstRowFirstColumn="0" w:firstRowLastColumn="0" w:lastRowFirstColumn="0" w:lastRowLastColumn="0"/>
              <w:rPr>
                <w:sz w:val="18"/>
              </w:rPr>
            </w:pPr>
            <w:r w:rsidRPr="00C1264D">
              <w:rPr>
                <w:sz w:val="18"/>
              </w:rPr>
              <w:t xml:space="preserve">Classified under </w:t>
            </w:r>
            <w:r>
              <w:rPr>
                <w:sz w:val="18"/>
              </w:rPr>
              <w:t xml:space="preserve">HSR </w:t>
            </w:r>
            <w:r w:rsidRPr="00C1264D">
              <w:rPr>
                <w:sz w:val="18"/>
              </w:rPr>
              <w:t>Category 1 –</w:t>
            </w:r>
            <w:r>
              <w:rPr>
                <w:sz w:val="18"/>
              </w:rPr>
              <w:t xml:space="preserve"> N</w:t>
            </w:r>
            <w:r w:rsidRPr="00C1264D">
              <w:rPr>
                <w:sz w:val="18"/>
              </w:rPr>
              <w:t>on</w:t>
            </w:r>
            <w:r>
              <w:rPr>
                <w:sz w:val="18"/>
              </w:rPr>
              <w:t>-</w:t>
            </w:r>
            <w:r w:rsidRPr="00C1264D">
              <w:rPr>
                <w:sz w:val="18"/>
              </w:rPr>
              <w:t xml:space="preserve"> dairy beverages</w:t>
            </w:r>
            <w:r>
              <w:rPr>
                <w:sz w:val="18"/>
              </w:rPr>
              <w:t xml:space="preserve"> (jelly made up ready to eat)</w:t>
            </w:r>
          </w:p>
        </w:tc>
        <w:tc>
          <w:tcPr>
            <w:tcW w:w="1843" w:type="dxa"/>
          </w:tcPr>
          <w:p w:rsidR="00E465C2" w:rsidRPr="00C1264D" w:rsidRDefault="00E465C2" w:rsidP="00CE16E6">
            <w:pPr>
              <w:cnfStyle w:val="000000100000" w:firstRow="0" w:lastRow="0" w:firstColumn="0" w:lastColumn="0" w:oddVBand="0" w:evenVBand="0" w:oddHBand="1" w:evenHBand="0" w:firstRowFirstColumn="0" w:firstRowLastColumn="0" w:lastRowFirstColumn="0" w:lastRowLastColumn="0"/>
              <w:rPr>
                <w:sz w:val="18"/>
              </w:rPr>
            </w:pPr>
            <w:r>
              <w:rPr>
                <w:sz w:val="18"/>
              </w:rPr>
              <w:t>N/A</w:t>
            </w:r>
          </w:p>
        </w:tc>
      </w:tr>
      <w:tr w:rsidR="00E465C2" w:rsidRPr="00C1264D" w:rsidTr="00F63C82">
        <w:tc>
          <w:tcPr>
            <w:cnfStyle w:val="001000000000" w:firstRow="0" w:lastRow="0" w:firstColumn="1" w:lastColumn="0" w:oddVBand="0" w:evenVBand="0" w:oddHBand="0" w:evenHBand="0" w:firstRowFirstColumn="0" w:firstRowLastColumn="0" w:lastRowFirstColumn="0" w:lastRowLastColumn="0"/>
            <w:tcW w:w="448" w:type="dxa"/>
          </w:tcPr>
          <w:p w:rsidR="00E465C2" w:rsidRDefault="00E465C2" w:rsidP="00CE16E6">
            <w:pPr>
              <w:rPr>
                <w:sz w:val="18"/>
              </w:rPr>
            </w:pPr>
            <w:r>
              <w:rPr>
                <w:sz w:val="18"/>
              </w:rPr>
              <w:t>5</w:t>
            </w:r>
          </w:p>
        </w:tc>
        <w:tc>
          <w:tcPr>
            <w:tcW w:w="1532" w:type="dxa"/>
          </w:tcPr>
          <w:p w:rsidR="00E465C2" w:rsidRDefault="00E465C2" w:rsidP="00CE16E6">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Non-dairy beverages </w:t>
            </w:r>
          </w:p>
          <w:p w:rsidR="00E465C2" w:rsidRDefault="00E465C2" w:rsidP="00CE16E6">
            <w:pPr>
              <w:cnfStyle w:val="000000000000" w:firstRow="0" w:lastRow="0" w:firstColumn="0" w:lastColumn="0" w:oddVBand="0" w:evenVBand="0" w:oddHBand="0" w:evenHBand="0" w:firstRowFirstColumn="0" w:firstRowLastColumn="0" w:lastRowFirstColumn="0" w:lastRowLastColumn="0"/>
              <w:rPr>
                <w:sz w:val="18"/>
              </w:rPr>
            </w:pPr>
          </w:p>
          <w:p w:rsidR="00E465C2" w:rsidRPr="0046797D" w:rsidRDefault="00E465C2" w:rsidP="00CE16E6">
            <w:pPr>
              <w:cnfStyle w:val="000000000000" w:firstRow="0" w:lastRow="0" w:firstColumn="0" w:lastColumn="0" w:oddVBand="0" w:evenVBand="0" w:oddHBand="0" w:evenHBand="0" w:firstRowFirstColumn="0" w:firstRowLastColumn="0" w:lastRowFirstColumn="0" w:lastRowLastColumn="0"/>
              <w:rPr>
                <w:sz w:val="18"/>
                <w:szCs w:val="18"/>
              </w:rPr>
            </w:pPr>
            <w:r w:rsidRPr="0046797D">
              <w:rPr>
                <w:sz w:val="18"/>
                <w:szCs w:val="18"/>
              </w:rPr>
              <w:t>(</w:t>
            </w:r>
            <w:r>
              <w:rPr>
                <w:sz w:val="18"/>
                <w:szCs w:val="18"/>
              </w:rPr>
              <w:t>refer</w:t>
            </w:r>
            <w:r w:rsidRPr="0046797D">
              <w:rPr>
                <w:sz w:val="18"/>
                <w:szCs w:val="18"/>
              </w:rPr>
              <w:t xml:space="preserve"> p</w:t>
            </w:r>
            <w:r>
              <w:rPr>
                <w:sz w:val="18"/>
                <w:szCs w:val="18"/>
              </w:rPr>
              <w:t> </w:t>
            </w:r>
            <w:r w:rsidRPr="0046797D">
              <w:rPr>
                <w:sz w:val="18"/>
                <w:szCs w:val="18"/>
              </w:rPr>
              <w:t>65 Review Report)</w:t>
            </w:r>
          </w:p>
          <w:p w:rsidR="00E465C2" w:rsidRPr="00C1264D" w:rsidRDefault="00E465C2" w:rsidP="00CE16E6">
            <w:pPr>
              <w:cnfStyle w:val="000000000000" w:firstRow="0" w:lastRow="0" w:firstColumn="0" w:lastColumn="0" w:oddVBand="0" w:evenVBand="0" w:oddHBand="0" w:evenHBand="0" w:firstRowFirstColumn="0" w:firstRowLastColumn="0" w:lastRowFirstColumn="0" w:lastRowLastColumn="0"/>
              <w:rPr>
                <w:sz w:val="18"/>
              </w:rPr>
            </w:pPr>
          </w:p>
        </w:tc>
        <w:tc>
          <w:tcPr>
            <w:tcW w:w="1843" w:type="dxa"/>
          </w:tcPr>
          <w:p w:rsidR="00E465C2" w:rsidRPr="00C1264D" w:rsidRDefault="00E465C2" w:rsidP="00CE16E6">
            <w:pPr>
              <w:cnfStyle w:val="000000000000" w:firstRow="0" w:lastRow="0" w:firstColumn="0" w:lastColumn="0" w:oddVBand="0" w:evenVBand="0" w:oddHBand="0" w:evenHBand="0" w:firstRowFirstColumn="0" w:firstRowLastColumn="0" w:lastRowFirstColumn="0" w:lastRowLastColumn="0"/>
              <w:rPr>
                <w:sz w:val="18"/>
              </w:rPr>
            </w:pPr>
            <w:r>
              <w:rPr>
                <w:sz w:val="18"/>
              </w:rPr>
              <w:t>As per HSR Category 1</w:t>
            </w:r>
          </w:p>
        </w:tc>
        <w:tc>
          <w:tcPr>
            <w:tcW w:w="1701" w:type="dxa"/>
          </w:tcPr>
          <w:p w:rsidR="00E465C2" w:rsidRDefault="00E465C2" w:rsidP="00CE16E6">
            <w:pPr>
              <w:cnfStyle w:val="000000000000" w:firstRow="0" w:lastRow="0" w:firstColumn="0" w:lastColumn="0" w:oddVBand="0" w:evenVBand="0" w:oddHBand="0" w:evenHBand="0" w:firstRowFirstColumn="0" w:firstRowLastColumn="0" w:lastRowFirstColumn="0" w:lastRowLastColumn="0"/>
              <w:rPr>
                <w:sz w:val="18"/>
              </w:rPr>
            </w:pPr>
            <w:r>
              <w:rPr>
                <w:sz w:val="18"/>
              </w:rPr>
              <w:t>N/A</w:t>
            </w:r>
          </w:p>
        </w:tc>
        <w:tc>
          <w:tcPr>
            <w:tcW w:w="1842" w:type="dxa"/>
          </w:tcPr>
          <w:p w:rsidR="00E465C2" w:rsidRPr="00C1264D" w:rsidRDefault="00E465C2" w:rsidP="00CE16E6">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New approach to HSR Category 1 non-dairy beverages based on French </w:t>
            </w:r>
            <w:proofErr w:type="spellStart"/>
            <w:r>
              <w:rPr>
                <w:sz w:val="18"/>
              </w:rPr>
              <w:t>Nutri</w:t>
            </w:r>
            <w:proofErr w:type="spellEnd"/>
            <w:r>
              <w:rPr>
                <w:sz w:val="18"/>
              </w:rPr>
              <w:t>-Score System</w:t>
            </w:r>
          </w:p>
        </w:tc>
        <w:tc>
          <w:tcPr>
            <w:tcW w:w="1843" w:type="dxa"/>
          </w:tcPr>
          <w:p w:rsidR="00E465C2" w:rsidRDefault="00E465C2" w:rsidP="00CE16E6">
            <w:pPr>
              <w:cnfStyle w:val="000000000000" w:firstRow="0" w:lastRow="0" w:firstColumn="0" w:lastColumn="0" w:oddVBand="0" w:evenVBand="0" w:oddHBand="0" w:evenHBand="0" w:firstRowFirstColumn="0" w:firstRowLastColumn="0" w:lastRowFirstColumn="0" w:lastRowLastColumn="0"/>
              <w:rPr>
                <w:sz w:val="18"/>
              </w:rPr>
            </w:pPr>
            <w:r>
              <w:rPr>
                <w:sz w:val="18"/>
              </w:rPr>
              <w:t>N/A</w:t>
            </w:r>
          </w:p>
        </w:tc>
      </w:tr>
    </w:tbl>
    <w:p w:rsidR="00E465C2" w:rsidRDefault="00E465C2" w:rsidP="00E465C2">
      <w:r>
        <w:rPr>
          <w:sz w:val="18"/>
          <w:szCs w:val="18"/>
        </w:rPr>
        <w:t>*</w:t>
      </w:r>
      <w:r w:rsidRPr="007E002E">
        <w:rPr>
          <w:sz w:val="18"/>
          <w:szCs w:val="18"/>
        </w:rPr>
        <w:t>In the HSR calculator star points from 1-10 are assigned to the HSR final score for a food product according to the scaling criteria employed for each HSR food category, the star points translate to ten increments in health star ratings displayed on food labels (½ to 5 stars)</w:t>
      </w:r>
      <w:r>
        <w:rPr>
          <w:sz w:val="18"/>
          <w:szCs w:val="18"/>
        </w:rPr>
        <w:t>. The HSR final score is obtained by summing HSR baseline points for risk increasing nutrients and HSR modifying points for risk reducing components.</w:t>
      </w:r>
    </w:p>
    <w:p w:rsidR="002E7A3F" w:rsidRPr="002E7A3F" w:rsidRDefault="001128F3" w:rsidP="00051E01">
      <w:pPr>
        <w:rPr>
          <w:b/>
        </w:rPr>
      </w:pPr>
      <w:r>
        <w:rPr>
          <w:b/>
        </w:rPr>
        <w:t xml:space="preserve"> </w:t>
      </w:r>
    </w:p>
    <w:sectPr w:rsidR="002E7A3F" w:rsidRPr="002E7A3F" w:rsidSect="00E06F2E">
      <w:headerReference w:type="default" r:id="rId18"/>
      <w:footerReference w:type="default" r:id="rId19"/>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D87" w:rsidRDefault="00060D87" w:rsidP="003E0E3F">
      <w:r>
        <w:separator/>
      </w:r>
    </w:p>
  </w:endnote>
  <w:endnote w:type="continuationSeparator" w:id="0">
    <w:p w:rsidR="00060D87" w:rsidRDefault="00060D87" w:rsidP="003E0E3F">
      <w:r>
        <w:continuationSeparator/>
      </w:r>
    </w:p>
  </w:endnote>
  <w:endnote w:type="continuationNotice" w:id="1">
    <w:p w:rsidR="00060D87" w:rsidRDefault="00060D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6E6" w:rsidRDefault="00CE16E6">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997230"/>
      <w:docPartObj>
        <w:docPartGallery w:val="Page Numbers (Bottom of Page)"/>
        <w:docPartUnique/>
      </w:docPartObj>
    </w:sdtPr>
    <w:sdtEndPr>
      <w:rPr>
        <w:noProof/>
        <w:sz w:val="16"/>
      </w:rPr>
    </w:sdtEndPr>
    <w:sdtContent>
      <w:p w:rsidR="00E06F2E" w:rsidRPr="00E06F2E" w:rsidRDefault="00E06F2E">
        <w:pPr>
          <w:pStyle w:val="Footer"/>
          <w:jc w:val="center"/>
          <w:rPr>
            <w:sz w:val="16"/>
          </w:rPr>
        </w:pPr>
        <w:r w:rsidRPr="00E06F2E">
          <w:rPr>
            <w:sz w:val="16"/>
          </w:rPr>
          <w:fldChar w:fldCharType="begin"/>
        </w:r>
        <w:r w:rsidRPr="00E06F2E">
          <w:rPr>
            <w:sz w:val="16"/>
          </w:rPr>
          <w:instrText xml:space="preserve"> PAGE   \* MERGEFORMAT </w:instrText>
        </w:r>
        <w:r w:rsidRPr="00E06F2E">
          <w:rPr>
            <w:sz w:val="16"/>
          </w:rPr>
          <w:fldChar w:fldCharType="separate"/>
        </w:r>
        <w:r w:rsidR="00AF3EAA">
          <w:rPr>
            <w:noProof/>
            <w:sz w:val="16"/>
          </w:rPr>
          <w:t>6</w:t>
        </w:r>
        <w:r w:rsidRPr="00E06F2E">
          <w:rPr>
            <w:noProof/>
            <w:sz w:val="16"/>
          </w:rPr>
          <w:fldChar w:fldCharType="end"/>
        </w:r>
      </w:p>
    </w:sdtContent>
  </w:sdt>
  <w:p w:rsidR="00E06F2E" w:rsidRDefault="00E06F2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D87" w:rsidRDefault="00060D87" w:rsidP="003E0E3F">
      <w:r>
        <w:separator/>
      </w:r>
    </w:p>
  </w:footnote>
  <w:footnote w:type="continuationSeparator" w:id="0">
    <w:p w:rsidR="00060D87" w:rsidRDefault="00060D87" w:rsidP="003E0E3F">
      <w:r>
        <w:continuationSeparator/>
      </w:r>
    </w:p>
  </w:footnote>
  <w:footnote w:type="continuationNotice" w:id="1">
    <w:p w:rsidR="00060D87" w:rsidRDefault="00060D87"/>
  </w:footnote>
  <w:footnote w:id="2">
    <w:p w:rsidR="00CE16E6" w:rsidRDefault="00CE16E6" w:rsidP="00662A7F">
      <w:pPr>
        <w:pStyle w:val="FootnoteText"/>
      </w:pPr>
      <w:r>
        <w:rPr>
          <w:rStyle w:val="FootnoteReference"/>
        </w:rPr>
        <w:footnoteRef/>
      </w:r>
      <w:r>
        <w:t xml:space="preserve"> Health star ratings for foods in each of the six food categories (1, 1D, 2, 2D, 3, 3D) are calculated by summing positive HSR baseline profiler points for risk increasing nutrients (energy, saturated fat, total sugars and sodium) and negative HSR modifying profiler points for risk reducing components (protein, fruit, vegetable, nut and legume content, and fibre). The lower the final profiler points score, the higher the HSR.</w:t>
      </w:r>
    </w:p>
  </w:footnote>
  <w:footnote w:id="3">
    <w:p w:rsidR="00CE16E6" w:rsidRPr="00FF4EA9" w:rsidRDefault="00CE16E6" w:rsidP="006D1B72">
      <w:pPr>
        <w:pStyle w:val="FootnoteText"/>
        <w:rPr>
          <w:lang w:val="en-AU"/>
        </w:rPr>
      </w:pPr>
      <w:r>
        <w:rPr>
          <w:rStyle w:val="FootnoteReference"/>
        </w:rPr>
        <w:footnoteRef/>
      </w:r>
      <w:r>
        <w:t xml:space="preserve"> </w:t>
      </w:r>
      <w:r>
        <w:rPr>
          <w:lang w:val="en-AU"/>
        </w:rPr>
        <w:t>Used to refer to both the Australian Five Food Groups and the New Zealand Four Food Groups, referring to the basic (or core) food groups from which people are recommended to choose the majority of their food every day.</w:t>
      </w:r>
    </w:p>
  </w:footnote>
  <w:footnote w:id="4">
    <w:p w:rsidR="00CE16E6" w:rsidRPr="002D0322" w:rsidRDefault="00CE16E6" w:rsidP="008C38BF">
      <w:pPr>
        <w:pStyle w:val="FootnoteText"/>
        <w:rPr>
          <w:lang w:val="en-AU"/>
        </w:rPr>
      </w:pPr>
      <w:r>
        <w:rPr>
          <w:rStyle w:val="FootnoteReference"/>
        </w:rPr>
        <w:footnoteRef/>
      </w:r>
      <w:r>
        <w:t xml:space="preserve"> In June 2018 the</w:t>
      </w:r>
      <w:r>
        <w:rPr>
          <w:lang w:val="en-AU"/>
        </w:rPr>
        <w:t xml:space="preserve"> Forum agreed to limit the application of the HSR system to food products ‘as sold’, i.e. that the HSR should be calculated and displayed on the basis of the product as it appears on the shelf with the exception of products which must be rehydrated with water, diluted with water, drained of water or drained of brine.</w:t>
      </w:r>
    </w:p>
  </w:footnote>
  <w:footnote w:id="5">
    <w:p w:rsidR="00CE16E6" w:rsidRPr="00D2640D" w:rsidRDefault="00CE16E6" w:rsidP="003F7CDC">
      <w:pPr>
        <w:pStyle w:val="FootnoteText"/>
        <w:rPr>
          <w:lang w:val="en-AU"/>
        </w:rPr>
      </w:pPr>
      <w:r>
        <w:rPr>
          <w:rStyle w:val="FootnoteReference"/>
        </w:rPr>
        <w:footnoteRef/>
      </w:r>
      <w:r>
        <w:t xml:space="preserve"> </w:t>
      </w:r>
      <w:r>
        <w:rPr>
          <w:lang w:val="en-AU"/>
        </w:rPr>
        <w:t xml:space="preserve">Used in the Australian Dietary Guidelines to refer to </w:t>
      </w:r>
      <w:r>
        <w:t>foods and drinks not necessary to provide the nutrients the body needs, but that may add variety. However, many of these are high in saturated fats, sugars, salt and/or alcohol, and are therefore described as energy dense.</w:t>
      </w:r>
    </w:p>
  </w:footnote>
  <w:footnote w:id="6">
    <w:p w:rsidR="00CE16E6" w:rsidRPr="0006530C" w:rsidRDefault="00CE16E6" w:rsidP="00982BAB">
      <w:pPr>
        <w:pStyle w:val="FootnoteText"/>
        <w:rPr>
          <w:lang w:val="en-AU"/>
        </w:rPr>
      </w:pPr>
      <w:r>
        <w:rPr>
          <w:rStyle w:val="FootnoteReference"/>
        </w:rPr>
        <w:footnoteRef/>
      </w:r>
      <w:r>
        <w:t xml:space="preserve"> </w:t>
      </w:r>
      <w:r>
        <w:rPr>
          <w:lang w:val="en-AU"/>
        </w:rPr>
        <w:t>Note that while Jelly and Ice confectionery were reclassified as Category 1 Non-dairy beverages for HSR calculation purposes, analysis of the impact of the recommended changes on these AGHE categories has still been included in Category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DC0" w:rsidRDefault="00420DC0" w:rsidP="00420DC0">
    <w:pPr>
      <w:pStyle w:val="Header"/>
    </w:pPr>
  </w:p>
  <w:p w:rsidR="00E06F2E" w:rsidRPr="00420DC0" w:rsidRDefault="00E06F2E" w:rsidP="00F66204">
    <w:pPr>
      <w:pStyle w:val="Header"/>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F2E" w:rsidRDefault="00E06F2E">
    <w:pPr>
      <w:pStyle w:val="Header"/>
    </w:pPr>
  </w:p>
  <w:p w:rsidR="00F66204" w:rsidRDefault="00F66204" w:rsidP="00F66204">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300"/>
    <w:multiLevelType w:val="hybridMultilevel"/>
    <w:tmpl w:val="AD643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6A2A4F"/>
    <w:multiLevelType w:val="multilevel"/>
    <w:tmpl w:val="80165BCE"/>
    <w:lvl w:ilvl="0">
      <w:start w:val="3"/>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687C81"/>
    <w:multiLevelType w:val="multilevel"/>
    <w:tmpl w:val="4050949E"/>
    <w:lvl w:ilvl="0">
      <w:start w:val="1"/>
      <w:numFmt w:val="decimal"/>
      <w:lvlText w:val="%1."/>
      <w:lvlJc w:val="left"/>
      <w:pPr>
        <w:ind w:left="360" w:hanging="360"/>
      </w:pPr>
      <w:rPr>
        <w:rFonts w:hint="default"/>
      </w:rPr>
    </w:lvl>
    <w:lvl w:ilvl="1">
      <w:start w:val="3"/>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FF71A1"/>
    <w:multiLevelType w:val="multilevel"/>
    <w:tmpl w:val="DF28B480"/>
    <w:lvl w:ilvl="0">
      <w:start w:val="2"/>
      <w:numFmt w:val="decimal"/>
      <w:pStyle w:val="Heading3"/>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54265E"/>
    <w:multiLevelType w:val="multilevel"/>
    <w:tmpl w:val="9086EEEE"/>
    <w:lvl w:ilvl="0">
      <w:start w:val="3"/>
      <w:numFmt w:val="none"/>
      <w:lvlText w:val="3.2"/>
      <w:lvlJc w:val="left"/>
      <w:pPr>
        <w:ind w:left="720" w:hanging="360"/>
      </w:pPr>
      <w:rPr>
        <w:rFonts w:hint="default"/>
      </w:rPr>
    </w:lvl>
    <w:lvl w:ilvl="1">
      <w:start w:val="1"/>
      <w:numFmt w:val="none"/>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15702406"/>
    <w:multiLevelType w:val="hybridMultilevel"/>
    <w:tmpl w:val="57E09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346A01"/>
    <w:multiLevelType w:val="multilevel"/>
    <w:tmpl w:val="61464D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0481820"/>
    <w:multiLevelType w:val="multilevel"/>
    <w:tmpl w:val="4050949E"/>
    <w:lvl w:ilvl="0">
      <w:start w:val="1"/>
      <w:numFmt w:val="decimal"/>
      <w:lvlText w:val="%1."/>
      <w:lvlJc w:val="left"/>
      <w:pPr>
        <w:ind w:left="360" w:hanging="360"/>
      </w:pPr>
      <w:rPr>
        <w:rFonts w:hint="default"/>
      </w:rPr>
    </w:lvl>
    <w:lvl w:ilvl="1">
      <w:start w:val="3"/>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7CB430C"/>
    <w:multiLevelType w:val="multilevel"/>
    <w:tmpl w:val="5EEACF46"/>
    <w:lvl w:ilvl="0">
      <w:start w:val="3"/>
      <w:numFmt w:val="decimal"/>
      <w:lvlText w:val="%1.1"/>
      <w:lvlJc w:val="left"/>
      <w:pPr>
        <w:ind w:left="360" w:hanging="360"/>
      </w:pPr>
      <w:rPr>
        <w:rFonts w:hint="default"/>
      </w:rPr>
    </w:lvl>
    <w:lvl w:ilvl="1">
      <w:start w:val="1"/>
      <w:numFmt w:val="none"/>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F853A5"/>
    <w:multiLevelType w:val="hybridMultilevel"/>
    <w:tmpl w:val="70CCA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EE12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4E3931"/>
    <w:multiLevelType w:val="hybridMultilevel"/>
    <w:tmpl w:val="29200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1E2F24"/>
    <w:multiLevelType w:val="multilevel"/>
    <w:tmpl w:val="A566AF6E"/>
    <w:lvl w:ilvl="0">
      <w:start w:val="1"/>
      <w:numFmt w:val="decimal"/>
      <w:lvlText w:val="%1."/>
      <w:lvlJc w:val="left"/>
      <w:pPr>
        <w:ind w:left="360" w:hanging="360"/>
      </w:pPr>
      <w:rPr>
        <w:rFonts w:hint="default"/>
      </w:r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7" w15:restartNumberingAfterBreak="0">
    <w:nsid w:val="787F796F"/>
    <w:multiLevelType w:val="multilevel"/>
    <w:tmpl w:val="79807E18"/>
    <w:lvl w:ilvl="0">
      <w:start w:val="3"/>
      <w:numFmt w:val="decimal"/>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16"/>
  </w:num>
  <w:num w:numId="9">
    <w:abstractNumId w:val="10"/>
  </w:num>
  <w:num w:numId="10">
    <w:abstractNumId w:val="14"/>
  </w:num>
  <w:num w:numId="11">
    <w:abstractNumId w:val="16"/>
  </w:num>
  <w:num w:numId="12">
    <w:abstractNumId w:val="10"/>
  </w:num>
  <w:num w:numId="13">
    <w:abstractNumId w:val="14"/>
  </w:num>
  <w:num w:numId="14">
    <w:abstractNumId w:val="15"/>
  </w:num>
  <w:num w:numId="15">
    <w:abstractNumId w:val="11"/>
  </w:num>
  <w:num w:numId="16">
    <w:abstractNumId w:val="5"/>
  </w:num>
  <w:num w:numId="17">
    <w:abstractNumId w:val="0"/>
  </w:num>
  <w:num w:numId="18">
    <w:abstractNumId w:val="6"/>
  </w:num>
  <w:num w:numId="19">
    <w:abstractNumId w:val="12"/>
  </w:num>
  <w:num w:numId="20">
    <w:abstractNumId w:val="1"/>
  </w:num>
  <w:num w:numId="21">
    <w:abstractNumId w:val="8"/>
  </w:num>
  <w:num w:numId="22">
    <w:abstractNumId w:val="17"/>
  </w:num>
  <w:num w:numId="23">
    <w:abstractNumId w:val="8"/>
  </w:num>
  <w:num w:numId="2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4"/>
  </w:num>
  <w:num w:numId="28">
    <w:abstractNumId w:val="3"/>
  </w:num>
  <w:num w:numId="29">
    <w:abstractNumId w:val="7"/>
  </w:num>
  <w:num w:numId="30">
    <w:abstractNumId w:val="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E3F"/>
    <w:rsid w:val="0000542C"/>
    <w:rsid w:val="0003634E"/>
    <w:rsid w:val="00041643"/>
    <w:rsid w:val="00041E18"/>
    <w:rsid w:val="00051E01"/>
    <w:rsid w:val="00056475"/>
    <w:rsid w:val="000606C3"/>
    <w:rsid w:val="00060D87"/>
    <w:rsid w:val="000622E7"/>
    <w:rsid w:val="00062DAF"/>
    <w:rsid w:val="00064182"/>
    <w:rsid w:val="00066854"/>
    <w:rsid w:val="00066D85"/>
    <w:rsid w:val="00070938"/>
    <w:rsid w:val="00090FD1"/>
    <w:rsid w:val="000A38F8"/>
    <w:rsid w:val="000F0AF1"/>
    <w:rsid w:val="000F2196"/>
    <w:rsid w:val="001128F3"/>
    <w:rsid w:val="00151C73"/>
    <w:rsid w:val="0015220C"/>
    <w:rsid w:val="001734EA"/>
    <w:rsid w:val="00184403"/>
    <w:rsid w:val="00191770"/>
    <w:rsid w:val="001960ED"/>
    <w:rsid w:val="001A0539"/>
    <w:rsid w:val="001B6542"/>
    <w:rsid w:val="001C5126"/>
    <w:rsid w:val="001E696B"/>
    <w:rsid w:val="00217735"/>
    <w:rsid w:val="002232B1"/>
    <w:rsid w:val="00234C31"/>
    <w:rsid w:val="00272122"/>
    <w:rsid w:val="00277DFF"/>
    <w:rsid w:val="00290174"/>
    <w:rsid w:val="002909AF"/>
    <w:rsid w:val="00295E31"/>
    <w:rsid w:val="002E1BBA"/>
    <w:rsid w:val="002E45BE"/>
    <w:rsid w:val="002E7A3F"/>
    <w:rsid w:val="00312D16"/>
    <w:rsid w:val="0033021F"/>
    <w:rsid w:val="003343FF"/>
    <w:rsid w:val="00341D25"/>
    <w:rsid w:val="003471FC"/>
    <w:rsid w:val="00370C3A"/>
    <w:rsid w:val="003851B5"/>
    <w:rsid w:val="003A01FB"/>
    <w:rsid w:val="003B2183"/>
    <w:rsid w:val="003D0520"/>
    <w:rsid w:val="003E0E3F"/>
    <w:rsid w:val="003F7CDC"/>
    <w:rsid w:val="00404702"/>
    <w:rsid w:val="004077B3"/>
    <w:rsid w:val="00420DC0"/>
    <w:rsid w:val="00431258"/>
    <w:rsid w:val="00441705"/>
    <w:rsid w:val="00441D77"/>
    <w:rsid w:val="00443F05"/>
    <w:rsid w:val="004511D2"/>
    <w:rsid w:val="00471223"/>
    <w:rsid w:val="004803A4"/>
    <w:rsid w:val="00486619"/>
    <w:rsid w:val="00492A4B"/>
    <w:rsid w:val="004D3868"/>
    <w:rsid w:val="004E6694"/>
    <w:rsid w:val="004F688A"/>
    <w:rsid w:val="005241A1"/>
    <w:rsid w:val="0054036E"/>
    <w:rsid w:val="00543CD9"/>
    <w:rsid w:val="00567358"/>
    <w:rsid w:val="00590D88"/>
    <w:rsid w:val="005A257B"/>
    <w:rsid w:val="005B4FDC"/>
    <w:rsid w:val="005B578D"/>
    <w:rsid w:val="005C1996"/>
    <w:rsid w:val="005D0AAF"/>
    <w:rsid w:val="005E0913"/>
    <w:rsid w:val="005F307C"/>
    <w:rsid w:val="005F4672"/>
    <w:rsid w:val="005F5FFE"/>
    <w:rsid w:val="00610B4B"/>
    <w:rsid w:val="00637AE1"/>
    <w:rsid w:val="0065169C"/>
    <w:rsid w:val="006560F3"/>
    <w:rsid w:val="00662A7F"/>
    <w:rsid w:val="006B6900"/>
    <w:rsid w:val="006D11AF"/>
    <w:rsid w:val="006D1B72"/>
    <w:rsid w:val="006D473E"/>
    <w:rsid w:val="006E6C44"/>
    <w:rsid w:val="007038C3"/>
    <w:rsid w:val="00704492"/>
    <w:rsid w:val="007201F8"/>
    <w:rsid w:val="00723F37"/>
    <w:rsid w:val="00775915"/>
    <w:rsid w:val="007904F7"/>
    <w:rsid w:val="00793DE6"/>
    <w:rsid w:val="007A284F"/>
    <w:rsid w:val="007B6CB1"/>
    <w:rsid w:val="007C5F8E"/>
    <w:rsid w:val="007E5E68"/>
    <w:rsid w:val="007F35B5"/>
    <w:rsid w:val="007F6456"/>
    <w:rsid w:val="0080508E"/>
    <w:rsid w:val="00830393"/>
    <w:rsid w:val="00830F4F"/>
    <w:rsid w:val="00833D5A"/>
    <w:rsid w:val="00841CE2"/>
    <w:rsid w:val="00847DA7"/>
    <w:rsid w:val="00860EE7"/>
    <w:rsid w:val="00877A81"/>
    <w:rsid w:val="008931F6"/>
    <w:rsid w:val="008A2AF6"/>
    <w:rsid w:val="008B30A3"/>
    <w:rsid w:val="008C38BF"/>
    <w:rsid w:val="008D0A43"/>
    <w:rsid w:val="008E2339"/>
    <w:rsid w:val="008F1BC9"/>
    <w:rsid w:val="0090636A"/>
    <w:rsid w:val="009066E5"/>
    <w:rsid w:val="00906A7D"/>
    <w:rsid w:val="009264E2"/>
    <w:rsid w:val="00935023"/>
    <w:rsid w:val="00937381"/>
    <w:rsid w:val="009806A5"/>
    <w:rsid w:val="00982BAB"/>
    <w:rsid w:val="00992AB6"/>
    <w:rsid w:val="009C2478"/>
    <w:rsid w:val="009E0A1E"/>
    <w:rsid w:val="009E265A"/>
    <w:rsid w:val="009E5AFA"/>
    <w:rsid w:val="00A25B29"/>
    <w:rsid w:val="00A26F82"/>
    <w:rsid w:val="00A5419A"/>
    <w:rsid w:val="00A808E9"/>
    <w:rsid w:val="00A9332F"/>
    <w:rsid w:val="00AA0D85"/>
    <w:rsid w:val="00AD188A"/>
    <w:rsid w:val="00AF3EAA"/>
    <w:rsid w:val="00B17C7B"/>
    <w:rsid w:val="00B30FC0"/>
    <w:rsid w:val="00B36525"/>
    <w:rsid w:val="00B53154"/>
    <w:rsid w:val="00B55DD3"/>
    <w:rsid w:val="00B66F53"/>
    <w:rsid w:val="00B72074"/>
    <w:rsid w:val="00BC2133"/>
    <w:rsid w:val="00BC5B50"/>
    <w:rsid w:val="00BE4F3A"/>
    <w:rsid w:val="00BF1FF7"/>
    <w:rsid w:val="00C019A6"/>
    <w:rsid w:val="00C34194"/>
    <w:rsid w:val="00C42162"/>
    <w:rsid w:val="00C572A2"/>
    <w:rsid w:val="00C703F9"/>
    <w:rsid w:val="00C76695"/>
    <w:rsid w:val="00CA362C"/>
    <w:rsid w:val="00CC27EE"/>
    <w:rsid w:val="00CD07E4"/>
    <w:rsid w:val="00CE16E6"/>
    <w:rsid w:val="00CE22D1"/>
    <w:rsid w:val="00D007CB"/>
    <w:rsid w:val="00D22C00"/>
    <w:rsid w:val="00D44DCD"/>
    <w:rsid w:val="00D5526B"/>
    <w:rsid w:val="00D57525"/>
    <w:rsid w:val="00D66962"/>
    <w:rsid w:val="00D71DC4"/>
    <w:rsid w:val="00D8703E"/>
    <w:rsid w:val="00D87D9C"/>
    <w:rsid w:val="00D92B3B"/>
    <w:rsid w:val="00DA5617"/>
    <w:rsid w:val="00DA72F7"/>
    <w:rsid w:val="00DA7DED"/>
    <w:rsid w:val="00DE0FFF"/>
    <w:rsid w:val="00DE1639"/>
    <w:rsid w:val="00DF4A30"/>
    <w:rsid w:val="00E0050C"/>
    <w:rsid w:val="00E06F2E"/>
    <w:rsid w:val="00E10AEF"/>
    <w:rsid w:val="00E2450C"/>
    <w:rsid w:val="00E340B5"/>
    <w:rsid w:val="00E4001E"/>
    <w:rsid w:val="00E465C2"/>
    <w:rsid w:val="00E53ACA"/>
    <w:rsid w:val="00E54839"/>
    <w:rsid w:val="00E74E44"/>
    <w:rsid w:val="00E9291E"/>
    <w:rsid w:val="00E9409E"/>
    <w:rsid w:val="00E970A1"/>
    <w:rsid w:val="00EA294A"/>
    <w:rsid w:val="00EB6406"/>
    <w:rsid w:val="00EC65E9"/>
    <w:rsid w:val="00EC7F9E"/>
    <w:rsid w:val="00F23847"/>
    <w:rsid w:val="00F36233"/>
    <w:rsid w:val="00F40A92"/>
    <w:rsid w:val="00F4105E"/>
    <w:rsid w:val="00F45987"/>
    <w:rsid w:val="00F616DA"/>
    <w:rsid w:val="00F63582"/>
    <w:rsid w:val="00F63C82"/>
    <w:rsid w:val="00F63E65"/>
    <w:rsid w:val="00F66204"/>
    <w:rsid w:val="00F7332C"/>
    <w:rsid w:val="00F76F95"/>
    <w:rsid w:val="00FB3745"/>
    <w:rsid w:val="00FB39BF"/>
    <w:rsid w:val="00FC236B"/>
    <w:rsid w:val="00FC4325"/>
    <w:rsid w:val="00FD2D5A"/>
    <w:rsid w:val="00FD4B8D"/>
    <w:rsid w:val="00FE6556"/>
    <w:rsid w:val="00FF55E9"/>
    <w:rsid w:val="00FF60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7E73F"/>
  <w15:chartTrackingRefBased/>
  <w15:docId w15:val="{9F388D18-1B1D-4B74-8292-DAD733E5C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locked="1" w:uiPriority="2" w:qFormat="1"/>
    <w:lsdException w:name="heading 2" w:locked="1" w:semiHidden="1" w:uiPriority="2" w:unhideWhenUsed="1" w:qFormat="1"/>
    <w:lsdException w:name="heading 3" w:locked="1" w:semiHidden="1" w:uiPriority="2" w:unhideWhenUsed="1" w:qFormat="1"/>
    <w:lsdException w:name="heading 4" w:locked="1" w:semiHidden="1" w:uiPriority="2" w:unhideWhenUsed="1" w:qFormat="1"/>
    <w:lsdException w:name="heading 5" w:locked="1" w:semiHidden="1" w:uiPriority="2"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S Normal"/>
    <w:qFormat/>
    <w:rsid w:val="00B72074"/>
    <w:rPr>
      <w:rFonts w:cstheme="minorBidi"/>
      <w:lang w:val="en-GB"/>
    </w:rPr>
  </w:style>
  <w:style w:type="paragraph" w:styleId="Heading1">
    <w:name w:val="heading 1"/>
    <w:aliases w:val="FSHeading 1,Chapter heading"/>
    <w:basedOn w:val="Normal"/>
    <w:next w:val="Normal"/>
    <w:link w:val="Heading1Char"/>
    <w:uiPriority w:val="2"/>
    <w:qFormat/>
    <w:locked/>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locked/>
    <w:rsid w:val="00EC65E9"/>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locked/>
    <w:rsid w:val="007904F7"/>
    <w:pPr>
      <w:keepNext/>
      <w:numPr>
        <w:numId w:val="28"/>
      </w:numPr>
      <w:spacing w:before="240" w:after="240"/>
      <w:outlineLvl w:val="2"/>
    </w:pPr>
    <w:rPr>
      <w:rFonts w:cstheme="majorBidi"/>
      <w:b/>
      <w:bCs/>
      <w:szCs w:val="24"/>
      <w:lang w:eastAsia="en-AU"/>
    </w:rPr>
  </w:style>
  <w:style w:type="paragraph" w:styleId="Heading4">
    <w:name w:val="heading 4"/>
    <w:aliases w:val="FSHeading 4,Subheading 2"/>
    <w:basedOn w:val="Normal"/>
    <w:next w:val="Normal"/>
    <w:link w:val="Heading4Char"/>
    <w:uiPriority w:val="2"/>
    <w:unhideWhenUsed/>
    <w:qFormat/>
    <w:locked/>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locked/>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7904F7"/>
    <w:rPr>
      <w:rFonts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locked/>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style>
  <w:style w:type="paragraph" w:customStyle="1" w:styleId="FSBullet3">
    <w:name w:val="FSBullet 3"/>
    <w:basedOn w:val="Normal"/>
    <w:uiPriority w:val="6"/>
    <w:qFormat/>
    <w:locked/>
    <w:rsid w:val="006B6900"/>
    <w:pPr>
      <w:keepNext/>
      <w:numPr>
        <w:numId w:val="1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rFonts w:eastAsia="Times New Roman" w:cs="Times New Roman"/>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
    <w:basedOn w:val="Normal"/>
    <w:link w:val="HeaderChar"/>
    <w:uiPriority w:val="99"/>
    <w:unhideWhenUsed/>
    <w:qFormat/>
    <w:locked/>
    <w:rsid w:val="00D92B3B"/>
    <w:pPr>
      <w:jc w:val="center"/>
    </w:pPr>
    <w:rPr>
      <w:b/>
    </w:rPr>
  </w:style>
  <w:style w:type="character" w:customStyle="1" w:styleId="HeaderChar">
    <w:name w:val="Header Char"/>
    <w:aliases w:val="FSHeader Char"/>
    <w:basedOn w:val="DefaultParagraphFont"/>
    <w:link w:val="Header"/>
    <w:uiPriority w:val="99"/>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character" w:styleId="FootnoteReference">
    <w:name w:val="footnote reference"/>
    <w:basedOn w:val="DefaultParagraphFont"/>
    <w:uiPriority w:val="99"/>
    <w:semiHidden/>
    <w:unhideWhenUsed/>
    <w:rsid w:val="008C38BF"/>
    <w:rPr>
      <w:vertAlign w:val="superscript"/>
    </w:rPr>
  </w:style>
  <w:style w:type="paragraph" w:styleId="BalloonText">
    <w:name w:val="Balloon Text"/>
    <w:basedOn w:val="Normal"/>
    <w:link w:val="BalloonTextChar"/>
    <w:uiPriority w:val="99"/>
    <w:semiHidden/>
    <w:unhideWhenUsed/>
    <w:rsid w:val="008C38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8BF"/>
    <w:rPr>
      <w:rFonts w:ascii="Segoe UI" w:hAnsi="Segoe UI" w:cs="Segoe UI"/>
      <w:sz w:val="18"/>
      <w:szCs w:val="18"/>
      <w:lang w:val="en-GB"/>
    </w:rPr>
  </w:style>
  <w:style w:type="table" w:styleId="TableGrid">
    <w:name w:val="Table Grid"/>
    <w:basedOn w:val="TableNormal"/>
    <w:uiPriority w:val="59"/>
    <w:rsid w:val="00805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0508E"/>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7904F7"/>
    <w:rPr>
      <w:sz w:val="16"/>
      <w:szCs w:val="16"/>
    </w:rPr>
  </w:style>
  <w:style w:type="paragraph" w:styleId="CommentText">
    <w:name w:val="annotation text"/>
    <w:basedOn w:val="Normal"/>
    <w:link w:val="CommentTextChar"/>
    <w:uiPriority w:val="99"/>
    <w:semiHidden/>
    <w:unhideWhenUsed/>
    <w:rsid w:val="007904F7"/>
    <w:rPr>
      <w:sz w:val="20"/>
      <w:szCs w:val="20"/>
    </w:rPr>
  </w:style>
  <w:style w:type="character" w:customStyle="1" w:styleId="CommentTextChar">
    <w:name w:val="Comment Text Char"/>
    <w:basedOn w:val="DefaultParagraphFont"/>
    <w:link w:val="CommentText"/>
    <w:uiPriority w:val="99"/>
    <w:semiHidden/>
    <w:rsid w:val="007904F7"/>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7904F7"/>
    <w:rPr>
      <w:b/>
      <w:bCs/>
    </w:rPr>
  </w:style>
  <w:style w:type="character" w:customStyle="1" w:styleId="CommentSubjectChar">
    <w:name w:val="Comment Subject Char"/>
    <w:basedOn w:val="CommentTextChar"/>
    <w:link w:val="CommentSubject"/>
    <w:uiPriority w:val="99"/>
    <w:semiHidden/>
    <w:rsid w:val="007904F7"/>
    <w:rPr>
      <w:rFonts w:cstheme="minorBidi"/>
      <w:b/>
      <w:bCs/>
      <w:sz w:val="20"/>
      <w:szCs w:val="20"/>
      <w:lang w:val="en-GB"/>
    </w:rPr>
  </w:style>
  <w:style w:type="paragraph" w:styleId="Revision">
    <w:name w:val="Revision"/>
    <w:hidden/>
    <w:uiPriority w:val="99"/>
    <w:semiHidden/>
    <w:rsid w:val="007904F7"/>
    <w:rPr>
      <w:rFonts w:cstheme="minorBidi"/>
      <w:lang w:val="en-GB"/>
    </w:rPr>
  </w:style>
  <w:style w:type="table" w:styleId="GridTable4">
    <w:name w:val="Grid Table 4"/>
    <w:basedOn w:val="TableNormal"/>
    <w:uiPriority w:val="49"/>
    <w:rsid w:val="00AA0D8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AA0D8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PlainTable2">
    <w:name w:val="Plain Table 2"/>
    <w:basedOn w:val="TableNormal"/>
    <w:uiPriority w:val="42"/>
    <w:rsid w:val="00AA0D8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2.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DC715F3DF02EAE48A09B359B9D315AA9" ma:contentTypeVersion="41" ma:contentTypeDescription="Files created by FSANZ including letters, draft documents and ideas for FSANZ business." ma:contentTypeScope="" ma:versionID="2b3f802379222501748d7c2760ea4975">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e8a8fcbdb71757995ae8dee6ca69429f"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118</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Advice</TermName>
          <TermId xmlns="http://schemas.microsoft.com/office/infopath/2007/PartnerControls">5c442904-ac11-4632-963b-bf76346270f9</TermId>
        </TermInfo>
      </Terms>
    </bd06d2da0152468b9236b575a71e0e7c>
    <_dlc_DocId xmlns="ff5de93e-c5e8-4efc-a1bd-21450292fcfe">X3VAMR3A5FUY-602-745</_dlc_DocId>
    <_dlc_DocIdUrl xmlns="ff5de93e-c5e8-4efc-a1bd-21450292fcfe">
      <Url>http://teams/WG/FOPL/_layouts/15/DocIdRedir.aspx?ID=X3VAMR3A5FUY-602-745</Url>
      <Description>X3VAMR3A5FUY-602-745</Description>
    </_dlc_DocIdUrl>
  </documentManagement>
</p:properties>
</file>

<file path=customXml/item4.xml><?xml version="1.0" encoding="utf-8"?>
<?mso-contentType ?>
<SharedContentType xmlns="Microsoft.SharePoint.Taxonomy.ContentTypeSync" SourceId="8959f586-1386-49a0-8f25-29490ba8c513" ContentTypeId="0x01010004C4C934AD08B647A78FCADD498BE31902" PreviousValue="false"/>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1F050-2E20-4763-B00C-D93E487EB82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7B23073-1FCA-46EB-8BAD-74D6723E9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AEF392-1981-4BD8-A155-EED47CC91883}">
  <ds:schemaRefs>
    <ds:schemaRef ds:uri="http://schemas.microsoft.com/office/2006/metadata/properties"/>
    <ds:schemaRef ds:uri="http://schemas.microsoft.com/office/infopath/2007/PartnerControls"/>
    <ds:schemaRef ds:uri="ec50576e-4a27-4780-a1e1-e59563bc70b8"/>
    <ds:schemaRef ds:uri="ff5de93e-c5e8-4efc-a1bd-21450292fcfe"/>
  </ds:schemaRefs>
</ds:datastoreItem>
</file>

<file path=customXml/itemProps4.xml><?xml version="1.0" encoding="utf-8"?>
<ds:datastoreItem xmlns:ds="http://schemas.openxmlformats.org/officeDocument/2006/customXml" ds:itemID="{E82B41F3-56FB-4850-B436-42B81271715E}">
  <ds:schemaRefs>
    <ds:schemaRef ds:uri="Microsoft.SharePoint.Taxonomy.ContentTypeSync"/>
  </ds:schemaRefs>
</ds:datastoreItem>
</file>

<file path=customXml/itemProps5.xml><?xml version="1.0" encoding="utf-8"?>
<ds:datastoreItem xmlns:ds="http://schemas.openxmlformats.org/officeDocument/2006/customXml" ds:itemID="{89E104FB-57A1-426D-929D-C1CA3D0233E1}">
  <ds:schemaRefs>
    <ds:schemaRef ds:uri="http://schemas.microsoft.com/sharepoint/events"/>
  </ds:schemaRefs>
</ds:datastoreItem>
</file>

<file path=customXml/itemProps6.xml><?xml version="1.0" encoding="utf-8"?>
<ds:datastoreItem xmlns:ds="http://schemas.openxmlformats.org/officeDocument/2006/customXml" ds:itemID="{85BBCFEA-3FA2-4BEB-849E-FD6D7D803A98}">
  <ds:schemaRefs>
    <ds:schemaRef ds:uri="http://schemas.microsoft.com/sharepoint/v3/contenttype/forms"/>
  </ds:schemaRefs>
</ds:datastoreItem>
</file>

<file path=customXml/itemProps7.xml><?xml version="1.0" encoding="utf-8"?>
<ds:datastoreItem xmlns:ds="http://schemas.openxmlformats.org/officeDocument/2006/customXml" ds:itemID="{50515B24-1359-4E4C-8924-2481D085F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2098</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Food Standards Australia New Zealand</Company>
  <LinksUpToDate>false</LinksUpToDate>
  <CharactersWithSpaces>14029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Ballantyne</dc:creator>
  <cp:keywords/>
  <dc:description/>
  <cp:lastModifiedBy>EALS, Andrew</cp:lastModifiedBy>
  <cp:revision>1</cp:revision>
  <dcterms:created xsi:type="dcterms:W3CDTF">2020-10-26T21:51:00Z</dcterms:created>
  <dcterms:modified xsi:type="dcterms:W3CDTF">2020-10-26T21:51:00Z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3469bbe2-c0e2-43ef-87e2-c03bb69eb403</vt:lpwstr>
  </property>
  <property fmtid="{D5CDD505-2E9C-101B-9397-08002B2CF9AE}" pid="3" name="bjSaver">
    <vt:lpwstr>ZTQsI2aYZkBlcPx5L3YU/oN19L6u/mEs</vt:lpwstr>
  </property>
  <property fmtid="{D5CDD505-2E9C-101B-9397-08002B2CF9AE}" pid="4" name="ContentTypeId">
    <vt:lpwstr>0x01010004C4C934AD08B647A78FCADD498BE3190200DC715F3DF02EAE48A09B359B9D315AA9</vt:lpwstr>
  </property>
  <property fmtid="{D5CDD505-2E9C-101B-9397-08002B2CF9AE}" pid="5" name="_dlc_DocIdItemGuid">
    <vt:lpwstr>27658830-83df-4042-ade4-78308bc68f96</vt:lpwstr>
  </property>
  <property fmtid="{D5CDD505-2E9C-101B-9397-08002B2CF9AE}" pid="6" name="DisposalClass">
    <vt:lpwstr/>
  </property>
  <property fmtid="{D5CDD505-2E9C-101B-9397-08002B2CF9AE}" pid="7" name="BCS_">
    <vt:lpwstr>118;#Advice|5c442904-ac11-4632-963b-bf76346270f9</vt:lpwstr>
  </property>
  <property fmtid="{D5CDD505-2E9C-101B-9397-08002B2CF9AE}" pid="8"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9" name="bjDocumentLabelXML-0">
    <vt:lpwstr>ames.com/2008/01/sie/internal/label"&gt;&lt;element uid="66ddac19-06c4-4e63-b4dd-d8240d87a23f" value="" /&gt;&lt;/sisl&gt;</vt:lpwstr>
  </property>
  <property fmtid="{D5CDD505-2E9C-101B-9397-08002B2CF9AE}" pid="10" name="bjDocumentSecurityLabel">
    <vt:lpwstr>NO SECURITY CLASSIFICATION REQUIRED</vt:lpwstr>
  </property>
  <property fmtid="{D5CDD505-2E9C-101B-9397-08002B2CF9AE}" pid="11" name="RecordPoint_WorkflowType">
    <vt:lpwstr>ActiveSubmitStub</vt:lpwstr>
  </property>
  <property fmtid="{D5CDD505-2E9C-101B-9397-08002B2CF9AE}" pid="12" name="RecordPoint_ActiveItemListId">
    <vt:lpwstr>{27967552-a13d-4399-ad36-186728c0ceed}</vt:lpwstr>
  </property>
  <property fmtid="{D5CDD505-2E9C-101B-9397-08002B2CF9AE}" pid="13" name="RecordPoint_ActiveItemUniqueId">
    <vt:lpwstr>{27658830-83df-4042-ade4-78308bc68f96}</vt:lpwstr>
  </property>
  <property fmtid="{D5CDD505-2E9C-101B-9397-08002B2CF9AE}" pid="14" name="RecordPoint_ActiveItemWebId">
    <vt:lpwstr>{6144d1ae-2242-4c64-aa1f-935e003bc715}</vt:lpwstr>
  </property>
  <property fmtid="{D5CDD505-2E9C-101B-9397-08002B2CF9AE}" pid="15" name="RecordPoint_ActiveItemSiteId">
    <vt:lpwstr>{e22a82e2-4c1a-4655-a504-e382e8b1a634}</vt:lpwstr>
  </property>
  <property fmtid="{D5CDD505-2E9C-101B-9397-08002B2CF9AE}" pid="16" name="RecordPoint_RecordNumberSubmitted">
    <vt:lpwstr>R0000127557</vt:lpwstr>
  </property>
  <property fmtid="{D5CDD505-2E9C-101B-9397-08002B2CF9AE}" pid="17" name="RecordPoint_SubmissionCompleted">
    <vt:lpwstr>2020-08-19T17:30:14.4904774+10:00</vt:lpwstr>
  </property>
</Properties>
</file>