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33" w:rsidRDefault="00B47733" w:rsidP="008A6D72">
      <w:pPr>
        <w:pStyle w:val="Title"/>
        <w:spacing w:line="240" w:lineRule="auto"/>
        <w:rPr>
          <w:rFonts w:ascii="Times New Roman" w:hAnsi="Times New Roman" w:cs="Times New Roman"/>
          <w:b w:val="0"/>
          <w:color w:val="000000" w:themeColor="text1"/>
          <w:sz w:val="32"/>
          <w:szCs w:val="32"/>
        </w:rPr>
      </w:pPr>
      <w:r w:rsidRPr="00A04BC7">
        <w:rPr>
          <w:rFonts w:ascii="Times New Roman" w:hAnsi="Times New Roman" w:cs="Times New Roman"/>
          <w:color w:val="000000" w:themeColor="text1"/>
          <w:sz w:val="32"/>
          <w:szCs w:val="32"/>
        </w:rPr>
        <w:t xml:space="preserve">HEALTH STAR RATING ‘AS PREPARED’ STAKEHOLDER </w:t>
      </w:r>
      <w:bookmarkStart w:id="0" w:name="_GoBack"/>
      <w:r w:rsidRPr="00A04BC7">
        <w:rPr>
          <w:rFonts w:ascii="Times New Roman" w:hAnsi="Times New Roman" w:cs="Times New Roman"/>
          <w:color w:val="000000" w:themeColor="text1"/>
          <w:sz w:val="32"/>
          <w:szCs w:val="32"/>
        </w:rPr>
        <w:t>WORKSHOP</w:t>
      </w:r>
    </w:p>
    <w:bookmarkEnd w:id="0"/>
    <w:p w:rsidR="008A6D72" w:rsidRPr="008A6D72" w:rsidRDefault="008A6D72" w:rsidP="008A6D72">
      <w:pPr>
        <w:spacing w:after="0" w:line="240" w:lineRule="auto"/>
        <w:rPr>
          <w:b/>
          <w:sz w:val="16"/>
          <w:szCs w:val="16"/>
          <w:lang w:val="en-AU"/>
        </w:rPr>
      </w:pPr>
    </w:p>
    <w:p w:rsidR="00B47733" w:rsidRDefault="00A92244" w:rsidP="008A6D72">
      <w:pPr>
        <w:pStyle w:val="Subtitle"/>
        <w:spacing w:line="240" w:lineRule="auto"/>
        <w:rPr>
          <w:rFonts w:ascii="Times New Roman" w:hAnsi="Times New Roman" w:cs="Times New Roman"/>
          <w:b w:val="0"/>
          <w:color w:val="000000" w:themeColor="text1"/>
          <w:szCs w:val="28"/>
        </w:rPr>
      </w:pPr>
      <w:r w:rsidRPr="00A04BC7">
        <w:rPr>
          <w:rFonts w:ascii="Times New Roman" w:hAnsi="Times New Roman" w:cs="Times New Roman"/>
          <w:color w:val="000000" w:themeColor="text1"/>
          <w:szCs w:val="28"/>
        </w:rPr>
        <w:t xml:space="preserve">Sydney 28 September </w:t>
      </w:r>
      <w:r w:rsidR="00B47733" w:rsidRPr="00A04BC7">
        <w:rPr>
          <w:rFonts w:ascii="Times New Roman" w:hAnsi="Times New Roman" w:cs="Times New Roman"/>
          <w:color w:val="000000" w:themeColor="text1"/>
          <w:szCs w:val="28"/>
        </w:rPr>
        <w:t>2017</w:t>
      </w:r>
    </w:p>
    <w:p w:rsidR="008A6D72" w:rsidRPr="008A6D72" w:rsidRDefault="008A6D72" w:rsidP="008A6D72">
      <w:pPr>
        <w:spacing w:after="0" w:line="240" w:lineRule="auto"/>
        <w:rPr>
          <w:b/>
          <w:sz w:val="16"/>
          <w:szCs w:val="16"/>
          <w:lang w:val="en-AU"/>
        </w:rPr>
      </w:pPr>
    </w:p>
    <w:p w:rsidR="00B47733" w:rsidRPr="00A04BC7" w:rsidRDefault="00B47733" w:rsidP="008A6D72">
      <w:pPr>
        <w:pStyle w:val="Subtitle"/>
        <w:spacing w:line="240" w:lineRule="auto"/>
        <w:rPr>
          <w:rFonts w:ascii="Times New Roman" w:hAnsi="Times New Roman" w:cs="Times New Roman"/>
          <w:color w:val="000000" w:themeColor="text1"/>
          <w:szCs w:val="28"/>
        </w:rPr>
      </w:pPr>
      <w:r w:rsidRPr="00A04BC7">
        <w:rPr>
          <w:rFonts w:ascii="Times New Roman" w:hAnsi="Times New Roman" w:cs="Times New Roman"/>
          <w:color w:val="000000" w:themeColor="text1"/>
          <w:szCs w:val="28"/>
        </w:rPr>
        <w:t xml:space="preserve">Industry, Public Health, Government and Consumer Stakeholders </w:t>
      </w:r>
    </w:p>
    <w:p w:rsidR="0064024B" w:rsidRPr="00A04BC7" w:rsidRDefault="00B47733" w:rsidP="008A6D72">
      <w:pPr>
        <w:pStyle w:val="Subtitle"/>
        <w:spacing w:line="240" w:lineRule="auto"/>
        <w:rPr>
          <w:rFonts w:ascii="Times New Roman" w:hAnsi="Times New Roman" w:cs="Times New Roman"/>
          <w:color w:val="000000" w:themeColor="text1"/>
          <w:szCs w:val="28"/>
        </w:rPr>
      </w:pPr>
      <w:r w:rsidRPr="00A04BC7">
        <w:rPr>
          <w:rFonts w:ascii="Times New Roman" w:hAnsi="Times New Roman" w:cs="Times New Roman"/>
          <w:color w:val="000000" w:themeColor="text1"/>
          <w:szCs w:val="28"/>
        </w:rPr>
        <w:t xml:space="preserve">(Attendees: </w:t>
      </w:r>
      <w:r w:rsidR="00A92244" w:rsidRPr="00A04BC7">
        <w:rPr>
          <w:rFonts w:ascii="Times New Roman" w:hAnsi="Times New Roman" w:cs="Times New Roman"/>
          <w:color w:val="000000" w:themeColor="text1"/>
          <w:szCs w:val="28"/>
        </w:rPr>
        <w:t>40</w:t>
      </w:r>
      <w:r w:rsidRPr="00A04BC7">
        <w:rPr>
          <w:rFonts w:ascii="Times New Roman" w:hAnsi="Times New Roman" w:cs="Times New Roman"/>
          <w:color w:val="000000" w:themeColor="text1"/>
          <w:szCs w:val="28"/>
        </w:rPr>
        <w:t>)</w:t>
      </w:r>
    </w:p>
    <w:p w:rsidR="00B47733" w:rsidRPr="00702504" w:rsidRDefault="00B47733" w:rsidP="003B1EDD">
      <w:pPr>
        <w:spacing w:before="240" w:after="0"/>
        <w:rPr>
          <w:rFonts w:ascii="Times New Roman" w:hAnsi="Times New Roman" w:cs="Times New Roman"/>
          <w:i/>
          <w:color w:val="000000" w:themeColor="text1"/>
          <w:sz w:val="24"/>
          <w:szCs w:val="24"/>
        </w:rPr>
      </w:pPr>
      <w:r w:rsidRPr="00702504">
        <w:rPr>
          <w:rFonts w:ascii="Times New Roman" w:hAnsi="Times New Roman" w:cs="Times New Roman"/>
          <w:i/>
          <w:color w:val="000000" w:themeColor="text1"/>
          <w:sz w:val="24"/>
          <w:szCs w:val="24"/>
        </w:rPr>
        <w:t xml:space="preserve">Stakeholders were </w:t>
      </w:r>
      <w:r w:rsidR="00036287" w:rsidRPr="00702504">
        <w:rPr>
          <w:rFonts w:ascii="Times New Roman" w:hAnsi="Times New Roman" w:cs="Times New Roman"/>
          <w:i/>
          <w:color w:val="000000" w:themeColor="text1"/>
          <w:sz w:val="24"/>
          <w:szCs w:val="24"/>
        </w:rPr>
        <w:t xml:space="preserve">given an overview of the objectives of the Health Star Rating (HSR) </w:t>
      </w:r>
      <w:r w:rsidR="003E569C" w:rsidRPr="00702504">
        <w:rPr>
          <w:rFonts w:ascii="Times New Roman" w:hAnsi="Times New Roman" w:cs="Times New Roman"/>
          <w:i/>
          <w:color w:val="000000" w:themeColor="text1"/>
          <w:sz w:val="24"/>
          <w:szCs w:val="24"/>
        </w:rPr>
        <w:t xml:space="preserve">system </w:t>
      </w:r>
      <w:r w:rsidR="00036287" w:rsidRPr="00702504">
        <w:rPr>
          <w:rFonts w:ascii="Times New Roman" w:hAnsi="Times New Roman" w:cs="Times New Roman"/>
          <w:i/>
          <w:color w:val="000000" w:themeColor="text1"/>
          <w:sz w:val="24"/>
          <w:szCs w:val="24"/>
        </w:rPr>
        <w:t xml:space="preserve">and the current rules for the form of the food </w:t>
      </w:r>
      <w:r w:rsidR="009171CE" w:rsidRPr="00702504">
        <w:rPr>
          <w:rFonts w:ascii="Times New Roman" w:hAnsi="Times New Roman" w:cs="Times New Roman"/>
          <w:i/>
          <w:color w:val="000000" w:themeColor="text1"/>
          <w:sz w:val="24"/>
          <w:szCs w:val="24"/>
        </w:rPr>
        <w:t>(</w:t>
      </w:r>
      <w:r w:rsidR="009171CE">
        <w:rPr>
          <w:rFonts w:ascii="Times New Roman" w:hAnsi="Times New Roman" w:cs="Times New Roman"/>
          <w:i/>
          <w:color w:val="000000" w:themeColor="text1"/>
          <w:sz w:val="24"/>
          <w:szCs w:val="24"/>
        </w:rPr>
        <w:t>‘a</w:t>
      </w:r>
      <w:r w:rsidR="009171CE" w:rsidRPr="00702504">
        <w:rPr>
          <w:rFonts w:ascii="Times New Roman" w:hAnsi="Times New Roman" w:cs="Times New Roman"/>
          <w:i/>
          <w:color w:val="000000" w:themeColor="text1"/>
          <w:sz w:val="24"/>
          <w:szCs w:val="24"/>
        </w:rPr>
        <w:t xml:space="preserve">s </w:t>
      </w:r>
      <w:r w:rsidR="009171CE">
        <w:rPr>
          <w:rFonts w:ascii="Times New Roman" w:hAnsi="Times New Roman" w:cs="Times New Roman"/>
          <w:i/>
          <w:color w:val="000000" w:themeColor="text1"/>
          <w:sz w:val="24"/>
          <w:szCs w:val="24"/>
        </w:rPr>
        <w:t>p</w:t>
      </w:r>
      <w:r w:rsidR="009171CE" w:rsidRPr="00702504">
        <w:rPr>
          <w:rFonts w:ascii="Times New Roman" w:hAnsi="Times New Roman" w:cs="Times New Roman"/>
          <w:i/>
          <w:color w:val="000000" w:themeColor="text1"/>
          <w:sz w:val="24"/>
          <w:szCs w:val="24"/>
        </w:rPr>
        <w:t>repared</w:t>
      </w:r>
      <w:r w:rsidR="009171CE">
        <w:rPr>
          <w:rFonts w:ascii="Times New Roman" w:hAnsi="Times New Roman" w:cs="Times New Roman"/>
          <w:i/>
          <w:color w:val="000000" w:themeColor="text1"/>
          <w:sz w:val="24"/>
          <w:szCs w:val="24"/>
        </w:rPr>
        <w:t>’</w:t>
      </w:r>
      <w:r w:rsidR="009171CE" w:rsidRPr="00702504">
        <w:rPr>
          <w:rFonts w:ascii="Times New Roman" w:hAnsi="Times New Roman" w:cs="Times New Roman"/>
          <w:i/>
          <w:color w:val="000000" w:themeColor="text1"/>
          <w:sz w:val="24"/>
          <w:szCs w:val="24"/>
        </w:rPr>
        <w:t xml:space="preserve"> rules) </w:t>
      </w:r>
      <w:r w:rsidR="00036287" w:rsidRPr="00702504">
        <w:rPr>
          <w:rFonts w:ascii="Times New Roman" w:hAnsi="Times New Roman" w:cs="Times New Roman"/>
          <w:i/>
          <w:color w:val="000000" w:themeColor="text1"/>
          <w:sz w:val="24"/>
          <w:szCs w:val="24"/>
        </w:rPr>
        <w:t>to be used in calculating the HSR</w:t>
      </w:r>
      <w:r w:rsidR="009171CE">
        <w:rPr>
          <w:rFonts w:ascii="Times New Roman" w:hAnsi="Times New Roman" w:cs="Times New Roman"/>
          <w:i/>
          <w:color w:val="000000" w:themeColor="text1"/>
          <w:sz w:val="24"/>
          <w:szCs w:val="24"/>
        </w:rPr>
        <w:t>.</w:t>
      </w:r>
      <w:r w:rsidR="00036287" w:rsidRPr="00702504">
        <w:rPr>
          <w:rFonts w:ascii="Times New Roman" w:hAnsi="Times New Roman" w:cs="Times New Roman"/>
          <w:i/>
          <w:color w:val="000000" w:themeColor="text1"/>
          <w:sz w:val="24"/>
          <w:szCs w:val="24"/>
        </w:rPr>
        <w:t xml:space="preserve"> A discussion paper outlining the issues </w:t>
      </w:r>
      <w:r w:rsidR="001D6BF2" w:rsidRPr="00702504">
        <w:rPr>
          <w:rFonts w:ascii="Times New Roman" w:hAnsi="Times New Roman" w:cs="Times New Roman"/>
          <w:i/>
          <w:color w:val="000000" w:themeColor="text1"/>
          <w:sz w:val="24"/>
          <w:szCs w:val="24"/>
        </w:rPr>
        <w:t xml:space="preserve">was provided </w:t>
      </w:r>
      <w:r w:rsidR="00036287" w:rsidRPr="00702504">
        <w:rPr>
          <w:rFonts w:ascii="Times New Roman" w:hAnsi="Times New Roman" w:cs="Times New Roman"/>
          <w:i/>
          <w:color w:val="000000" w:themeColor="text1"/>
          <w:sz w:val="24"/>
          <w:szCs w:val="24"/>
        </w:rPr>
        <w:t xml:space="preserve">to participants prior to the workshop. </w:t>
      </w:r>
      <w:r w:rsidR="009171CE">
        <w:rPr>
          <w:rFonts w:ascii="Times New Roman" w:hAnsi="Times New Roman" w:cs="Times New Roman"/>
          <w:i/>
          <w:color w:val="000000" w:themeColor="text1"/>
          <w:sz w:val="24"/>
          <w:szCs w:val="24"/>
        </w:rPr>
        <w:t xml:space="preserve">Participants </w:t>
      </w:r>
      <w:r w:rsidR="00036287" w:rsidRPr="00702504">
        <w:rPr>
          <w:rFonts w:ascii="Times New Roman" w:hAnsi="Times New Roman" w:cs="Times New Roman"/>
          <w:i/>
          <w:color w:val="000000" w:themeColor="text1"/>
          <w:sz w:val="24"/>
          <w:szCs w:val="24"/>
        </w:rPr>
        <w:t xml:space="preserve">were then </w:t>
      </w:r>
      <w:r w:rsidRPr="00702504">
        <w:rPr>
          <w:rFonts w:ascii="Times New Roman" w:hAnsi="Times New Roman" w:cs="Times New Roman"/>
          <w:i/>
          <w:color w:val="000000" w:themeColor="text1"/>
          <w:sz w:val="24"/>
          <w:szCs w:val="24"/>
        </w:rPr>
        <w:t>asked to consider four options</w:t>
      </w:r>
      <w:r w:rsidR="003C74FC" w:rsidRPr="00702504">
        <w:rPr>
          <w:rFonts w:ascii="Times New Roman" w:hAnsi="Times New Roman" w:cs="Times New Roman"/>
          <w:i/>
          <w:color w:val="000000" w:themeColor="text1"/>
          <w:sz w:val="24"/>
          <w:szCs w:val="24"/>
        </w:rPr>
        <w:t xml:space="preserve"> for the </w:t>
      </w:r>
      <w:r w:rsidR="008B2C40">
        <w:rPr>
          <w:rFonts w:ascii="Times New Roman" w:hAnsi="Times New Roman" w:cs="Times New Roman"/>
          <w:i/>
          <w:color w:val="000000" w:themeColor="text1"/>
          <w:sz w:val="24"/>
          <w:szCs w:val="24"/>
        </w:rPr>
        <w:t>‘a</w:t>
      </w:r>
      <w:r w:rsidR="003C74FC" w:rsidRPr="00702504">
        <w:rPr>
          <w:rFonts w:ascii="Times New Roman" w:hAnsi="Times New Roman" w:cs="Times New Roman"/>
          <w:i/>
          <w:color w:val="000000" w:themeColor="text1"/>
          <w:sz w:val="24"/>
          <w:szCs w:val="24"/>
        </w:rPr>
        <w:t xml:space="preserve">s </w:t>
      </w:r>
      <w:r w:rsidR="008B2C40">
        <w:rPr>
          <w:rFonts w:ascii="Times New Roman" w:hAnsi="Times New Roman" w:cs="Times New Roman"/>
          <w:i/>
          <w:color w:val="000000" w:themeColor="text1"/>
          <w:sz w:val="24"/>
          <w:szCs w:val="24"/>
        </w:rPr>
        <w:t>p</w:t>
      </w:r>
      <w:r w:rsidR="003C74FC" w:rsidRPr="00702504">
        <w:rPr>
          <w:rFonts w:ascii="Times New Roman" w:hAnsi="Times New Roman" w:cs="Times New Roman"/>
          <w:i/>
          <w:color w:val="000000" w:themeColor="text1"/>
          <w:sz w:val="24"/>
          <w:szCs w:val="24"/>
        </w:rPr>
        <w:t>repar</w:t>
      </w:r>
      <w:r w:rsidR="00685ABE" w:rsidRPr="00702504">
        <w:rPr>
          <w:rFonts w:ascii="Times New Roman" w:hAnsi="Times New Roman" w:cs="Times New Roman"/>
          <w:i/>
          <w:color w:val="000000" w:themeColor="text1"/>
          <w:sz w:val="24"/>
          <w:szCs w:val="24"/>
        </w:rPr>
        <w:t>ed</w:t>
      </w:r>
      <w:r w:rsidR="008B2C40">
        <w:rPr>
          <w:rFonts w:ascii="Times New Roman" w:hAnsi="Times New Roman" w:cs="Times New Roman"/>
          <w:i/>
          <w:color w:val="000000" w:themeColor="text1"/>
          <w:sz w:val="24"/>
          <w:szCs w:val="24"/>
        </w:rPr>
        <w:t>’</w:t>
      </w:r>
      <w:r w:rsidR="003C74FC" w:rsidRPr="00702504">
        <w:rPr>
          <w:rFonts w:ascii="Times New Roman" w:hAnsi="Times New Roman" w:cs="Times New Roman"/>
          <w:i/>
          <w:color w:val="000000" w:themeColor="text1"/>
          <w:sz w:val="24"/>
          <w:szCs w:val="24"/>
        </w:rPr>
        <w:t xml:space="preserve"> rules</w:t>
      </w:r>
      <w:r w:rsidRPr="00702504">
        <w:rPr>
          <w:rFonts w:ascii="Times New Roman" w:hAnsi="Times New Roman" w:cs="Times New Roman"/>
          <w:i/>
          <w:color w:val="000000" w:themeColor="text1"/>
          <w:sz w:val="24"/>
          <w:szCs w:val="24"/>
        </w:rPr>
        <w:t xml:space="preserve"> </w:t>
      </w:r>
      <w:r w:rsidR="00801600" w:rsidRPr="00702504">
        <w:rPr>
          <w:rFonts w:ascii="Times New Roman" w:hAnsi="Times New Roman" w:cs="Times New Roman"/>
          <w:i/>
          <w:color w:val="000000" w:themeColor="text1"/>
          <w:sz w:val="24"/>
          <w:szCs w:val="24"/>
        </w:rPr>
        <w:t xml:space="preserve">as </w:t>
      </w:r>
      <w:r w:rsidR="003C74FC" w:rsidRPr="00702504">
        <w:rPr>
          <w:rFonts w:ascii="Times New Roman" w:hAnsi="Times New Roman" w:cs="Times New Roman"/>
          <w:i/>
          <w:color w:val="000000" w:themeColor="text1"/>
          <w:sz w:val="24"/>
          <w:szCs w:val="24"/>
        </w:rPr>
        <w:t>detailed</w:t>
      </w:r>
      <w:r w:rsidRPr="00702504">
        <w:rPr>
          <w:rFonts w:ascii="Times New Roman" w:hAnsi="Times New Roman" w:cs="Times New Roman"/>
          <w:i/>
          <w:color w:val="000000" w:themeColor="text1"/>
          <w:sz w:val="24"/>
          <w:szCs w:val="24"/>
        </w:rPr>
        <w:t xml:space="preserve"> in the discussion paper</w:t>
      </w:r>
      <w:r w:rsidR="001D6BF2" w:rsidRPr="00702504">
        <w:rPr>
          <w:rFonts w:ascii="Times New Roman" w:hAnsi="Times New Roman" w:cs="Times New Roman"/>
          <w:i/>
          <w:color w:val="000000" w:themeColor="text1"/>
          <w:sz w:val="24"/>
          <w:szCs w:val="24"/>
        </w:rPr>
        <w:t>:</w:t>
      </w:r>
      <w:r w:rsidR="003E569C" w:rsidRPr="00702504">
        <w:rPr>
          <w:rFonts w:ascii="Times New Roman" w:hAnsi="Times New Roman" w:cs="Times New Roman"/>
          <w:i/>
          <w:color w:val="000000" w:themeColor="text1"/>
          <w:sz w:val="24"/>
          <w:szCs w:val="24"/>
        </w:rPr>
        <w:t xml:space="preserve"> 1) </w:t>
      </w:r>
      <w:r w:rsidR="001A5E42" w:rsidRPr="00702504">
        <w:rPr>
          <w:rFonts w:ascii="Times New Roman" w:hAnsi="Times New Roman" w:cs="Times New Roman"/>
          <w:i/>
          <w:color w:val="000000" w:themeColor="text1"/>
          <w:sz w:val="24"/>
          <w:szCs w:val="24"/>
        </w:rPr>
        <w:t>status quo, 2) </w:t>
      </w:r>
      <w:r w:rsidR="001C29FB">
        <w:rPr>
          <w:rFonts w:ascii="Times New Roman" w:hAnsi="Times New Roman" w:cs="Times New Roman"/>
          <w:i/>
          <w:color w:val="000000" w:themeColor="text1"/>
          <w:sz w:val="24"/>
          <w:szCs w:val="24"/>
        </w:rPr>
        <w:t>‘a</w:t>
      </w:r>
      <w:r w:rsidR="003C74FC" w:rsidRPr="00702504">
        <w:rPr>
          <w:rFonts w:ascii="Times New Roman" w:hAnsi="Times New Roman" w:cs="Times New Roman"/>
          <w:i/>
          <w:color w:val="000000" w:themeColor="text1"/>
          <w:sz w:val="24"/>
          <w:szCs w:val="24"/>
        </w:rPr>
        <w:t xml:space="preserve">s </w:t>
      </w:r>
      <w:r w:rsidR="001C29FB">
        <w:rPr>
          <w:rFonts w:ascii="Times New Roman" w:hAnsi="Times New Roman" w:cs="Times New Roman"/>
          <w:i/>
          <w:color w:val="000000" w:themeColor="text1"/>
          <w:sz w:val="24"/>
          <w:szCs w:val="24"/>
        </w:rPr>
        <w:t>s</w:t>
      </w:r>
      <w:r w:rsidR="001A5E42" w:rsidRPr="00702504">
        <w:rPr>
          <w:rFonts w:ascii="Times New Roman" w:hAnsi="Times New Roman" w:cs="Times New Roman"/>
          <w:i/>
          <w:color w:val="000000" w:themeColor="text1"/>
          <w:sz w:val="24"/>
          <w:szCs w:val="24"/>
        </w:rPr>
        <w:t>old</w:t>
      </w:r>
      <w:r w:rsidR="001C29FB">
        <w:rPr>
          <w:rFonts w:ascii="Times New Roman" w:hAnsi="Times New Roman" w:cs="Times New Roman"/>
          <w:i/>
          <w:color w:val="000000" w:themeColor="text1"/>
          <w:sz w:val="24"/>
          <w:szCs w:val="24"/>
        </w:rPr>
        <w:t>’</w:t>
      </w:r>
      <w:r w:rsidR="001A5E42" w:rsidRPr="00702504">
        <w:rPr>
          <w:rFonts w:ascii="Times New Roman" w:hAnsi="Times New Roman" w:cs="Times New Roman"/>
          <w:i/>
          <w:color w:val="000000" w:themeColor="text1"/>
          <w:sz w:val="24"/>
          <w:szCs w:val="24"/>
        </w:rPr>
        <w:t xml:space="preserve"> only, 3) </w:t>
      </w:r>
      <w:r w:rsidR="00FC3FE6" w:rsidRPr="00702504">
        <w:rPr>
          <w:rFonts w:ascii="Times New Roman" w:hAnsi="Times New Roman" w:cs="Times New Roman"/>
          <w:i/>
          <w:color w:val="000000" w:themeColor="text1"/>
          <w:sz w:val="24"/>
          <w:szCs w:val="24"/>
        </w:rPr>
        <w:t>multiple HSR</w:t>
      </w:r>
      <w:r w:rsidR="003C74FC" w:rsidRPr="00702504">
        <w:rPr>
          <w:rFonts w:ascii="Times New Roman" w:hAnsi="Times New Roman" w:cs="Times New Roman"/>
          <w:i/>
          <w:color w:val="000000" w:themeColor="text1"/>
          <w:sz w:val="24"/>
          <w:szCs w:val="24"/>
        </w:rPr>
        <w:t>s on pack</w:t>
      </w:r>
      <w:r w:rsidR="003E569C" w:rsidRPr="00702504">
        <w:rPr>
          <w:rFonts w:ascii="Times New Roman" w:hAnsi="Times New Roman" w:cs="Times New Roman"/>
          <w:i/>
          <w:color w:val="000000" w:themeColor="text1"/>
          <w:sz w:val="24"/>
          <w:szCs w:val="24"/>
        </w:rPr>
        <w:t>,</w:t>
      </w:r>
      <w:r w:rsidR="001A5E42" w:rsidRPr="00702504">
        <w:rPr>
          <w:rFonts w:ascii="Times New Roman" w:hAnsi="Times New Roman" w:cs="Times New Roman"/>
          <w:i/>
          <w:color w:val="000000" w:themeColor="text1"/>
          <w:sz w:val="24"/>
          <w:szCs w:val="24"/>
        </w:rPr>
        <w:t xml:space="preserve"> and 4) </w:t>
      </w:r>
      <w:r w:rsidR="001C29FB">
        <w:rPr>
          <w:rFonts w:ascii="Times New Roman" w:hAnsi="Times New Roman" w:cs="Times New Roman"/>
          <w:i/>
          <w:color w:val="000000" w:themeColor="text1"/>
          <w:sz w:val="24"/>
          <w:szCs w:val="24"/>
        </w:rPr>
        <w:t>‘a</w:t>
      </w:r>
      <w:r w:rsidR="003C74FC" w:rsidRPr="00702504">
        <w:rPr>
          <w:rFonts w:ascii="Times New Roman" w:hAnsi="Times New Roman" w:cs="Times New Roman"/>
          <w:i/>
          <w:color w:val="000000" w:themeColor="text1"/>
          <w:sz w:val="24"/>
          <w:szCs w:val="24"/>
        </w:rPr>
        <w:t xml:space="preserve">s </w:t>
      </w:r>
      <w:r w:rsidR="001C29FB">
        <w:rPr>
          <w:rFonts w:ascii="Times New Roman" w:hAnsi="Times New Roman" w:cs="Times New Roman"/>
          <w:i/>
          <w:color w:val="000000" w:themeColor="text1"/>
          <w:sz w:val="24"/>
          <w:szCs w:val="24"/>
        </w:rPr>
        <w:t>s</w:t>
      </w:r>
      <w:r w:rsidR="00685ABE" w:rsidRPr="00702504">
        <w:rPr>
          <w:rFonts w:ascii="Times New Roman" w:hAnsi="Times New Roman" w:cs="Times New Roman"/>
          <w:i/>
          <w:color w:val="000000" w:themeColor="text1"/>
          <w:sz w:val="24"/>
          <w:szCs w:val="24"/>
        </w:rPr>
        <w:t>old</w:t>
      </w:r>
      <w:r w:rsidR="001C29FB">
        <w:rPr>
          <w:rFonts w:ascii="Times New Roman" w:hAnsi="Times New Roman" w:cs="Times New Roman"/>
          <w:i/>
          <w:color w:val="000000" w:themeColor="text1"/>
          <w:sz w:val="24"/>
          <w:szCs w:val="24"/>
        </w:rPr>
        <w:t>’</w:t>
      </w:r>
      <w:r w:rsidR="003C74FC" w:rsidRPr="00702504">
        <w:rPr>
          <w:rFonts w:ascii="Times New Roman" w:hAnsi="Times New Roman" w:cs="Times New Roman"/>
          <w:i/>
          <w:color w:val="000000" w:themeColor="text1"/>
          <w:sz w:val="24"/>
          <w:szCs w:val="24"/>
        </w:rPr>
        <w:t xml:space="preserve"> with exemptions. The attendees were </w:t>
      </w:r>
      <w:r w:rsidR="009171CE">
        <w:rPr>
          <w:rFonts w:ascii="Times New Roman" w:hAnsi="Times New Roman" w:cs="Times New Roman"/>
          <w:i/>
          <w:color w:val="000000" w:themeColor="text1"/>
          <w:sz w:val="24"/>
          <w:szCs w:val="24"/>
        </w:rPr>
        <w:t xml:space="preserve">asked </w:t>
      </w:r>
      <w:r w:rsidR="0064024B" w:rsidRPr="00702504">
        <w:rPr>
          <w:rFonts w:ascii="Times New Roman" w:hAnsi="Times New Roman" w:cs="Times New Roman"/>
          <w:i/>
          <w:color w:val="000000" w:themeColor="text1"/>
          <w:sz w:val="24"/>
          <w:szCs w:val="24"/>
        </w:rPr>
        <w:t>to consider the pros and cons of each option and assign an overall star rating</w:t>
      </w:r>
      <w:r w:rsidR="00833319" w:rsidRPr="00702504">
        <w:rPr>
          <w:rFonts w:ascii="Times New Roman" w:hAnsi="Times New Roman" w:cs="Times New Roman"/>
          <w:i/>
          <w:color w:val="000000" w:themeColor="text1"/>
          <w:sz w:val="24"/>
          <w:szCs w:val="24"/>
        </w:rPr>
        <w:t xml:space="preserve"> based on how successful they considered each option would be</w:t>
      </w:r>
      <w:r w:rsidR="003C74FC" w:rsidRPr="00702504">
        <w:rPr>
          <w:rFonts w:ascii="Times New Roman" w:hAnsi="Times New Roman" w:cs="Times New Roman"/>
          <w:i/>
          <w:color w:val="000000" w:themeColor="text1"/>
          <w:sz w:val="24"/>
          <w:szCs w:val="24"/>
        </w:rPr>
        <w:t xml:space="preserve">. </w:t>
      </w:r>
      <w:r w:rsidR="00F26322" w:rsidRPr="00702504">
        <w:rPr>
          <w:rFonts w:ascii="Times New Roman" w:hAnsi="Times New Roman" w:cs="Times New Roman"/>
          <w:i/>
          <w:color w:val="000000" w:themeColor="text1"/>
          <w:sz w:val="24"/>
          <w:szCs w:val="24"/>
        </w:rPr>
        <w:t xml:space="preserve">The </w:t>
      </w:r>
      <w:r w:rsidR="00833319" w:rsidRPr="00702504">
        <w:rPr>
          <w:rFonts w:ascii="Times New Roman" w:hAnsi="Times New Roman" w:cs="Times New Roman"/>
          <w:i/>
          <w:color w:val="000000" w:themeColor="text1"/>
          <w:sz w:val="24"/>
          <w:szCs w:val="24"/>
        </w:rPr>
        <w:t xml:space="preserve">individual </w:t>
      </w:r>
      <w:r w:rsidR="009171CE">
        <w:rPr>
          <w:rFonts w:ascii="Times New Roman" w:hAnsi="Times New Roman" w:cs="Times New Roman"/>
          <w:i/>
          <w:color w:val="000000" w:themeColor="text1"/>
          <w:sz w:val="24"/>
          <w:szCs w:val="24"/>
        </w:rPr>
        <w:t>group</w:t>
      </w:r>
      <w:r w:rsidR="0064024B" w:rsidRPr="00702504">
        <w:rPr>
          <w:rFonts w:ascii="Times New Roman" w:hAnsi="Times New Roman" w:cs="Times New Roman"/>
          <w:i/>
          <w:color w:val="000000" w:themeColor="text1"/>
          <w:sz w:val="24"/>
          <w:szCs w:val="24"/>
        </w:rPr>
        <w:t>s then</w:t>
      </w:r>
      <w:r w:rsidR="009E559D" w:rsidRPr="00702504">
        <w:rPr>
          <w:rFonts w:ascii="Times New Roman" w:hAnsi="Times New Roman" w:cs="Times New Roman"/>
          <w:i/>
          <w:color w:val="000000" w:themeColor="text1"/>
          <w:sz w:val="24"/>
          <w:szCs w:val="24"/>
        </w:rPr>
        <w:t xml:space="preserve"> provided</w:t>
      </w:r>
      <w:r w:rsidR="0064024B" w:rsidRPr="00702504">
        <w:rPr>
          <w:rFonts w:ascii="Times New Roman" w:hAnsi="Times New Roman" w:cs="Times New Roman"/>
          <w:i/>
          <w:color w:val="000000" w:themeColor="text1"/>
          <w:sz w:val="24"/>
          <w:szCs w:val="24"/>
        </w:rPr>
        <w:t xml:space="preserve"> </w:t>
      </w:r>
      <w:r w:rsidR="00393C35" w:rsidRPr="00702504">
        <w:rPr>
          <w:rFonts w:ascii="Times New Roman" w:hAnsi="Times New Roman" w:cs="Times New Roman"/>
          <w:i/>
          <w:color w:val="000000" w:themeColor="text1"/>
          <w:sz w:val="24"/>
          <w:szCs w:val="24"/>
        </w:rPr>
        <w:t>feedback</w:t>
      </w:r>
      <w:r w:rsidR="0064024B" w:rsidRPr="00702504">
        <w:rPr>
          <w:rFonts w:ascii="Times New Roman" w:hAnsi="Times New Roman" w:cs="Times New Roman"/>
          <w:i/>
          <w:color w:val="000000" w:themeColor="text1"/>
          <w:sz w:val="24"/>
          <w:szCs w:val="24"/>
        </w:rPr>
        <w:t xml:space="preserve"> and </w:t>
      </w:r>
      <w:r w:rsidR="00036287" w:rsidRPr="00702504">
        <w:rPr>
          <w:rFonts w:ascii="Times New Roman" w:hAnsi="Times New Roman" w:cs="Times New Roman"/>
          <w:i/>
          <w:color w:val="000000" w:themeColor="text1"/>
          <w:sz w:val="24"/>
          <w:szCs w:val="24"/>
        </w:rPr>
        <w:t xml:space="preserve">each option was </w:t>
      </w:r>
      <w:r w:rsidR="0064024B" w:rsidRPr="00702504">
        <w:rPr>
          <w:rFonts w:ascii="Times New Roman" w:hAnsi="Times New Roman" w:cs="Times New Roman"/>
          <w:i/>
          <w:color w:val="000000" w:themeColor="text1"/>
          <w:sz w:val="24"/>
          <w:szCs w:val="24"/>
        </w:rPr>
        <w:t xml:space="preserve">discussed </w:t>
      </w:r>
      <w:r w:rsidR="009E559D" w:rsidRPr="00702504">
        <w:rPr>
          <w:rFonts w:ascii="Times New Roman" w:hAnsi="Times New Roman" w:cs="Times New Roman"/>
          <w:i/>
          <w:color w:val="000000" w:themeColor="text1"/>
          <w:sz w:val="24"/>
          <w:szCs w:val="24"/>
        </w:rPr>
        <w:t>in</w:t>
      </w:r>
      <w:r w:rsidR="00833319" w:rsidRPr="00702504">
        <w:rPr>
          <w:rFonts w:ascii="Times New Roman" w:hAnsi="Times New Roman" w:cs="Times New Roman"/>
          <w:i/>
          <w:color w:val="000000" w:themeColor="text1"/>
          <w:sz w:val="24"/>
          <w:szCs w:val="24"/>
        </w:rPr>
        <w:t xml:space="preserve"> a larger group</w:t>
      </w:r>
      <w:r w:rsidR="005456B0" w:rsidRPr="00702504">
        <w:rPr>
          <w:rFonts w:ascii="Times New Roman" w:hAnsi="Times New Roman" w:cs="Times New Roman"/>
          <w:i/>
          <w:color w:val="000000" w:themeColor="text1"/>
          <w:sz w:val="24"/>
          <w:szCs w:val="24"/>
        </w:rPr>
        <w:t>.</w:t>
      </w:r>
    </w:p>
    <w:p w:rsidR="00A04BC7" w:rsidRPr="00702504" w:rsidRDefault="00A04BC7" w:rsidP="001F429D">
      <w:pPr>
        <w:keepNext/>
        <w:spacing w:after="0" w:line="240" w:lineRule="auto"/>
        <w:rPr>
          <w:rFonts w:ascii="Times New Roman" w:hAnsi="Times New Roman" w:cs="Times New Roman"/>
          <w:i/>
          <w:color w:val="000000" w:themeColor="text1"/>
          <w:sz w:val="24"/>
          <w:szCs w:val="24"/>
        </w:rPr>
      </w:pPr>
    </w:p>
    <w:p w:rsidR="00922973" w:rsidRDefault="00FE0271" w:rsidP="00FE0271">
      <w:pPr>
        <w:keepNext/>
        <w:spacing w:after="0" w:line="240" w:lineRule="auto"/>
        <w:jc w:val="center"/>
        <w:rPr>
          <w:rFonts w:ascii="Times New Roman" w:hAnsi="Times New Roman" w:cs="Times New Roman"/>
          <w:color w:val="000000" w:themeColor="text1"/>
          <w:sz w:val="24"/>
          <w:szCs w:val="24"/>
        </w:rPr>
      </w:pPr>
      <w:r>
        <w:rPr>
          <w:noProof/>
          <w:lang w:val="en-AU" w:eastAsia="en-AU"/>
        </w:rPr>
        <w:drawing>
          <wp:inline distT="0" distB="0" distL="0" distR="0" wp14:anchorId="47F34D55" wp14:editId="4EFA6A23">
            <wp:extent cx="4286250" cy="2676525"/>
            <wp:effectExtent l="0" t="0" r="0" b="9525"/>
            <wp:docPr id="1" name="Picture 1" descr="Ratings by number of stars - 0 to 5 - for ea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6250" cy="2676525"/>
                    </a:xfrm>
                    <a:prstGeom prst="rect">
                      <a:avLst/>
                    </a:prstGeom>
                  </pic:spPr>
                </pic:pic>
              </a:graphicData>
            </a:graphic>
          </wp:inline>
        </w:drawing>
      </w:r>
    </w:p>
    <w:p w:rsidR="00922973" w:rsidRDefault="00922973" w:rsidP="001F429D">
      <w:pPr>
        <w:keepNext/>
        <w:spacing w:after="0" w:line="240" w:lineRule="auto"/>
        <w:rPr>
          <w:rFonts w:ascii="Times New Roman" w:hAnsi="Times New Roman" w:cs="Times New Roman"/>
          <w:color w:val="000000" w:themeColor="text1"/>
          <w:sz w:val="24"/>
          <w:szCs w:val="24"/>
        </w:rPr>
      </w:pPr>
    </w:p>
    <w:p w:rsidR="00922973" w:rsidRPr="00922973" w:rsidRDefault="00FE0271" w:rsidP="002E470F">
      <w:pPr>
        <w:keepNext/>
        <w:spacing w:after="0" w:line="240" w:lineRule="auto"/>
        <w:jc w:val="center"/>
        <w:rPr>
          <w:rFonts w:ascii="Times New Roman" w:hAnsi="Times New Roman" w:cs="Times New Roman"/>
          <w:color w:val="000000" w:themeColor="text1"/>
          <w:sz w:val="24"/>
          <w:szCs w:val="24"/>
        </w:rPr>
      </w:pPr>
      <w:r>
        <w:rPr>
          <w:noProof/>
          <w:lang w:val="en-AU" w:eastAsia="en-AU"/>
        </w:rPr>
        <w:drawing>
          <wp:inline distT="0" distB="0" distL="0" distR="0" wp14:anchorId="1F3FA00B" wp14:editId="729A28E2">
            <wp:extent cx="4333875" cy="2466975"/>
            <wp:effectExtent l="0" t="0" r="9525" b="9525"/>
            <wp:docPr id="2" name="Picture 2" descr="Ranking by number of stars - 0 to 5 - for ea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33875" cy="2466975"/>
                    </a:xfrm>
                    <a:prstGeom prst="rect">
                      <a:avLst/>
                    </a:prstGeom>
                  </pic:spPr>
                </pic:pic>
              </a:graphicData>
            </a:graphic>
          </wp:inline>
        </w:drawing>
      </w:r>
    </w:p>
    <w:p w:rsidR="00356356" w:rsidRDefault="0035635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C3EB4" w:rsidRPr="00922973" w:rsidRDefault="00956CA0" w:rsidP="00FE0271">
      <w:pPr>
        <w:pStyle w:val="Heading2"/>
      </w:pPr>
      <w:r w:rsidRPr="00922973">
        <w:lastRenderedPageBreak/>
        <w:t>Key messages</w:t>
      </w:r>
    </w:p>
    <w:p w:rsidR="00956CA0" w:rsidRDefault="00956CA0" w:rsidP="003B1EDD">
      <w:pPr>
        <w:spacing w:after="120" w:line="240" w:lineRule="auto"/>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The outcomes of the workshop are not a consensus statement</w:t>
      </w:r>
      <w:r w:rsidR="00036287" w:rsidRPr="00A04BC7">
        <w:rPr>
          <w:rFonts w:ascii="Times New Roman" w:hAnsi="Times New Roman" w:cs="Times New Roman"/>
          <w:color w:val="000000" w:themeColor="text1"/>
          <w:sz w:val="24"/>
          <w:szCs w:val="24"/>
        </w:rPr>
        <w:t>. T</w:t>
      </w:r>
      <w:r w:rsidRPr="00A04BC7">
        <w:rPr>
          <w:rFonts w:ascii="Times New Roman" w:hAnsi="Times New Roman" w:cs="Times New Roman"/>
          <w:color w:val="000000" w:themeColor="text1"/>
          <w:sz w:val="24"/>
          <w:szCs w:val="24"/>
        </w:rPr>
        <w:t xml:space="preserve">he </w:t>
      </w:r>
      <w:r w:rsidR="009171CE">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messages</w:t>
      </w:r>
      <w:r w:rsidR="009171CE">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described below reflect the main themes and views of attendees in general.</w:t>
      </w:r>
      <w:r w:rsidR="00BF2C57" w:rsidRPr="00A04BC7">
        <w:rPr>
          <w:rFonts w:ascii="Times New Roman" w:hAnsi="Times New Roman" w:cs="Times New Roman"/>
          <w:color w:val="000000" w:themeColor="text1"/>
          <w:sz w:val="24"/>
          <w:szCs w:val="24"/>
        </w:rPr>
        <w:t xml:space="preserve"> Overall there was good</w:t>
      </w:r>
      <w:r w:rsidR="00036287" w:rsidRPr="00A04BC7">
        <w:rPr>
          <w:rFonts w:ascii="Times New Roman" w:hAnsi="Times New Roman" w:cs="Times New Roman"/>
          <w:color w:val="000000" w:themeColor="text1"/>
          <w:sz w:val="24"/>
          <w:szCs w:val="24"/>
        </w:rPr>
        <w:t>,</w:t>
      </w:r>
      <w:r w:rsidR="00BF2C57" w:rsidRPr="00A04BC7">
        <w:rPr>
          <w:rFonts w:ascii="Times New Roman" w:hAnsi="Times New Roman" w:cs="Times New Roman"/>
          <w:color w:val="000000" w:themeColor="text1"/>
          <w:sz w:val="24"/>
          <w:szCs w:val="24"/>
        </w:rPr>
        <w:t xml:space="preserve"> robust discussion and stakeholders </w:t>
      </w:r>
      <w:r w:rsidR="009171CE">
        <w:rPr>
          <w:rFonts w:ascii="Times New Roman" w:hAnsi="Times New Roman" w:cs="Times New Roman"/>
          <w:color w:val="000000" w:themeColor="text1"/>
          <w:sz w:val="24"/>
          <w:szCs w:val="24"/>
        </w:rPr>
        <w:t xml:space="preserve">tried to </w:t>
      </w:r>
      <w:r w:rsidR="00BF2C57" w:rsidRPr="00A04BC7">
        <w:rPr>
          <w:rFonts w:ascii="Times New Roman" w:hAnsi="Times New Roman" w:cs="Times New Roman"/>
          <w:color w:val="000000" w:themeColor="text1"/>
          <w:sz w:val="24"/>
          <w:szCs w:val="24"/>
        </w:rPr>
        <w:t>work together</w:t>
      </w:r>
      <w:r w:rsidR="001C7200" w:rsidRPr="00A04BC7">
        <w:rPr>
          <w:rFonts w:ascii="Times New Roman" w:hAnsi="Times New Roman" w:cs="Times New Roman"/>
          <w:color w:val="000000" w:themeColor="text1"/>
          <w:sz w:val="24"/>
          <w:szCs w:val="24"/>
        </w:rPr>
        <w:t xml:space="preserve"> to find a ‘best fit’ solution.</w:t>
      </w:r>
    </w:p>
    <w:p w:rsidR="00DE4B22" w:rsidRPr="00A04BC7" w:rsidRDefault="00DE4B22" w:rsidP="00DE4B22">
      <w:pPr>
        <w:pStyle w:val="ListParagraph"/>
        <w:numPr>
          <w:ilvl w:val="0"/>
          <w:numId w:val="2"/>
        </w:numPr>
        <w:spacing w:after="120" w:line="240" w:lineRule="auto"/>
        <w:contextualSpacing w:val="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Stakeholders’ preferences were fairly even</w:t>
      </w:r>
      <w:r w:rsidR="0091232D">
        <w:rPr>
          <w:rFonts w:ascii="Times New Roman" w:hAnsi="Times New Roman" w:cs="Times New Roman"/>
          <w:color w:val="000000" w:themeColor="text1"/>
          <w:sz w:val="24"/>
          <w:szCs w:val="24"/>
        </w:rPr>
        <w:t>ly</w:t>
      </w:r>
      <w:r>
        <w:rPr>
          <w:rFonts w:ascii="Times New Roman" w:hAnsi="Times New Roman" w:cs="Times New Roman"/>
          <w:color w:val="000000" w:themeColor="text1"/>
          <w:sz w:val="24"/>
          <w:szCs w:val="24"/>
        </w:rPr>
        <w:t xml:space="preserve"> split between options one, two and four</w:t>
      </w:r>
      <w:r w:rsidR="009171CE">
        <w:rPr>
          <w:rFonts w:ascii="Times New Roman" w:hAnsi="Times New Roman" w:cs="Times New Roman"/>
          <w:color w:val="000000" w:themeColor="text1"/>
          <w:sz w:val="24"/>
          <w:szCs w:val="24"/>
        </w:rPr>
        <w:t>.</w:t>
      </w:r>
    </w:p>
    <w:p w:rsidR="00EC3EB4" w:rsidRPr="00A04BC7" w:rsidRDefault="00CD6628" w:rsidP="003B1EDD">
      <w:pPr>
        <w:pStyle w:val="ListParagraph"/>
        <w:numPr>
          <w:ilvl w:val="0"/>
          <w:numId w:val="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Option three was considered </w:t>
      </w:r>
      <w:r w:rsidR="00AE6E20">
        <w:rPr>
          <w:rFonts w:ascii="Times New Roman" w:hAnsi="Times New Roman" w:cs="Times New Roman"/>
          <w:color w:val="000000" w:themeColor="text1"/>
          <w:sz w:val="24"/>
          <w:szCs w:val="24"/>
        </w:rPr>
        <w:t xml:space="preserve">too complex and confusing </w:t>
      </w:r>
      <w:r>
        <w:rPr>
          <w:rFonts w:ascii="Times New Roman" w:hAnsi="Times New Roman" w:cs="Times New Roman"/>
          <w:color w:val="000000" w:themeColor="text1"/>
          <w:sz w:val="24"/>
          <w:szCs w:val="24"/>
        </w:rPr>
        <w:t xml:space="preserve">to be a practical </w:t>
      </w:r>
      <w:r w:rsidR="00EC3EB4" w:rsidRPr="00A04BC7">
        <w:rPr>
          <w:rFonts w:ascii="Times New Roman" w:hAnsi="Times New Roman" w:cs="Times New Roman"/>
          <w:color w:val="000000" w:themeColor="text1"/>
          <w:sz w:val="24"/>
          <w:szCs w:val="24"/>
        </w:rPr>
        <w:t>solution</w:t>
      </w:r>
      <w:r w:rsidR="001C7200" w:rsidRPr="00A04BC7">
        <w:rPr>
          <w:rFonts w:ascii="Times New Roman" w:hAnsi="Times New Roman" w:cs="Times New Roman"/>
          <w:color w:val="000000" w:themeColor="text1"/>
          <w:sz w:val="24"/>
          <w:szCs w:val="24"/>
        </w:rPr>
        <w:t>.</w:t>
      </w:r>
    </w:p>
    <w:p w:rsidR="00566DAC" w:rsidRPr="00A04BC7" w:rsidRDefault="00566DAC" w:rsidP="003B1EDD">
      <w:pPr>
        <w:pStyle w:val="ListParagraph"/>
        <w:numPr>
          <w:ilvl w:val="0"/>
          <w:numId w:val="2"/>
        </w:numPr>
        <w:spacing w:after="120" w:line="240" w:lineRule="auto"/>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Wh</w:t>
      </w:r>
      <w:r w:rsidR="009171CE">
        <w:rPr>
          <w:rFonts w:ascii="Times New Roman" w:hAnsi="Times New Roman" w:cs="Times New Roman"/>
          <w:color w:val="000000" w:themeColor="text1"/>
          <w:sz w:val="24"/>
          <w:szCs w:val="24"/>
        </w:rPr>
        <w:t>ich</w:t>
      </w:r>
      <w:r w:rsidRPr="00A04BC7">
        <w:rPr>
          <w:rFonts w:ascii="Times New Roman" w:hAnsi="Times New Roman" w:cs="Times New Roman"/>
          <w:color w:val="000000" w:themeColor="text1"/>
          <w:sz w:val="24"/>
          <w:szCs w:val="24"/>
        </w:rPr>
        <w:t xml:space="preserve">ever option </w:t>
      </w:r>
      <w:r w:rsidR="00EC3EB4" w:rsidRPr="00A04BC7">
        <w:rPr>
          <w:rFonts w:ascii="Times New Roman" w:hAnsi="Times New Roman" w:cs="Times New Roman"/>
          <w:color w:val="000000" w:themeColor="text1"/>
          <w:sz w:val="24"/>
          <w:szCs w:val="24"/>
        </w:rPr>
        <w:t xml:space="preserve">is selected, </w:t>
      </w:r>
      <w:r w:rsidRPr="00A04BC7">
        <w:rPr>
          <w:rFonts w:ascii="Times New Roman" w:hAnsi="Times New Roman" w:cs="Times New Roman"/>
          <w:color w:val="000000" w:themeColor="text1"/>
          <w:sz w:val="24"/>
          <w:szCs w:val="24"/>
        </w:rPr>
        <w:t>clear and detailed guidance is necessary to prevent differences in interpretation and</w:t>
      </w:r>
      <w:r w:rsidR="00EC3EB4" w:rsidRPr="00A04BC7">
        <w:rPr>
          <w:rFonts w:ascii="Times New Roman" w:hAnsi="Times New Roman" w:cs="Times New Roman"/>
          <w:color w:val="000000" w:themeColor="text1"/>
          <w:sz w:val="24"/>
          <w:szCs w:val="24"/>
        </w:rPr>
        <w:t xml:space="preserve"> to ensure</w:t>
      </w:r>
      <w:r w:rsidRPr="00A04BC7">
        <w:rPr>
          <w:rFonts w:ascii="Times New Roman" w:hAnsi="Times New Roman" w:cs="Times New Roman"/>
          <w:color w:val="000000" w:themeColor="text1"/>
          <w:sz w:val="24"/>
          <w:szCs w:val="24"/>
        </w:rPr>
        <w:t xml:space="preserve"> consistent</w:t>
      </w:r>
      <w:r w:rsidR="001C7200" w:rsidRPr="00A04BC7">
        <w:rPr>
          <w:rFonts w:ascii="Times New Roman" w:hAnsi="Times New Roman" w:cs="Times New Roman"/>
          <w:color w:val="000000" w:themeColor="text1"/>
          <w:sz w:val="24"/>
          <w:szCs w:val="24"/>
        </w:rPr>
        <w:t xml:space="preserve"> application within categories.</w:t>
      </w:r>
    </w:p>
    <w:p w:rsidR="00EC3EB4" w:rsidRPr="00A04BC7" w:rsidRDefault="00EC3EB4" w:rsidP="003B1EDD">
      <w:pPr>
        <w:pStyle w:val="ListParagraph"/>
        <w:numPr>
          <w:ilvl w:val="0"/>
          <w:numId w:val="2"/>
        </w:numPr>
        <w:spacing w:after="120" w:line="240" w:lineRule="auto"/>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Stakeholders acknowledged the importance of being consistent with the Food Standards Code</w:t>
      </w:r>
      <w:r w:rsidR="001C7200" w:rsidRPr="00A04BC7">
        <w:rPr>
          <w:rFonts w:ascii="Times New Roman" w:hAnsi="Times New Roman" w:cs="Times New Roman"/>
          <w:color w:val="000000" w:themeColor="text1"/>
          <w:sz w:val="24"/>
          <w:szCs w:val="24"/>
        </w:rPr>
        <w:t>.</w:t>
      </w:r>
    </w:p>
    <w:p w:rsidR="00BF2C57" w:rsidRPr="00A04BC7" w:rsidRDefault="00BF2C57" w:rsidP="003B1EDD">
      <w:pPr>
        <w:pStyle w:val="ListParagraph"/>
        <w:numPr>
          <w:ilvl w:val="0"/>
          <w:numId w:val="2"/>
        </w:numPr>
        <w:spacing w:after="120" w:line="240" w:lineRule="auto"/>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Stakeholders identified a n</w:t>
      </w:r>
      <w:r w:rsidR="00566DAC" w:rsidRPr="00A04BC7">
        <w:rPr>
          <w:rFonts w:ascii="Times New Roman" w:hAnsi="Times New Roman" w:cs="Times New Roman"/>
          <w:color w:val="000000" w:themeColor="text1"/>
          <w:sz w:val="24"/>
          <w:szCs w:val="24"/>
        </w:rPr>
        <w:t xml:space="preserve">eed </w:t>
      </w:r>
      <w:r w:rsidR="000E24B6" w:rsidRPr="00A04BC7">
        <w:rPr>
          <w:rFonts w:ascii="Times New Roman" w:hAnsi="Times New Roman" w:cs="Times New Roman"/>
          <w:color w:val="000000" w:themeColor="text1"/>
          <w:sz w:val="24"/>
          <w:szCs w:val="24"/>
        </w:rPr>
        <w:t xml:space="preserve">for </w:t>
      </w:r>
      <w:r w:rsidR="00EC3EB4" w:rsidRPr="00A04BC7">
        <w:rPr>
          <w:rFonts w:ascii="Times New Roman" w:hAnsi="Times New Roman" w:cs="Times New Roman"/>
          <w:color w:val="000000" w:themeColor="text1"/>
          <w:sz w:val="24"/>
          <w:szCs w:val="24"/>
        </w:rPr>
        <w:t>the</w:t>
      </w:r>
      <w:r w:rsidR="00702504">
        <w:rPr>
          <w:rFonts w:ascii="Times New Roman" w:hAnsi="Times New Roman" w:cs="Times New Roman"/>
          <w:color w:val="000000" w:themeColor="text1"/>
          <w:sz w:val="24"/>
          <w:szCs w:val="24"/>
        </w:rPr>
        <w:t xml:space="preserve"> ‘a</w:t>
      </w:r>
      <w:r w:rsidR="00EC3EB4" w:rsidRPr="00A04BC7">
        <w:rPr>
          <w:rFonts w:ascii="Times New Roman" w:hAnsi="Times New Roman" w:cs="Times New Roman"/>
          <w:color w:val="000000" w:themeColor="text1"/>
          <w:sz w:val="24"/>
          <w:szCs w:val="24"/>
        </w:rPr>
        <w:t xml:space="preserve">s </w:t>
      </w:r>
      <w:r w:rsidR="00702504">
        <w:rPr>
          <w:rFonts w:ascii="Times New Roman" w:hAnsi="Times New Roman" w:cs="Times New Roman"/>
          <w:color w:val="000000" w:themeColor="text1"/>
          <w:sz w:val="24"/>
          <w:szCs w:val="24"/>
        </w:rPr>
        <w:t>p</w:t>
      </w:r>
      <w:r w:rsidR="00EC3EB4" w:rsidRPr="00A04BC7">
        <w:rPr>
          <w:rFonts w:ascii="Times New Roman" w:hAnsi="Times New Roman" w:cs="Times New Roman"/>
          <w:color w:val="000000" w:themeColor="text1"/>
          <w:sz w:val="24"/>
          <w:szCs w:val="24"/>
        </w:rPr>
        <w:t>repared</w:t>
      </w:r>
      <w:r w:rsidR="00702504">
        <w:rPr>
          <w:rFonts w:ascii="Times New Roman" w:hAnsi="Times New Roman" w:cs="Times New Roman"/>
          <w:color w:val="000000" w:themeColor="text1"/>
          <w:sz w:val="24"/>
          <w:szCs w:val="24"/>
        </w:rPr>
        <w:t>’</w:t>
      </w:r>
      <w:r w:rsidR="00EC3EB4" w:rsidRPr="00A04BC7">
        <w:rPr>
          <w:rFonts w:ascii="Times New Roman" w:hAnsi="Times New Roman" w:cs="Times New Roman"/>
          <w:color w:val="000000" w:themeColor="text1"/>
          <w:sz w:val="24"/>
          <w:szCs w:val="24"/>
        </w:rPr>
        <w:t xml:space="preserve"> rules </w:t>
      </w:r>
      <w:r w:rsidR="000E24B6" w:rsidRPr="00A04BC7">
        <w:rPr>
          <w:rFonts w:ascii="Times New Roman" w:hAnsi="Times New Roman" w:cs="Times New Roman"/>
          <w:color w:val="000000" w:themeColor="text1"/>
          <w:sz w:val="24"/>
          <w:szCs w:val="24"/>
        </w:rPr>
        <w:t xml:space="preserve">to be further </w:t>
      </w:r>
      <w:r w:rsidR="00B80AF2">
        <w:rPr>
          <w:rFonts w:ascii="Times New Roman" w:hAnsi="Times New Roman" w:cs="Times New Roman"/>
          <w:color w:val="000000" w:themeColor="text1"/>
          <w:sz w:val="24"/>
          <w:szCs w:val="24"/>
        </w:rPr>
        <w:t xml:space="preserve">clarified </w:t>
      </w:r>
      <w:r w:rsidR="00EC3EB4" w:rsidRPr="00A04BC7">
        <w:rPr>
          <w:rFonts w:ascii="Times New Roman" w:hAnsi="Times New Roman" w:cs="Times New Roman"/>
          <w:color w:val="000000" w:themeColor="text1"/>
          <w:sz w:val="24"/>
          <w:szCs w:val="24"/>
        </w:rPr>
        <w:t xml:space="preserve">to </w:t>
      </w:r>
      <w:r w:rsidR="00FE5BD1" w:rsidRPr="00A04BC7">
        <w:rPr>
          <w:rFonts w:ascii="Times New Roman" w:hAnsi="Times New Roman" w:cs="Times New Roman"/>
          <w:color w:val="000000" w:themeColor="text1"/>
          <w:sz w:val="24"/>
          <w:szCs w:val="24"/>
        </w:rPr>
        <w:t xml:space="preserve">all </w:t>
      </w:r>
      <w:r w:rsidR="00EC3EB4" w:rsidRPr="00A04BC7">
        <w:rPr>
          <w:rFonts w:ascii="Times New Roman" w:hAnsi="Times New Roman" w:cs="Times New Roman"/>
          <w:color w:val="000000" w:themeColor="text1"/>
          <w:sz w:val="24"/>
          <w:szCs w:val="24"/>
        </w:rPr>
        <w:t>sta</w:t>
      </w:r>
      <w:r w:rsidR="001C7200" w:rsidRPr="00A04BC7">
        <w:rPr>
          <w:rFonts w:ascii="Times New Roman" w:hAnsi="Times New Roman" w:cs="Times New Roman"/>
          <w:color w:val="000000" w:themeColor="text1"/>
          <w:sz w:val="24"/>
          <w:szCs w:val="24"/>
        </w:rPr>
        <w:t>keholders</w:t>
      </w:r>
      <w:r w:rsidR="000E24B6" w:rsidRPr="00A04BC7">
        <w:rPr>
          <w:rFonts w:ascii="Times New Roman" w:hAnsi="Times New Roman" w:cs="Times New Roman"/>
          <w:color w:val="000000" w:themeColor="text1"/>
          <w:sz w:val="24"/>
          <w:szCs w:val="24"/>
        </w:rPr>
        <w:t>.</w:t>
      </w:r>
    </w:p>
    <w:p w:rsidR="00566DAC" w:rsidRPr="00A04BC7" w:rsidRDefault="0064024B" w:rsidP="00FE0271">
      <w:pPr>
        <w:pStyle w:val="Heading2"/>
      </w:pPr>
      <w:r w:rsidRPr="00A04BC7">
        <w:t>Pros and cons of each option</w:t>
      </w:r>
    </w:p>
    <w:tbl>
      <w:tblPr>
        <w:tblStyle w:val="TableGrid"/>
        <w:tblW w:w="9889" w:type="dxa"/>
        <w:tblLook w:val="04A0" w:firstRow="1" w:lastRow="0" w:firstColumn="1" w:lastColumn="0" w:noHBand="0" w:noVBand="1"/>
        <w:tblCaption w:val="Pros and cons of each option"/>
        <w:tblDescription w:val="This table describes the pros in column 1 and the cons in column 2."/>
      </w:tblPr>
      <w:tblGrid>
        <w:gridCol w:w="4877"/>
        <w:gridCol w:w="5012"/>
      </w:tblGrid>
      <w:tr w:rsidR="00A04BC7" w:rsidRPr="00A04BC7" w:rsidTr="004C7C26">
        <w:trPr>
          <w:trHeight w:val="454"/>
          <w:tblHeader/>
        </w:trPr>
        <w:tc>
          <w:tcPr>
            <w:tcW w:w="9889" w:type="dxa"/>
            <w:gridSpan w:val="2"/>
            <w:shd w:val="clear" w:color="auto" w:fill="F2F2F2" w:themeFill="background1" w:themeFillShade="F2"/>
            <w:vAlign w:val="center"/>
          </w:tcPr>
          <w:p w:rsidR="0064024B" w:rsidRPr="00A04BC7" w:rsidRDefault="0064024B" w:rsidP="009171CE">
            <w:pPr>
              <w:keepNext/>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 xml:space="preserve">Option </w:t>
            </w:r>
            <w:r w:rsidR="009171CE">
              <w:rPr>
                <w:rFonts w:ascii="Times New Roman" w:hAnsi="Times New Roman" w:cs="Times New Roman"/>
                <w:b/>
                <w:color w:val="000000" w:themeColor="text1"/>
                <w:sz w:val="24"/>
                <w:szCs w:val="24"/>
              </w:rPr>
              <w:t>o</w:t>
            </w:r>
            <w:r w:rsidRPr="00A04BC7">
              <w:rPr>
                <w:rFonts w:ascii="Times New Roman" w:hAnsi="Times New Roman" w:cs="Times New Roman"/>
                <w:b/>
                <w:color w:val="000000" w:themeColor="text1"/>
                <w:sz w:val="24"/>
                <w:szCs w:val="24"/>
              </w:rPr>
              <w:t>ne</w:t>
            </w:r>
            <w:r w:rsidR="00986DD0" w:rsidRPr="00A04BC7">
              <w:rPr>
                <w:rFonts w:ascii="Times New Roman" w:hAnsi="Times New Roman" w:cs="Times New Roman"/>
                <w:b/>
                <w:color w:val="000000" w:themeColor="text1"/>
                <w:sz w:val="24"/>
                <w:szCs w:val="24"/>
              </w:rPr>
              <w:t xml:space="preserve"> –</w:t>
            </w:r>
            <w:r w:rsidR="00273DD8">
              <w:rPr>
                <w:rFonts w:ascii="Times New Roman" w:hAnsi="Times New Roman" w:cs="Times New Roman"/>
                <w:b/>
                <w:color w:val="000000" w:themeColor="text1"/>
                <w:sz w:val="24"/>
                <w:szCs w:val="24"/>
              </w:rPr>
              <w:t xml:space="preserve"> Status </w:t>
            </w:r>
            <w:r w:rsidR="009171CE">
              <w:rPr>
                <w:rFonts w:ascii="Times New Roman" w:hAnsi="Times New Roman" w:cs="Times New Roman"/>
                <w:b/>
                <w:color w:val="000000" w:themeColor="text1"/>
                <w:sz w:val="24"/>
                <w:szCs w:val="24"/>
              </w:rPr>
              <w:t>q</w:t>
            </w:r>
            <w:r w:rsidR="00273DD8">
              <w:rPr>
                <w:rFonts w:ascii="Times New Roman" w:hAnsi="Times New Roman" w:cs="Times New Roman"/>
                <w:b/>
                <w:color w:val="000000" w:themeColor="text1"/>
                <w:sz w:val="24"/>
                <w:szCs w:val="24"/>
              </w:rPr>
              <w:t>uo</w:t>
            </w:r>
          </w:p>
        </w:tc>
      </w:tr>
      <w:tr w:rsidR="00A04BC7" w:rsidRPr="00A04BC7" w:rsidTr="00035CC0">
        <w:trPr>
          <w:trHeight w:val="340"/>
        </w:trPr>
        <w:tc>
          <w:tcPr>
            <w:tcW w:w="4877" w:type="dxa"/>
            <w:vAlign w:val="center"/>
          </w:tcPr>
          <w:p w:rsidR="0064024B" w:rsidRPr="00A04BC7" w:rsidRDefault="0064024B" w:rsidP="005A6C7E">
            <w:pPr>
              <w:keepNext/>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Pro</w:t>
            </w:r>
            <w:r w:rsidR="00D102D5" w:rsidRPr="00A04BC7">
              <w:rPr>
                <w:rFonts w:ascii="Times New Roman" w:hAnsi="Times New Roman" w:cs="Times New Roman"/>
                <w:b/>
                <w:color w:val="000000" w:themeColor="text1"/>
                <w:sz w:val="24"/>
                <w:szCs w:val="24"/>
              </w:rPr>
              <w:t>s</w:t>
            </w:r>
          </w:p>
        </w:tc>
        <w:tc>
          <w:tcPr>
            <w:tcW w:w="5012" w:type="dxa"/>
            <w:vAlign w:val="center"/>
          </w:tcPr>
          <w:p w:rsidR="0064024B" w:rsidRPr="00A04BC7" w:rsidRDefault="00D102D5" w:rsidP="005A6C7E">
            <w:pPr>
              <w:keepNext/>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Cons</w:t>
            </w:r>
          </w:p>
        </w:tc>
      </w:tr>
      <w:tr w:rsidR="00A04BC7" w:rsidRPr="00A04BC7" w:rsidTr="00E379A3">
        <w:tc>
          <w:tcPr>
            <w:tcW w:w="4877" w:type="dxa"/>
          </w:tcPr>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encourages healthier eating choices</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provides a solution that goes across all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categories – simple and consistent</w:t>
            </w:r>
          </w:p>
          <w:p w:rsidR="00AA3701" w:rsidRPr="00A04BC7" w:rsidRDefault="00AA3701" w:rsidP="00EF25A2">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convenient, relevant and easy to understand for consumers</w:t>
            </w:r>
          </w:p>
          <w:p w:rsidR="00AA3701" w:rsidRPr="00A04BC7" w:rsidRDefault="00AA3701" w:rsidP="004C10AE">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consumers have a framework to assist their decisions</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consistent in a way that other labelling systems have been in practice for 17 years</w:t>
            </w:r>
          </w:p>
          <w:p w:rsidR="00AA3701" w:rsidRPr="00A04BC7" w:rsidRDefault="00AA3701" w:rsidP="00765038">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consistency with other aspects of labelling</w:t>
            </w:r>
          </w:p>
          <w:p w:rsidR="00AA3701" w:rsidRPr="00A04BC7" w:rsidRDefault="00AA3701" w:rsidP="00765038">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 new approach to what is currently on labels</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cost and resource</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 extra cost for industry</w:t>
            </w:r>
          </w:p>
          <w:p w:rsidR="00AA3701" w:rsidRPr="00A04BC7" w:rsidRDefault="00AA3701" w:rsidP="007C742E">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less financial and time strain on food industry</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industry investment: if it changes, costs will increase</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consumer confidence and trust in keeping the same</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maintains consumer trust</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changing HSR would cause increased consumer confusion and generate further mistrust in the system</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alignment with the Food Standards Code</w:t>
            </w:r>
            <w:r w:rsidR="00DF3588">
              <w:rPr>
                <w:rFonts w:ascii="Times New Roman" w:hAnsi="Times New Roman" w:cs="Times New Roman"/>
                <w:color w:val="000000" w:themeColor="text1"/>
                <w:sz w:val="24"/>
                <w:szCs w:val="24"/>
              </w:rPr>
              <w:t xml:space="preserve"> (the Code)</w:t>
            </w:r>
          </w:p>
          <w:p w:rsidR="00AA3701" w:rsidRPr="00A04BC7" w:rsidRDefault="00AA3701" w:rsidP="00111202">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alignment with goals of government health initiatives</w:t>
            </w:r>
          </w:p>
          <w:p w:rsidR="00AA3701" w:rsidRPr="00A04BC7" w:rsidRDefault="00AA3701" w:rsidP="00111202">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aligns with the Australian Guide to Healthy Eating and promotes health eating/variety</w:t>
            </w:r>
          </w:p>
          <w:p w:rsidR="00AA3701" w:rsidRPr="00A04BC7" w:rsidRDefault="00AA3701" w:rsidP="005E57A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opportunity to align with the Australian Dietary Guidelines (ADGs) by specifying </w:t>
            </w:r>
            <w:r w:rsidRPr="00A04BC7">
              <w:rPr>
                <w:rFonts w:ascii="Times New Roman" w:hAnsi="Times New Roman" w:cs="Times New Roman"/>
                <w:color w:val="000000" w:themeColor="text1"/>
                <w:sz w:val="24"/>
                <w:szCs w:val="24"/>
              </w:rPr>
              <w:lastRenderedPageBreak/>
              <w:t>recipes</w:t>
            </w:r>
          </w:p>
          <w:p w:rsidR="00AA3701" w:rsidRPr="00A04BC7" w:rsidRDefault="00AA3701" w:rsidP="00182F1C">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promotes informed choices</w:t>
            </w:r>
          </w:p>
          <w:p w:rsidR="00AA3701" w:rsidRPr="00A04BC7" w:rsidRDefault="00AA3701" w:rsidP="005E57A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opportunity to promote the ADGs and consistency</w:t>
            </w:r>
          </w:p>
          <w:p w:rsidR="00AA3701" w:rsidRPr="00A04BC7" w:rsidRDefault="00AA3701" w:rsidP="00AF5565">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provides a push to educate people on general nutrition and how to interpret the HSR</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formulated supplementary foods must be scored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to be consistent with the Code</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good opportunity for product comparison within category</w:t>
            </w:r>
          </w:p>
          <w:p w:rsidR="00AA3701" w:rsidRPr="00A04BC7" w:rsidRDefault="00AA3701" w:rsidP="00266A83">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useful for differentiating products</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represents the way the product is consumed</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currently being implemented</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it accommodates products that aren’t expected to be consumed without preparation, e.g. cordials, soups</w:t>
            </w:r>
          </w:p>
          <w:p w:rsidR="00AA3701" w:rsidRPr="00A04BC7" w:rsidRDefault="00AA3701" w:rsidP="004C10AE">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is logical for some products</w:t>
            </w:r>
          </w:p>
          <w:p w:rsidR="00AA3701" w:rsidRPr="00A04BC7" w:rsidRDefault="00AA3701" w:rsidP="00266A83">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works for some categories, e.g. soups</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developed based on expert opinions (not updated)</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food item is not intended to be consumed in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i</w:t>
            </w:r>
            <w:r w:rsidRPr="00A04BC7">
              <w:rPr>
                <w:rFonts w:ascii="Times New Roman" w:hAnsi="Times New Roman" w:cs="Times New Roman"/>
                <w:color w:val="000000" w:themeColor="text1"/>
                <w:sz w:val="24"/>
                <w:szCs w:val="24"/>
              </w:rPr>
              <w:t>s form</w:t>
            </w:r>
          </w:p>
          <w:p w:rsidR="00AA3701" w:rsidRPr="00A04BC7" w:rsidRDefault="00AA3701" w:rsidP="00420336">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consistent with R</w:t>
            </w:r>
            <w:r w:rsidR="00550F48">
              <w:rPr>
                <w:rFonts w:ascii="Times New Roman" w:hAnsi="Times New Roman" w:cs="Times New Roman"/>
                <w:color w:val="000000" w:themeColor="text1"/>
                <w:sz w:val="24"/>
                <w:szCs w:val="24"/>
              </w:rPr>
              <w:t xml:space="preserve">ecommended </w:t>
            </w:r>
            <w:r w:rsidRPr="00A04BC7">
              <w:rPr>
                <w:rFonts w:ascii="Times New Roman" w:hAnsi="Times New Roman" w:cs="Times New Roman"/>
                <w:color w:val="000000" w:themeColor="text1"/>
                <w:sz w:val="24"/>
                <w:szCs w:val="24"/>
              </w:rPr>
              <w:t>D</w:t>
            </w:r>
            <w:r w:rsidR="00550F48">
              <w:rPr>
                <w:rFonts w:ascii="Times New Roman" w:hAnsi="Times New Roman" w:cs="Times New Roman"/>
                <w:color w:val="000000" w:themeColor="text1"/>
                <w:sz w:val="24"/>
                <w:szCs w:val="24"/>
              </w:rPr>
              <w:t xml:space="preserve">aily </w:t>
            </w:r>
            <w:r w:rsidRPr="00A04BC7">
              <w:rPr>
                <w:rFonts w:ascii="Times New Roman" w:hAnsi="Times New Roman" w:cs="Times New Roman"/>
                <w:color w:val="000000" w:themeColor="text1"/>
                <w:sz w:val="24"/>
                <w:szCs w:val="24"/>
              </w:rPr>
              <w:t>I</w:t>
            </w:r>
            <w:r w:rsidR="00550F48">
              <w:rPr>
                <w:rFonts w:ascii="Times New Roman" w:hAnsi="Times New Roman" w:cs="Times New Roman"/>
                <w:color w:val="000000" w:themeColor="text1"/>
                <w:sz w:val="24"/>
                <w:szCs w:val="24"/>
              </w:rPr>
              <w:t>ntake (RDI)</w:t>
            </w:r>
            <w:r w:rsidRPr="00A04BC7">
              <w:rPr>
                <w:rFonts w:ascii="Times New Roman" w:hAnsi="Times New Roman" w:cs="Times New Roman"/>
                <w:color w:val="000000" w:themeColor="text1"/>
                <w:sz w:val="24"/>
                <w:szCs w:val="24"/>
              </w:rPr>
              <w:t xml:space="preserve"> thumbnails and the heart tick which have always been rated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p>
          <w:p w:rsidR="00AA3701" w:rsidRPr="00A04BC7" w:rsidRDefault="00AA3701" w:rsidP="00C606F0">
            <w:pPr>
              <w:tabs>
                <w:tab w:val="left" w:pos="284"/>
              </w:tabs>
              <w:rPr>
                <w:rFonts w:ascii="Times New Roman" w:hAnsi="Times New Roman" w:cs="Times New Roman"/>
                <w:color w:val="000000" w:themeColor="text1"/>
                <w:sz w:val="24"/>
                <w:szCs w:val="24"/>
              </w:rPr>
            </w:pPr>
          </w:p>
        </w:tc>
        <w:tc>
          <w:tcPr>
            <w:tcW w:w="5012" w:type="dxa"/>
          </w:tcPr>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significant media attention around single products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major PR issue</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limited government backing/defence of media attention</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level of criticism of status quo has occasioned these workshops which have an opportunity cost for the Department and attendees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continued discussion and debate re effectiveness of system</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assumes that consumers have adequate access, cooking skills, budget to follow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instructions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consumers might bear the extra costs of poor choice</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consumer trust / lack of understanding</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consumer interpretation</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consumers may assume that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includes ‘serving suggestions’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how it is consumed is open to interpretation (perceived) – e.g. use of chocolate powder</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lack of education and explanation to the target group (so far, the only explanation has been on the ABC’s The Checkout)</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outliers are undermining majority</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inconsistency in implementation</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inconsistencies: some companies include foods like vegetables in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others don’t</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not all products are rated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e.g. breakfast cereals, breadcrumbs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acknowledgement of regulatory requirements </w:t>
            </w:r>
            <w:r w:rsidRPr="00A04BC7">
              <w:rPr>
                <w:rFonts w:ascii="Times New Roman" w:hAnsi="Times New Roman" w:cs="Times New Roman"/>
                <w:color w:val="000000" w:themeColor="text1"/>
                <w:sz w:val="24"/>
                <w:szCs w:val="24"/>
              </w:rPr>
              <w:lastRenderedPageBreak/>
              <w:t>is missing</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open to manipulation, e.g. ‘required’</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misleading</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undermining of the system</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complicates the system with exemptions/ exceptions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different preparation options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validation of scoring for categories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per 100g not always representative of consumer behaviour/actual recommended consumption</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some products have more than one way of being prepared</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putting pressure on industry to improve the nutritional status of their products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convey the importance of portion size</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everything on label is consistent with HSR, e.g. fvnl not on label</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what is there is debasing the system</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herbs and spices may all receive the same HSR if not starred </w:t>
            </w:r>
            <w:r w:rsidR="001C29FB">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1C29FB">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1C29FB">
              <w:rPr>
                <w:rFonts w:ascii="Times New Roman" w:hAnsi="Times New Roman" w:cs="Times New Roman"/>
                <w:color w:val="000000" w:themeColor="text1"/>
                <w:sz w:val="24"/>
                <w:szCs w:val="24"/>
              </w:rPr>
              <w:t>’</w:t>
            </w:r>
          </w:p>
          <w:p w:rsidR="00F84C91" w:rsidRPr="00A04BC7" w:rsidRDefault="001C29FB"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84C91"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w:t>
            </w:r>
            <w:r w:rsidR="00F84C91" w:rsidRPr="00A04BC7">
              <w:rPr>
                <w:rFonts w:ascii="Times New Roman" w:hAnsi="Times New Roman" w:cs="Times New Roman"/>
                <w:color w:val="000000" w:themeColor="text1"/>
                <w:sz w:val="24"/>
                <w:szCs w:val="24"/>
              </w:rPr>
              <w:t>repared</w:t>
            </w:r>
            <w:r>
              <w:rPr>
                <w:rFonts w:ascii="Times New Roman" w:hAnsi="Times New Roman" w:cs="Times New Roman"/>
                <w:color w:val="000000" w:themeColor="text1"/>
                <w:sz w:val="24"/>
                <w:szCs w:val="24"/>
              </w:rPr>
              <w:t>’</w:t>
            </w:r>
            <w:r w:rsidR="00F84C91" w:rsidRPr="00A04BC7">
              <w:rPr>
                <w:rFonts w:ascii="Times New Roman" w:hAnsi="Times New Roman" w:cs="Times New Roman"/>
                <w:color w:val="000000" w:themeColor="text1"/>
                <w:sz w:val="24"/>
                <w:szCs w:val="24"/>
              </w:rPr>
              <w:t xml:space="preserve"> meaningless because people prepare products such as soup mixes the same way</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sometimes the HSR goes down, e.g. curries, when prepared</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don’t know how people use the foods</w:t>
            </w:r>
          </w:p>
          <w:p w:rsidR="00F84C9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needs clarification in the User Guide, e.g. categories you can use it</w:t>
            </w:r>
            <w:r w:rsidR="00604745" w:rsidRPr="00A04BC7">
              <w:rPr>
                <w:rFonts w:ascii="Times New Roman" w:hAnsi="Times New Roman" w:cs="Times New Roman"/>
                <w:color w:val="000000" w:themeColor="text1"/>
                <w:sz w:val="24"/>
                <w:szCs w:val="24"/>
              </w:rPr>
              <w:t xml:space="preserve"> for</w:t>
            </w:r>
          </w:p>
          <w:p w:rsidR="00AA3701" w:rsidRPr="00A04BC7" w:rsidRDefault="00F84C91" w:rsidP="00F84C91">
            <w:pPr>
              <w:pStyle w:val="ListParagraph"/>
              <w:numPr>
                <w:ilvl w:val="0"/>
                <w:numId w:val="13"/>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where’s the evidence to show it’s working or not?</w:t>
            </w:r>
          </w:p>
        </w:tc>
      </w:tr>
    </w:tbl>
    <w:p w:rsidR="004C7C26" w:rsidRDefault="004C7C26" w:rsidP="004C7C26">
      <w:pPr>
        <w:spacing w:after="0" w:line="240" w:lineRule="auto"/>
        <w:rPr>
          <w:rFonts w:ascii="Times New Roman" w:hAnsi="Times New Roman" w:cs="Times New Roman"/>
          <w:color w:val="000000" w:themeColor="text1"/>
          <w:sz w:val="24"/>
          <w:szCs w:val="24"/>
        </w:rPr>
      </w:pPr>
    </w:p>
    <w:tbl>
      <w:tblPr>
        <w:tblStyle w:val="TableGrid"/>
        <w:tblW w:w="9889" w:type="dxa"/>
        <w:tblLook w:val="04A0" w:firstRow="1" w:lastRow="0" w:firstColumn="1" w:lastColumn="0" w:noHBand="0" w:noVBand="1"/>
        <w:tblCaption w:val="Pros and cons of each option"/>
        <w:tblDescription w:val="This table describes the pros in column 1 and the cons in column 2."/>
      </w:tblPr>
      <w:tblGrid>
        <w:gridCol w:w="4877"/>
        <w:gridCol w:w="5012"/>
      </w:tblGrid>
      <w:tr w:rsidR="004C7C26" w:rsidRPr="00A04BC7" w:rsidTr="004C7C26">
        <w:trPr>
          <w:trHeight w:val="454"/>
          <w:tblHeader/>
        </w:trPr>
        <w:tc>
          <w:tcPr>
            <w:tcW w:w="9889" w:type="dxa"/>
            <w:gridSpan w:val="2"/>
            <w:shd w:val="clear" w:color="auto" w:fill="F2F2F2" w:themeFill="background1" w:themeFillShade="F2"/>
            <w:vAlign w:val="center"/>
          </w:tcPr>
          <w:p w:rsidR="004C7C26" w:rsidRPr="00A04BC7" w:rsidRDefault="004C7C26" w:rsidP="00DF1E47">
            <w:pPr>
              <w:keepNex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Option two – ‘As sold’ only</w:t>
            </w:r>
          </w:p>
        </w:tc>
      </w:tr>
      <w:tr w:rsidR="004C7C26" w:rsidRPr="00A04BC7" w:rsidTr="00DF1E47">
        <w:trPr>
          <w:trHeight w:val="340"/>
        </w:trPr>
        <w:tc>
          <w:tcPr>
            <w:tcW w:w="4877" w:type="dxa"/>
            <w:vAlign w:val="center"/>
          </w:tcPr>
          <w:p w:rsidR="004C7C26" w:rsidRPr="00A04BC7" w:rsidRDefault="004C7C26" w:rsidP="00DF1E47">
            <w:pPr>
              <w:keepNext/>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Pro</w:t>
            </w:r>
            <w:r>
              <w:rPr>
                <w:rFonts w:ascii="Times New Roman" w:hAnsi="Times New Roman" w:cs="Times New Roman"/>
                <w:b/>
                <w:color w:val="000000" w:themeColor="text1"/>
                <w:sz w:val="24"/>
                <w:szCs w:val="24"/>
              </w:rPr>
              <w:t>s</w:t>
            </w:r>
          </w:p>
        </w:tc>
        <w:tc>
          <w:tcPr>
            <w:tcW w:w="5012" w:type="dxa"/>
            <w:vAlign w:val="center"/>
          </w:tcPr>
          <w:p w:rsidR="004C7C26" w:rsidRPr="00A04BC7" w:rsidRDefault="004C7C26" w:rsidP="00DF1E47">
            <w:pPr>
              <w:keepNex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w:t>
            </w:r>
          </w:p>
        </w:tc>
      </w:tr>
      <w:tr w:rsidR="004C7C26" w:rsidRPr="00A04BC7" w:rsidTr="00DF1E47">
        <w:tc>
          <w:tcPr>
            <w:tcW w:w="4877"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counter media, consumer and public health criticism of HSR</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simple and consistent approach, everyone knows what they’re getting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simplifies for consumers, compliance, level playing field for all participants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less consumer confusion / more transparent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more clarification for industry as it is simple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simpler from a calculation perspective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open to interpretation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factual</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reliant on a certain level of cooking skills, knowledge, access, etc</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encourages reformulation in some categories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promotes reformulation of product rather than piggy-backing on additional foods used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opportunity to re-promote HSR if change occurs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removes misleading HSRs from the marketplace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can’t be manipulated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most accurate reflection of the product content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effective for foods such as RTE meals: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would ensure a more accurate rating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potential for products such as breadcrumbs and breakfast products to be rated fairly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allows direct comparison between products that may be prepared/suggested to be prepared differently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at point of purchase, comparing like with like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acknowledges that people use products in varied ways which will alter the final nutritional effect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appropriate for foods that are eaten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people can make decisions within categories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be consistent with other categories such as cereals</w:t>
            </w:r>
          </w:p>
        </w:tc>
        <w:tc>
          <w:tcPr>
            <w:tcW w:w="5012"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potentially false and misleading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more consumer confusion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transition between old and new packaging as updated HSR could be confusing for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increase confusion for consumers with lower literary and numeracy skills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irresponsible: doesn’t give manufacturers the opportunity to direct consumers to prepare healthier options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changing the current system in any capacity may increase consumer mistrust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changes to packaging, education, etc would involve significant cost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some companies may withdraw from the scheme due to industry costs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flattens categories, e.g. all HSRs get reduced to 1.5 stars which makes it hard for consumers to make healthier choices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allow like for like comparisons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comparison between products sold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are not possible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can’t compare equivalent products like wet soup and dry soup</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mis-match for some products between HSR and </w:t>
            </w:r>
            <w:r>
              <w:rPr>
                <w:rFonts w:ascii="Times New Roman" w:hAnsi="Times New Roman" w:cs="Times New Roman"/>
                <w:color w:val="000000" w:themeColor="text1"/>
                <w:sz w:val="24"/>
                <w:szCs w:val="24"/>
              </w:rPr>
              <w:t>the Nutrition Information Panel (</w:t>
            </w:r>
            <w:r w:rsidRPr="00A04BC7">
              <w:rPr>
                <w:rFonts w:ascii="Times New Roman" w:hAnsi="Times New Roman" w:cs="Times New Roman"/>
                <w:color w:val="000000" w:themeColor="text1"/>
                <w:sz w:val="24"/>
                <w:szCs w:val="24"/>
              </w:rPr>
              <w:t>NIP</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e.g. drained vegetables, reconstituted soups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dehydrated products are punished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difficult for products such as cake mixes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in some categories, doesn’t provide consumers with the ability to compare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irrelevant to tell consumers something that they’re not going to be eating that way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encourage cooking at home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inconsistent with </w:t>
            </w:r>
            <w:r>
              <w:rPr>
                <w:rFonts w:ascii="Times New Roman" w:hAnsi="Times New Roman" w:cs="Times New Roman"/>
                <w:color w:val="000000" w:themeColor="text1"/>
                <w:sz w:val="24"/>
                <w:szCs w:val="24"/>
              </w:rPr>
              <w:t>the Code, NIP and ADGs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encourage promotion of or reflect ADGs, i.e. healthier eating choices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HSRs will be less able to be differentiated,  as the products will be similar in composition, e.g. recipe bases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encourages reformulations which are not health relevant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representative of how you eat it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 deterrent for manufacturers to put the HSR on their products – if optional, needs to be mandatory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be less take-up by companies if the ‘halo’ effect of associated products is not permitted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companies are likely to remove HSRs altogether as not appropriate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some products would have to remove HSRs as they’re not compliant with the Code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nutrition isn’t reflected in the HSR</w:t>
            </w:r>
          </w:p>
        </w:tc>
      </w:tr>
    </w:tbl>
    <w:p w:rsidR="004C7C26" w:rsidRDefault="004C7C26" w:rsidP="004C7C26">
      <w:pPr>
        <w:spacing w:after="0" w:line="240" w:lineRule="auto"/>
        <w:rPr>
          <w:rFonts w:ascii="Times New Roman" w:hAnsi="Times New Roman" w:cs="Times New Roman"/>
          <w:color w:val="000000" w:themeColor="text1"/>
          <w:sz w:val="24"/>
          <w:szCs w:val="24"/>
        </w:rPr>
      </w:pPr>
    </w:p>
    <w:tbl>
      <w:tblPr>
        <w:tblStyle w:val="TableGrid"/>
        <w:tblW w:w="9889" w:type="dxa"/>
        <w:tblLook w:val="04A0" w:firstRow="1" w:lastRow="0" w:firstColumn="1" w:lastColumn="0" w:noHBand="0" w:noVBand="1"/>
        <w:tblCaption w:val="Pros and cons of each option"/>
        <w:tblDescription w:val="This table describes the pros in column 1 and the cons in column 2."/>
      </w:tblPr>
      <w:tblGrid>
        <w:gridCol w:w="4877"/>
        <w:gridCol w:w="5012"/>
      </w:tblGrid>
      <w:tr w:rsidR="004C7C26" w:rsidRPr="00A04BC7" w:rsidTr="004C7C26">
        <w:trPr>
          <w:trHeight w:val="454"/>
          <w:tblHeader/>
        </w:trPr>
        <w:tc>
          <w:tcPr>
            <w:tcW w:w="9889" w:type="dxa"/>
            <w:gridSpan w:val="2"/>
            <w:shd w:val="clear" w:color="auto" w:fill="F2F2F2" w:themeFill="background1" w:themeFillShade="F2"/>
            <w:vAlign w:val="center"/>
          </w:tcPr>
          <w:p w:rsidR="004C7C26" w:rsidRPr="00A04BC7" w:rsidRDefault="004C7C26" w:rsidP="00DF1E47">
            <w:pPr>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Optio</w:t>
            </w:r>
            <w:r>
              <w:rPr>
                <w:rFonts w:ascii="Times New Roman" w:hAnsi="Times New Roman" w:cs="Times New Roman"/>
                <w:b/>
                <w:color w:val="000000" w:themeColor="text1"/>
                <w:sz w:val="24"/>
                <w:szCs w:val="24"/>
              </w:rPr>
              <w:t>n three – Multiple HSRs on pack</w:t>
            </w:r>
          </w:p>
        </w:tc>
      </w:tr>
      <w:tr w:rsidR="004C7C26" w:rsidRPr="00A04BC7" w:rsidTr="00DF1E47">
        <w:trPr>
          <w:trHeight w:val="340"/>
        </w:trPr>
        <w:tc>
          <w:tcPr>
            <w:tcW w:w="4877" w:type="dxa"/>
            <w:vAlign w:val="center"/>
          </w:tcPr>
          <w:p w:rsidR="004C7C26" w:rsidRPr="00A04BC7" w:rsidRDefault="004C7C26" w:rsidP="00DF1E47">
            <w:pPr>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Pro</w:t>
            </w:r>
            <w:r>
              <w:rPr>
                <w:rFonts w:ascii="Times New Roman" w:hAnsi="Times New Roman" w:cs="Times New Roman"/>
                <w:b/>
                <w:color w:val="000000" w:themeColor="text1"/>
                <w:sz w:val="24"/>
                <w:szCs w:val="24"/>
              </w:rPr>
              <w:t>s</w:t>
            </w:r>
          </w:p>
        </w:tc>
        <w:tc>
          <w:tcPr>
            <w:tcW w:w="5012" w:type="dxa"/>
            <w:vAlign w:val="center"/>
          </w:tcPr>
          <w:p w:rsidR="004C7C26" w:rsidRPr="00A04BC7" w:rsidRDefault="004C7C26" w:rsidP="00DF1E4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w:t>
            </w:r>
          </w:p>
        </w:tc>
      </w:tr>
      <w:tr w:rsidR="004C7C26" w:rsidRPr="00A04BC7" w:rsidTr="00DF1E47">
        <w:tc>
          <w:tcPr>
            <w:tcW w:w="4877"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encourages transparency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provides more information for educated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encourages consumers to prepare foods as suggested and prepare more balanced meals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could educate consumers on how to create a healthier choice if instructions are followed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provide extended information, e.g. on websites, to help consumers understand how different recipes or iterations can have different outcomes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consumers can see two scores – one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and one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 and then make a decision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more information if you can understand it and know the rules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satisfy stakeholders who want both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Pr>
                <w:rFonts w:ascii="Times New Roman" w:hAnsi="Times New Roman" w:cs="Times New Roman"/>
                <w:color w:val="000000" w:themeColor="text1"/>
                <w:sz w:val="24"/>
                <w:szCs w:val="24"/>
              </w:rPr>
              <w:t>’</w:t>
            </w:r>
          </w:p>
        </w:tc>
        <w:tc>
          <w:tcPr>
            <w:tcW w:w="5012"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more complicated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reduces intended simplicity of the HSR, especially for those who don’t have time or ability to read current information on the level, e.g. NIP or ingredient list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goes against the principle of being consistent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potential consumer confusion, especially ESL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assumes a level of literacy and numeracy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transition between old and new packaging could be confusing for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less convenience for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communications are challenging to consumers, could undermine the system</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more complicated labels discourage consumers from reading labels (disengagement)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require further consumer nutrition education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variation in how consumers will interpret the different HSRs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benefit consumers or industry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not applicable across all categories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assumes packaging space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resource cost to fast-moving consumer goods </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FMCG </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on calculations, pack updates, etc</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packaging real estate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extra cost for industry to change packaging and therefore a deterrent for having the HSR</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why stop at two?  Could then have lots of recipes and HSRs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added complexity with rolling out HSR on packaging with two sets of HSRs: added work for R&amp;D, checking artwork, etc.</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manipulation is still possible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solve current issues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incorporates issues of Options 1 and 2</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too difficult to interpret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potentially too much information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represent every possible use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doesn’t give level playing field for industry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some foods would not be in line with regulatory requirements, e.g. nutritional supplements</w:t>
            </w:r>
          </w:p>
        </w:tc>
      </w:tr>
    </w:tbl>
    <w:p w:rsidR="004C7C26" w:rsidRDefault="004C7C26" w:rsidP="004C7C26">
      <w:pPr>
        <w:spacing w:after="0" w:line="240" w:lineRule="auto"/>
        <w:rPr>
          <w:rFonts w:ascii="Times New Roman" w:hAnsi="Times New Roman" w:cs="Times New Roman"/>
          <w:color w:val="000000" w:themeColor="text1"/>
          <w:sz w:val="24"/>
          <w:szCs w:val="24"/>
        </w:rPr>
      </w:pPr>
    </w:p>
    <w:tbl>
      <w:tblPr>
        <w:tblStyle w:val="TableGrid"/>
        <w:tblW w:w="9889" w:type="dxa"/>
        <w:tblLook w:val="04A0" w:firstRow="1" w:lastRow="0" w:firstColumn="1" w:lastColumn="0" w:noHBand="0" w:noVBand="1"/>
        <w:tblCaption w:val="Pros and cons of each option"/>
        <w:tblDescription w:val="This table describes the pros in column 1 and the cons in column 2."/>
      </w:tblPr>
      <w:tblGrid>
        <w:gridCol w:w="4877"/>
        <w:gridCol w:w="5012"/>
      </w:tblGrid>
      <w:tr w:rsidR="004C7C26" w:rsidRPr="00A04BC7" w:rsidTr="004C7C26">
        <w:trPr>
          <w:trHeight w:val="454"/>
          <w:tblHeader/>
        </w:trPr>
        <w:tc>
          <w:tcPr>
            <w:tcW w:w="9889" w:type="dxa"/>
            <w:gridSpan w:val="2"/>
            <w:shd w:val="clear" w:color="auto" w:fill="F2F2F2" w:themeFill="background1" w:themeFillShade="F2"/>
            <w:vAlign w:val="center"/>
          </w:tcPr>
          <w:p w:rsidR="004C7C26" w:rsidRPr="00A04BC7" w:rsidRDefault="004C7C26" w:rsidP="00DF1E47">
            <w:pPr>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 xml:space="preserve">Option </w:t>
            </w:r>
            <w:r>
              <w:rPr>
                <w:rFonts w:ascii="Times New Roman" w:hAnsi="Times New Roman" w:cs="Times New Roman"/>
                <w:b/>
                <w:color w:val="000000" w:themeColor="text1"/>
                <w:sz w:val="24"/>
                <w:szCs w:val="24"/>
              </w:rPr>
              <w:t>f</w:t>
            </w:r>
            <w:r w:rsidRPr="00A04BC7">
              <w:rPr>
                <w:rFonts w:ascii="Times New Roman" w:hAnsi="Times New Roman" w:cs="Times New Roman"/>
                <w:b/>
                <w:color w:val="000000" w:themeColor="text1"/>
                <w:sz w:val="24"/>
                <w:szCs w:val="24"/>
              </w:rPr>
              <w:t>our – ‘As sold’ with specific exempt</w:t>
            </w:r>
            <w:r>
              <w:rPr>
                <w:rFonts w:ascii="Times New Roman" w:hAnsi="Times New Roman" w:cs="Times New Roman"/>
                <w:b/>
                <w:color w:val="000000" w:themeColor="text1"/>
                <w:sz w:val="24"/>
                <w:szCs w:val="24"/>
              </w:rPr>
              <w:t>ions</w:t>
            </w:r>
          </w:p>
        </w:tc>
      </w:tr>
      <w:tr w:rsidR="004C7C26" w:rsidRPr="00A04BC7" w:rsidTr="00DF1E47">
        <w:trPr>
          <w:trHeight w:val="340"/>
        </w:trPr>
        <w:tc>
          <w:tcPr>
            <w:tcW w:w="4877" w:type="dxa"/>
            <w:vAlign w:val="center"/>
          </w:tcPr>
          <w:p w:rsidR="004C7C26" w:rsidRPr="00A04BC7" w:rsidRDefault="004C7C26" w:rsidP="00DF1E47">
            <w:pPr>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Pro</w:t>
            </w:r>
            <w:r>
              <w:rPr>
                <w:rFonts w:ascii="Times New Roman" w:hAnsi="Times New Roman" w:cs="Times New Roman"/>
                <w:b/>
                <w:color w:val="000000" w:themeColor="text1"/>
                <w:sz w:val="24"/>
                <w:szCs w:val="24"/>
              </w:rPr>
              <w:t>s</w:t>
            </w:r>
          </w:p>
        </w:tc>
        <w:tc>
          <w:tcPr>
            <w:tcW w:w="5012" w:type="dxa"/>
            <w:vAlign w:val="center"/>
          </w:tcPr>
          <w:p w:rsidR="004C7C26" w:rsidRPr="00A04BC7" w:rsidRDefault="004C7C26" w:rsidP="00DF1E4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Cons</w:t>
            </w:r>
          </w:p>
        </w:tc>
      </w:tr>
      <w:tr w:rsidR="004C7C26" w:rsidRPr="00A04BC7" w:rsidTr="00DF1E47">
        <w:tc>
          <w:tcPr>
            <w:tcW w:w="4877"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fairest option of all four</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align with ADGs as more flexible (if continuously reviewed)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can be tailored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flexibility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clarity for industry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removes room for interpretation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strict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good compromise to address media/high profile products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aligns with the NIP with the ‘3</w:t>
            </w:r>
            <w:r w:rsidRPr="00A04BC7">
              <w:rPr>
                <w:rFonts w:ascii="Times New Roman" w:hAnsi="Times New Roman" w:cs="Times New Roman"/>
                <w:color w:val="000000" w:themeColor="text1"/>
                <w:sz w:val="24"/>
                <w:szCs w:val="24"/>
                <w:vertAlign w:val="superscript"/>
              </w:rPr>
              <w:t>rd</w:t>
            </w:r>
            <w:r w:rsidRPr="00A04BC7">
              <w:rPr>
                <w:rFonts w:ascii="Times New Roman" w:hAnsi="Times New Roman" w:cs="Times New Roman"/>
                <w:color w:val="000000" w:themeColor="text1"/>
                <w:sz w:val="24"/>
                <w:szCs w:val="24"/>
              </w:rPr>
              <w:t xml:space="preserve"> point rehydrated with water only and drained’, e.g. for drained vegetables and dehydrated soups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solves some problems related to manipulation by adding additional nutrients with another product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water doesn’t add additional nutrients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reflective of product as it is meant to be consumed (intended)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transparency of having some products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result in more industry uptake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comparison would be easier for stocks which are sold next to each other, e.g. cubes, powders, liquids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good for simple rehydration and draining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we can see a benefit if the following exemptions are included:  recipe mixes, cake mixes, meal mix bases (e.g. beef stroganoff), stock cubes, formulated supplement</w:t>
            </w:r>
            <w:r>
              <w:rPr>
                <w:rFonts w:ascii="Times New Roman" w:hAnsi="Times New Roman" w:cs="Times New Roman"/>
                <w:color w:val="000000" w:themeColor="text1"/>
                <w:sz w:val="24"/>
                <w:szCs w:val="24"/>
              </w:rPr>
              <w:t>ary</w:t>
            </w:r>
            <w:r w:rsidRPr="00A04BC7">
              <w:rPr>
                <w:rFonts w:ascii="Times New Roman" w:hAnsi="Times New Roman" w:cs="Times New Roman"/>
                <w:color w:val="000000" w:themeColor="text1"/>
                <w:sz w:val="24"/>
                <w:szCs w:val="24"/>
              </w:rPr>
              <w:t xml:space="preserve"> foods</w:t>
            </w:r>
          </w:p>
        </w:tc>
        <w:tc>
          <w:tcPr>
            <w:tcW w:w="5012" w:type="dxa"/>
            <w:tcBorders>
              <w:bottom w:val="single" w:sz="4" w:space="0" w:color="auto"/>
            </w:tcBorders>
          </w:tcPr>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doesn’t align with the Code</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cost to industry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complicated costing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assumes literacy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continuous evolving and revisiting ongoing work required with innovation/new products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lastRenderedPageBreak/>
              <w:t>open to errors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lack of certainty for both industry and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confusing for consumers: how are they meant to know what’s in/out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open to variation by consumers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consumers unlikely to understand which products are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Pr>
                <w:rFonts w:ascii="Times New Roman" w:hAnsi="Times New Roman" w:cs="Times New Roman"/>
                <w:color w:val="000000" w:themeColor="text1"/>
                <w:sz w:val="24"/>
                <w:szCs w:val="24"/>
              </w:rPr>
              <w: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need to communicate/provide obvious disclaimer to consumers re which products are exempt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communication is challenging</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lack of transparency</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definition of ‘rehydration’ and ‘hydration’</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regulation required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definition required</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need very clear definition/rules about exemptions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exemptions undermine the core/intended HSR principles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would create problems with companies trying to get exemptions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creates inconsistencies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outweighs benefits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HSR should match NIP information, e.g. canned tuna - nutrition information provided based on drained product - therefore HSR should reflect nutrition information of drained product</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use of products can vary:</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cake/pancake mixes: some are complete, others require added ingredients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canned soups: varied additions and uses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recipe bases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coffee powder mixes: varied additions and uses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dehydrated pasta/rice: varied additions and uses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cordial: the amount used varies as few consumers measure it</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hot chocolate mixes: less than 3-5% use skim milk, varying uses, e.g. on ice cream, different milks</w:t>
            </w:r>
          </w:p>
          <w:p w:rsidR="004C7C26" w:rsidRPr="00A04BC7" w:rsidRDefault="004C7C26" w:rsidP="00DF1E47">
            <w:pPr>
              <w:pStyle w:val="ListParagraph"/>
              <w:numPr>
                <w:ilvl w:val="0"/>
                <w:numId w:val="11"/>
              </w:numPr>
              <w:tabs>
                <w:tab w:val="left" w:pos="284"/>
              </w:tabs>
              <w:ind w:left="568"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milk powders, powdered custards, yoghurt mixes</w:t>
            </w:r>
          </w:p>
          <w:p w:rsidR="004C7C26" w:rsidRPr="00A04BC7" w:rsidRDefault="004C7C26" w:rsidP="00DF1E47">
            <w:pPr>
              <w:pStyle w:val="ListParagraph"/>
              <w:numPr>
                <w:ilvl w:val="0"/>
                <w:numId w:val="4"/>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could stymie reformulation as a secondary consideration</w:t>
            </w:r>
          </w:p>
        </w:tc>
      </w:tr>
      <w:tr w:rsidR="00095D16" w:rsidRPr="00A04BC7" w:rsidTr="00095D16">
        <w:trPr>
          <w:tblHeader/>
        </w:trPr>
        <w:tc>
          <w:tcPr>
            <w:tcW w:w="9889" w:type="dxa"/>
            <w:gridSpan w:val="2"/>
            <w:tcBorders>
              <w:bottom w:val="single" w:sz="4" w:space="0" w:color="auto"/>
            </w:tcBorders>
          </w:tcPr>
          <w:p w:rsidR="00095D16" w:rsidRPr="00A04BC7" w:rsidRDefault="00095D16" w:rsidP="00095D16">
            <w:pPr>
              <w:keepNext/>
              <w:tabs>
                <w:tab w:val="left" w:pos="284"/>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Comments</w:t>
            </w:r>
          </w:p>
        </w:tc>
      </w:tr>
      <w:tr w:rsidR="004C7C26" w:rsidRPr="00A04BC7" w:rsidTr="00DF1E47">
        <w:trPr>
          <w:trHeight w:val="571"/>
        </w:trPr>
        <w:tc>
          <w:tcPr>
            <w:tcW w:w="9889" w:type="dxa"/>
            <w:gridSpan w:val="2"/>
            <w:tcBorders>
              <w:bottom w:val="single" w:sz="4" w:space="0" w:color="auto"/>
            </w:tcBorders>
          </w:tcPr>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Does the HSR need to be consistent with </w:t>
            </w:r>
            <w:r w:rsidRPr="00530660">
              <w:rPr>
                <w:rFonts w:ascii="Times New Roman" w:hAnsi="Times New Roman" w:cs="Times New Roman"/>
                <w:color w:val="000000" w:themeColor="text1"/>
                <w:sz w:val="24"/>
                <w:szCs w:val="24"/>
              </w:rPr>
              <w:t>Food Standards Australia New Zealand</w:t>
            </w:r>
            <w:r w:rsidRPr="00A04BC7">
              <w:rPr>
                <w:rFonts w:ascii="Times New Roman" w:hAnsi="Times New Roman" w:cs="Times New Roman"/>
                <w:color w:val="000000" w:themeColor="text1"/>
                <w:sz w:val="24"/>
                <w:szCs w:val="24"/>
              </w:rPr>
              <w:t xml:space="preserve"> requirements for formulated supplementary food, i.e. could a chocolate powder be </w:t>
            </w:r>
            <w:r>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There is a need to reconcile formulated supplementary foods with the HSR</w:t>
            </w:r>
            <w:r>
              <w:rPr>
                <w:rFonts w:ascii="Times New Roman" w:hAnsi="Times New Roman" w:cs="Times New Roman"/>
                <w:color w:val="000000" w:themeColor="text1"/>
                <w:sz w:val="24"/>
                <w:szCs w:val="24"/>
              </w:rPr>
              <w:t>.</w:t>
            </w:r>
          </w:p>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We don’t see the case for exemptions.</w:t>
            </w:r>
          </w:p>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‘Water’ and ‘drained’ cover almost all the listed exemptions o</w:t>
            </w:r>
            <w:r>
              <w:rPr>
                <w:rFonts w:ascii="Times New Roman" w:hAnsi="Times New Roman" w:cs="Times New Roman"/>
                <w:color w:val="000000" w:themeColor="text1"/>
                <w:sz w:val="24"/>
                <w:szCs w:val="24"/>
              </w:rPr>
              <w:t>n</w:t>
            </w:r>
            <w:r w:rsidRPr="00A04BC7">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age </w:t>
            </w:r>
            <w:r w:rsidRPr="00A04BC7">
              <w:rPr>
                <w:rFonts w:ascii="Times New Roman" w:hAnsi="Times New Roman" w:cs="Times New Roman"/>
                <w:color w:val="000000" w:themeColor="text1"/>
                <w:sz w:val="24"/>
                <w:szCs w:val="24"/>
              </w:rPr>
              <w:t>2 of the Secretariat document.</w:t>
            </w:r>
          </w:p>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What is the process for adjudication of new products</w:t>
            </w:r>
            <w:r>
              <w:rPr>
                <w:rFonts w:ascii="Times New Roman" w:hAnsi="Times New Roman" w:cs="Times New Roman"/>
                <w:color w:val="000000" w:themeColor="text1"/>
                <w:sz w:val="24"/>
                <w:szCs w:val="24"/>
              </w:rPr>
              <w:t>? E</w:t>
            </w:r>
            <w:r w:rsidRPr="00A04BC7">
              <w:rPr>
                <w:rFonts w:ascii="Times New Roman" w:hAnsi="Times New Roman" w:cs="Times New Roman"/>
                <w:color w:val="000000" w:themeColor="text1"/>
                <w:sz w:val="24"/>
                <w:szCs w:val="24"/>
              </w:rPr>
              <w:t>ach category would need to be specified.</w:t>
            </w:r>
          </w:p>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Definition of exemptions:  consider evidence and consumer perceptions.</w:t>
            </w:r>
          </w:p>
          <w:p w:rsidR="004C7C26" w:rsidRPr="00A04BC7" w:rsidRDefault="004C7C26" w:rsidP="00DF1E47">
            <w:pPr>
              <w:pStyle w:val="ListParagraph"/>
              <w:numPr>
                <w:ilvl w:val="0"/>
                <w:numId w:val="10"/>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Legumes:  no problem distinguishing between dried and canned wi</w:t>
            </w:r>
            <w:r>
              <w:rPr>
                <w:rFonts w:ascii="Times New Roman" w:hAnsi="Times New Roman" w:cs="Times New Roman"/>
                <w:color w:val="000000" w:themeColor="text1"/>
                <w:sz w:val="24"/>
                <w:szCs w:val="24"/>
              </w:rPr>
              <w:t>thout salt, as both would get 5 </w:t>
            </w:r>
            <w:r w:rsidRPr="00A04BC7">
              <w:rPr>
                <w:rFonts w:ascii="Times New Roman" w:hAnsi="Times New Roman" w:cs="Times New Roman"/>
                <w:color w:val="000000" w:themeColor="text1"/>
                <w:sz w:val="24"/>
                <w:szCs w:val="24"/>
              </w:rPr>
              <w:t>stars.</w:t>
            </w:r>
          </w:p>
        </w:tc>
      </w:tr>
      <w:tr w:rsidR="00095D16" w:rsidRPr="00A04BC7" w:rsidTr="00095D16">
        <w:trPr>
          <w:tblHeader/>
        </w:trPr>
        <w:tc>
          <w:tcPr>
            <w:tcW w:w="9889" w:type="dxa"/>
            <w:gridSpan w:val="2"/>
          </w:tcPr>
          <w:p w:rsidR="00095D16" w:rsidRPr="00A04BC7" w:rsidRDefault="00095D16" w:rsidP="00DF1E47">
            <w:pPr>
              <w:tabs>
                <w:tab w:val="left" w:pos="284"/>
              </w:tabs>
              <w:ind w:left="284" w:hanging="284"/>
              <w:rPr>
                <w:rFonts w:ascii="Times New Roman" w:hAnsi="Times New Roman" w:cs="Times New Roman"/>
                <w:b/>
                <w:color w:val="000000" w:themeColor="text1"/>
                <w:sz w:val="24"/>
                <w:szCs w:val="24"/>
              </w:rPr>
            </w:pPr>
            <w:r w:rsidRPr="00A04BC7">
              <w:rPr>
                <w:rFonts w:ascii="Times New Roman" w:hAnsi="Times New Roman" w:cs="Times New Roman"/>
                <w:b/>
                <w:color w:val="000000" w:themeColor="text1"/>
                <w:sz w:val="24"/>
                <w:szCs w:val="24"/>
              </w:rPr>
              <w:t>Specific exemptions</w:t>
            </w:r>
          </w:p>
        </w:tc>
      </w:tr>
      <w:tr w:rsidR="00095D16" w:rsidRPr="00A04BC7" w:rsidTr="00DF1E47">
        <w:trPr>
          <w:trHeight w:val="571"/>
        </w:trPr>
        <w:tc>
          <w:tcPr>
            <w:tcW w:w="9889" w:type="dxa"/>
            <w:gridSpan w:val="2"/>
          </w:tcPr>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An exemption that could work is cake mixes (can’t eat out of the packet or make something else).</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Should formulated supplementary foods be exempt from everything, like infant formulas, etc? Would need further discussion between these companies.</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s</w:t>
            </w:r>
            <w:r w:rsidRPr="00A04BC7">
              <w:rPr>
                <w:rFonts w:ascii="Times New Roman" w:hAnsi="Times New Roman" w:cs="Times New Roman"/>
                <w:color w:val="000000" w:themeColor="text1"/>
                <w:sz w:val="24"/>
                <w:szCs w:val="24"/>
              </w:rPr>
              <w:t>old</w:t>
            </w:r>
            <w:r>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when water is added or drained may be easier</w:t>
            </w:r>
            <w:r>
              <w:rPr>
                <w:rFonts w:ascii="Times New Roman" w:hAnsi="Times New Roman" w:cs="Times New Roman"/>
                <w:color w:val="000000" w:themeColor="text1"/>
                <w:sz w:val="24"/>
                <w:szCs w:val="24"/>
              </w:rPr>
              <w:t xml:space="preserve"> – not the exemptions which add</w:t>
            </w:r>
            <w:r w:rsidRPr="00A04BC7">
              <w:rPr>
                <w:rFonts w:ascii="Times New Roman" w:hAnsi="Times New Roman" w:cs="Times New Roman"/>
                <w:color w:val="000000" w:themeColor="text1"/>
                <w:sz w:val="24"/>
                <w:szCs w:val="24"/>
              </w:rPr>
              <w:t xml:space="preserve"> ambiguity.</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Recipe mixes, cake mixes, meal mix bases (e.g. beef stroganoff), stock cubes, and formulated supplement</w:t>
            </w:r>
            <w:r>
              <w:rPr>
                <w:rFonts w:ascii="Times New Roman" w:hAnsi="Times New Roman" w:cs="Times New Roman"/>
                <w:color w:val="000000" w:themeColor="text1"/>
                <w:sz w:val="24"/>
                <w:szCs w:val="24"/>
              </w:rPr>
              <w:t xml:space="preserve">ary </w:t>
            </w:r>
            <w:r w:rsidRPr="00A04BC7">
              <w:rPr>
                <w:rFonts w:ascii="Times New Roman" w:hAnsi="Times New Roman" w:cs="Times New Roman"/>
                <w:color w:val="000000" w:themeColor="text1"/>
                <w:sz w:val="24"/>
                <w:szCs w:val="24"/>
              </w:rPr>
              <w:t>foods.</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Cake/muffin mix, prepared and water only, rehydrated and water and drained.</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Tuna in brine/oil.</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Tinned vegetables/legumes.</w:t>
            </w:r>
          </w:p>
          <w:p w:rsidR="00095D16" w:rsidRPr="00A04BC7" w:rsidRDefault="00095D16" w:rsidP="00DF1E47">
            <w:pPr>
              <w:pStyle w:val="ListParagraph"/>
              <w:numPr>
                <w:ilvl w:val="0"/>
                <w:numId w:val="8"/>
              </w:numPr>
              <w:tabs>
                <w:tab w:val="left" w:pos="284"/>
              </w:tabs>
              <w:ind w:left="284" w:hanging="284"/>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Products that come in multiple forms, e.g. stock cubes and liquid stock.</w:t>
            </w:r>
          </w:p>
        </w:tc>
      </w:tr>
    </w:tbl>
    <w:p w:rsidR="00095D16" w:rsidRDefault="00095D16" w:rsidP="004C7C26">
      <w:pPr>
        <w:spacing w:after="0" w:line="240" w:lineRule="auto"/>
        <w:rPr>
          <w:rFonts w:ascii="Times New Roman" w:hAnsi="Times New Roman" w:cs="Times New Roman"/>
          <w:color w:val="000000" w:themeColor="text1"/>
          <w:sz w:val="24"/>
          <w:szCs w:val="24"/>
        </w:rPr>
      </w:pPr>
    </w:p>
    <w:p w:rsidR="00484254" w:rsidRPr="00A04BC7" w:rsidRDefault="00484254" w:rsidP="00FE0271">
      <w:pPr>
        <w:pStyle w:val="Heading2"/>
      </w:pPr>
      <w:r w:rsidRPr="00A04BC7">
        <w:t>Additional Comments</w:t>
      </w:r>
    </w:p>
    <w:p w:rsidR="00484254" w:rsidRPr="00A04BC7" w:rsidRDefault="009270C8"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The </w:t>
      </w:r>
      <w:r w:rsidR="00967C35">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967C35">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967C35">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issue affects only 4 per cent of products (eligible to use </w:t>
      </w:r>
      <w:r w:rsidR="00967C35">
        <w:rPr>
          <w:rFonts w:ascii="Times New Roman" w:hAnsi="Times New Roman" w:cs="Times New Roman"/>
          <w:color w:val="000000" w:themeColor="text1"/>
          <w:sz w:val="24"/>
          <w:szCs w:val="24"/>
        </w:rPr>
        <w:t>‘a</w:t>
      </w:r>
      <w:r w:rsidRPr="00A04BC7">
        <w:rPr>
          <w:rFonts w:ascii="Times New Roman" w:hAnsi="Times New Roman" w:cs="Times New Roman"/>
          <w:color w:val="000000" w:themeColor="text1"/>
          <w:sz w:val="24"/>
          <w:szCs w:val="24"/>
        </w:rPr>
        <w:t xml:space="preserve">s </w:t>
      </w:r>
      <w:r w:rsidR="00967C35">
        <w:rPr>
          <w:rFonts w:ascii="Times New Roman" w:hAnsi="Times New Roman" w:cs="Times New Roman"/>
          <w:color w:val="000000" w:themeColor="text1"/>
          <w:sz w:val="24"/>
          <w:szCs w:val="24"/>
        </w:rPr>
        <w:t>p</w:t>
      </w:r>
      <w:r w:rsidRPr="00A04BC7">
        <w:rPr>
          <w:rFonts w:ascii="Times New Roman" w:hAnsi="Times New Roman" w:cs="Times New Roman"/>
          <w:color w:val="000000" w:themeColor="text1"/>
          <w:sz w:val="24"/>
          <w:szCs w:val="24"/>
        </w:rPr>
        <w:t>repared</w:t>
      </w:r>
      <w:r w:rsidR="00967C35">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and only 10 per cent of these</w:t>
      </w:r>
      <w:r w:rsidR="00143C24" w:rsidRPr="00A04BC7">
        <w:rPr>
          <w:rFonts w:ascii="Times New Roman" w:hAnsi="Times New Roman" w:cs="Times New Roman"/>
          <w:color w:val="000000" w:themeColor="text1"/>
          <w:sz w:val="24"/>
          <w:szCs w:val="24"/>
        </w:rPr>
        <w:t xml:space="preserve"> products</w:t>
      </w:r>
      <w:r w:rsidRPr="00A04BC7">
        <w:rPr>
          <w:rFonts w:ascii="Times New Roman" w:hAnsi="Times New Roman" w:cs="Times New Roman"/>
          <w:color w:val="000000" w:themeColor="text1"/>
          <w:sz w:val="24"/>
          <w:szCs w:val="24"/>
        </w:rPr>
        <w:t xml:space="preserve"> currently display an HSR.</w:t>
      </w:r>
    </w:p>
    <w:p w:rsidR="009270C8" w:rsidRPr="00A04BC7" w:rsidRDefault="009270C8"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Raising ‘ingredients’ was a red herring. It opens up more confusion and a reliance on more rules</w:t>
      </w:r>
      <w:r w:rsidR="004D28DF" w:rsidRPr="00A04BC7">
        <w:rPr>
          <w:rFonts w:ascii="Times New Roman" w:hAnsi="Times New Roman" w:cs="Times New Roman"/>
          <w:color w:val="000000" w:themeColor="text1"/>
          <w:sz w:val="24"/>
          <w:szCs w:val="24"/>
        </w:rPr>
        <w:t>,</w:t>
      </w:r>
      <w:r w:rsidRPr="00A04BC7">
        <w:rPr>
          <w:rFonts w:ascii="Times New Roman" w:hAnsi="Times New Roman" w:cs="Times New Roman"/>
          <w:color w:val="000000" w:themeColor="text1"/>
          <w:sz w:val="24"/>
          <w:szCs w:val="24"/>
        </w:rPr>
        <w:t xml:space="preserve"> definitions and clarifications, and is not what we </w:t>
      </w:r>
      <w:r w:rsidR="004D28DF" w:rsidRPr="00A04BC7">
        <w:rPr>
          <w:rFonts w:ascii="Times New Roman" w:hAnsi="Times New Roman" w:cs="Times New Roman"/>
          <w:color w:val="000000" w:themeColor="text1"/>
          <w:sz w:val="24"/>
          <w:szCs w:val="24"/>
        </w:rPr>
        <w:t xml:space="preserve">are </w:t>
      </w:r>
      <w:r w:rsidRPr="00A04BC7">
        <w:rPr>
          <w:rFonts w:ascii="Times New Roman" w:hAnsi="Times New Roman" w:cs="Times New Roman"/>
          <w:color w:val="000000" w:themeColor="text1"/>
          <w:sz w:val="24"/>
          <w:szCs w:val="24"/>
        </w:rPr>
        <w:t>at the workshop to discuss.</w:t>
      </w:r>
      <w:r w:rsidR="004D28DF" w:rsidRPr="00A04BC7">
        <w:rPr>
          <w:rFonts w:ascii="Times New Roman" w:hAnsi="Times New Roman" w:cs="Times New Roman"/>
          <w:color w:val="000000" w:themeColor="text1"/>
          <w:sz w:val="24"/>
          <w:szCs w:val="24"/>
        </w:rPr>
        <w:t xml:space="preserve"> We are here because the system is complicated – don’t make it more complicated.</w:t>
      </w:r>
    </w:p>
    <w:p w:rsidR="004D28DF" w:rsidRPr="00A04BC7" w:rsidRDefault="004D28DF"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Support the use of FoodSwitch (note that some items may still be missing). HSR should </w:t>
      </w:r>
      <w:r w:rsidR="00701609">
        <w:rPr>
          <w:rFonts w:ascii="Times New Roman" w:hAnsi="Times New Roman" w:cs="Times New Roman"/>
          <w:color w:val="000000" w:themeColor="text1"/>
          <w:sz w:val="24"/>
          <w:szCs w:val="24"/>
        </w:rPr>
        <w:t>develop</w:t>
      </w:r>
      <w:r w:rsidRPr="00A04BC7">
        <w:rPr>
          <w:rFonts w:ascii="Times New Roman" w:hAnsi="Times New Roman" w:cs="Times New Roman"/>
          <w:color w:val="000000" w:themeColor="text1"/>
          <w:sz w:val="24"/>
          <w:szCs w:val="24"/>
        </w:rPr>
        <w:t xml:space="preserve"> a similar app, especially showing ratings of similar items.</w:t>
      </w:r>
    </w:p>
    <w:p w:rsidR="004D28DF" w:rsidRPr="00A04BC7" w:rsidRDefault="004D28DF"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The Chair, Kevin Buckett, seemed to indicate that formulated supplementary foods ‘were not supposed to/intended to’ display the HSR.</w:t>
      </w:r>
    </w:p>
    <w:p w:rsidR="004D28DF" w:rsidRPr="00A04BC7" w:rsidRDefault="009D5589"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It needs to be clarified that whilst products such as infant formula/baby food/foods for special medical purposes are not intended to use the HSR, there is special provision in the HSR Guide for ‘formulated supplementary foods’ to be permitted to display the HSR.</w:t>
      </w:r>
    </w:p>
    <w:p w:rsidR="00143C24" w:rsidRPr="00A04BC7" w:rsidRDefault="00143C24"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 xml:space="preserve">Formulated supplementary foods should not display the </w:t>
      </w:r>
      <w:r w:rsidR="00C77553">
        <w:rPr>
          <w:rFonts w:ascii="Times New Roman" w:hAnsi="Times New Roman" w:cs="Times New Roman"/>
          <w:color w:val="000000" w:themeColor="text1"/>
          <w:sz w:val="24"/>
          <w:szCs w:val="24"/>
        </w:rPr>
        <w:t>H</w:t>
      </w:r>
      <w:r w:rsidRPr="00A04BC7">
        <w:rPr>
          <w:rFonts w:ascii="Times New Roman" w:hAnsi="Times New Roman" w:cs="Times New Roman"/>
          <w:color w:val="000000" w:themeColor="text1"/>
          <w:sz w:val="24"/>
          <w:szCs w:val="24"/>
        </w:rPr>
        <w:t>SR.</w:t>
      </w:r>
    </w:p>
    <w:p w:rsidR="00143C24" w:rsidRPr="00A04BC7" w:rsidRDefault="00143C24"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The system needs to be mandatory to be enforced.</w:t>
      </w:r>
    </w:p>
    <w:p w:rsidR="009D5589" w:rsidRPr="00A04BC7" w:rsidRDefault="003019FA" w:rsidP="009270C8">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A04BC7">
        <w:rPr>
          <w:rFonts w:ascii="Times New Roman" w:hAnsi="Times New Roman" w:cs="Times New Roman"/>
          <w:color w:val="000000" w:themeColor="text1"/>
          <w:sz w:val="24"/>
          <w:szCs w:val="24"/>
        </w:rPr>
        <w:t>There is a lack of understanding and knowledge of a broad group of people: there is a need for succession planning for the HSR model.</w:t>
      </w:r>
    </w:p>
    <w:p w:rsidR="009270C8" w:rsidRPr="004C7C26" w:rsidRDefault="003B758E" w:rsidP="003B758E">
      <w:pPr>
        <w:pStyle w:val="ListParagraph"/>
        <w:numPr>
          <w:ilvl w:val="0"/>
          <w:numId w:val="14"/>
        </w:numPr>
        <w:ind w:left="357" w:hanging="357"/>
        <w:contextualSpacing w:val="0"/>
        <w:rPr>
          <w:rFonts w:ascii="Times New Roman" w:hAnsi="Times New Roman" w:cs="Times New Roman"/>
          <w:color w:val="000000" w:themeColor="text1"/>
          <w:sz w:val="24"/>
          <w:szCs w:val="24"/>
        </w:rPr>
      </w:pPr>
      <w:r w:rsidRPr="004C7C26">
        <w:rPr>
          <w:rFonts w:ascii="Times New Roman" w:hAnsi="Times New Roman" w:cs="Times New Roman"/>
          <w:color w:val="000000" w:themeColor="text1"/>
          <w:sz w:val="24"/>
          <w:szCs w:val="24"/>
        </w:rPr>
        <w:t>The HSR should be applied to as many retail foods as possible to educate consumers</w:t>
      </w:r>
      <w:r w:rsidR="00967C35" w:rsidRPr="004C7C26">
        <w:rPr>
          <w:rFonts w:ascii="Times New Roman" w:hAnsi="Times New Roman" w:cs="Times New Roman"/>
          <w:color w:val="000000" w:themeColor="text1"/>
          <w:sz w:val="24"/>
          <w:szCs w:val="24"/>
        </w:rPr>
        <w:t>. Products should not be exempt.</w:t>
      </w:r>
    </w:p>
    <w:sectPr w:rsidR="009270C8" w:rsidRPr="004C7C26" w:rsidSect="000314FA">
      <w:headerReference w:type="defaul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35" w:rsidRDefault="001F7735" w:rsidP="001F7735">
      <w:pPr>
        <w:spacing w:after="0" w:line="240" w:lineRule="auto"/>
      </w:pPr>
      <w:r>
        <w:separator/>
      </w:r>
    </w:p>
  </w:endnote>
  <w:endnote w:type="continuationSeparator" w:id="0">
    <w:p w:rsidR="001F7735" w:rsidRDefault="001F7735" w:rsidP="001F7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35" w:rsidRDefault="001F7735" w:rsidP="001F7735">
      <w:pPr>
        <w:spacing w:after="0" w:line="240" w:lineRule="auto"/>
      </w:pPr>
      <w:r>
        <w:separator/>
      </w:r>
    </w:p>
  </w:footnote>
  <w:footnote w:type="continuationSeparator" w:id="0">
    <w:p w:rsidR="001F7735" w:rsidRDefault="001F7735" w:rsidP="001F7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35" w:rsidRPr="001F7735" w:rsidRDefault="001F7735" w:rsidP="001F7735">
    <w:pPr>
      <w:pStyle w:val="Header"/>
      <w:jc w:val="center"/>
      <w:rPr>
        <w:rFonts w:ascii="Times New Roman" w:hAnsi="Times New Roman" w:cs="Times New Roman"/>
        <w:sz w:val="24"/>
        <w:szCs w:val="24"/>
      </w:rPr>
    </w:pPr>
    <w:r w:rsidRPr="001F7735">
      <w:rPr>
        <w:rFonts w:ascii="Times New Roman" w:hAnsi="Times New Roman" w:cs="Times New Roman"/>
        <w:sz w:val="24"/>
        <w:szCs w:val="24"/>
      </w:rPr>
      <w:t xml:space="preserve">- </w:t>
    </w:r>
    <w:sdt>
      <w:sdtPr>
        <w:rPr>
          <w:rFonts w:ascii="Times New Roman" w:hAnsi="Times New Roman" w:cs="Times New Roman"/>
          <w:sz w:val="24"/>
          <w:szCs w:val="24"/>
        </w:rPr>
        <w:id w:val="-1218810664"/>
        <w:docPartObj>
          <w:docPartGallery w:val="Page Numbers (Top of Page)"/>
          <w:docPartUnique/>
        </w:docPartObj>
      </w:sdtPr>
      <w:sdtEndPr>
        <w:rPr>
          <w:noProof/>
        </w:rPr>
      </w:sdtEndPr>
      <w:sdtContent>
        <w:r w:rsidRPr="001F7735">
          <w:rPr>
            <w:rFonts w:ascii="Times New Roman" w:hAnsi="Times New Roman" w:cs="Times New Roman"/>
            <w:sz w:val="24"/>
            <w:szCs w:val="24"/>
          </w:rPr>
          <w:fldChar w:fldCharType="begin"/>
        </w:r>
        <w:r w:rsidRPr="001F7735">
          <w:rPr>
            <w:rFonts w:ascii="Times New Roman" w:hAnsi="Times New Roman" w:cs="Times New Roman"/>
            <w:sz w:val="24"/>
            <w:szCs w:val="24"/>
          </w:rPr>
          <w:instrText xml:space="preserve"> PAGE   \* MERGEFORMAT </w:instrText>
        </w:r>
        <w:r w:rsidRPr="001F7735">
          <w:rPr>
            <w:rFonts w:ascii="Times New Roman" w:hAnsi="Times New Roman" w:cs="Times New Roman"/>
            <w:sz w:val="24"/>
            <w:szCs w:val="24"/>
          </w:rPr>
          <w:fldChar w:fldCharType="separate"/>
        </w:r>
        <w:r w:rsidR="00551051">
          <w:rPr>
            <w:rFonts w:ascii="Times New Roman" w:hAnsi="Times New Roman" w:cs="Times New Roman"/>
            <w:noProof/>
            <w:sz w:val="24"/>
            <w:szCs w:val="24"/>
          </w:rPr>
          <w:t>2</w:t>
        </w:r>
        <w:r w:rsidRPr="001F7735">
          <w:rPr>
            <w:rFonts w:ascii="Times New Roman" w:hAnsi="Times New Roman" w:cs="Times New Roman"/>
            <w:noProof/>
            <w:sz w:val="24"/>
            <w:szCs w:val="24"/>
          </w:rPr>
          <w:fldChar w:fldCharType="end"/>
        </w:r>
        <w:r w:rsidRPr="001F7735">
          <w:rPr>
            <w:rFonts w:ascii="Times New Roman" w:hAnsi="Times New Roman" w:cs="Times New Roman"/>
            <w:noProof/>
            <w:sz w:val="24"/>
            <w:szCs w:val="24"/>
          </w:rPr>
          <w:t xml:space="preserve"> -</w:t>
        </w:r>
      </w:sdtContent>
    </w:sdt>
  </w:p>
  <w:p w:rsidR="001F7735" w:rsidRDefault="001F7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FCA"/>
    <w:multiLevelType w:val="hybridMultilevel"/>
    <w:tmpl w:val="D72E7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6E7E18"/>
    <w:multiLevelType w:val="hybridMultilevel"/>
    <w:tmpl w:val="5B8A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2336A"/>
    <w:multiLevelType w:val="hybridMultilevel"/>
    <w:tmpl w:val="56A4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4851AE"/>
    <w:multiLevelType w:val="hybridMultilevel"/>
    <w:tmpl w:val="730640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D07A05"/>
    <w:multiLevelType w:val="hybridMultilevel"/>
    <w:tmpl w:val="EB9662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643"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DC2351A"/>
    <w:multiLevelType w:val="hybridMultilevel"/>
    <w:tmpl w:val="BB8C7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94F2087"/>
    <w:multiLevelType w:val="hybridMultilevel"/>
    <w:tmpl w:val="2FB0D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F203F3F"/>
    <w:multiLevelType w:val="hybridMultilevel"/>
    <w:tmpl w:val="0CD21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08B2F67"/>
    <w:multiLevelType w:val="hybridMultilevel"/>
    <w:tmpl w:val="95F8B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CF1450"/>
    <w:multiLevelType w:val="hybridMultilevel"/>
    <w:tmpl w:val="8EF2509E"/>
    <w:lvl w:ilvl="0" w:tplc="14090001">
      <w:start w:val="1"/>
      <w:numFmt w:val="bullet"/>
      <w:lvlText w:val=""/>
      <w:lvlJc w:val="left"/>
      <w:pPr>
        <w:ind w:left="360" w:hanging="360"/>
      </w:pPr>
      <w:rPr>
        <w:rFonts w:ascii="Symbol" w:hAnsi="Symbol" w:hint="default"/>
      </w:rPr>
    </w:lvl>
    <w:lvl w:ilvl="1" w:tplc="5212E110">
      <w:numFmt w:val="bullet"/>
      <w:lvlText w:val="•"/>
      <w:lvlJc w:val="left"/>
      <w:pPr>
        <w:ind w:left="1080" w:hanging="360"/>
      </w:pPr>
      <w:rPr>
        <w:rFonts w:ascii="Times New Roman" w:eastAsiaTheme="minorHAnsi"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D097C60"/>
    <w:multiLevelType w:val="hybridMultilevel"/>
    <w:tmpl w:val="864C98D6"/>
    <w:lvl w:ilvl="0" w:tplc="327AF3B8">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EB1002"/>
    <w:multiLevelType w:val="hybridMultilevel"/>
    <w:tmpl w:val="93F82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F4C7942"/>
    <w:multiLevelType w:val="hybridMultilevel"/>
    <w:tmpl w:val="4498E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CDC6838"/>
    <w:multiLevelType w:val="hybridMultilevel"/>
    <w:tmpl w:val="0AF6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11"/>
  </w:num>
  <w:num w:numId="6">
    <w:abstractNumId w:val="7"/>
  </w:num>
  <w:num w:numId="7">
    <w:abstractNumId w:val="12"/>
  </w:num>
  <w:num w:numId="8">
    <w:abstractNumId w:val="6"/>
  </w:num>
  <w:num w:numId="9">
    <w:abstractNumId w:val="0"/>
  </w:num>
  <w:num w:numId="10">
    <w:abstractNumId w:val="2"/>
  </w:num>
  <w:num w:numId="11">
    <w:abstractNumId w:val="10"/>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A0"/>
    <w:rsid w:val="0000088C"/>
    <w:rsid w:val="00006DC9"/>
    <w:rsid w:val="00027989"/>
    <w:rsid w:val="000314FA"/>
    <w:rsid w:val="00034A15"/>
    <w:rsid w:val="00035CC0"/>
    <w:rsid w:val="00036287"/>
    <w:rsid w:val="00080C05"/>
    <w:rsid w:val="0008149D"/>
    <w:rsid w:val="00095D16"/>
    <w:rsid w:val="000B796C"/>
    <w:rsid w:val="000E24B6"/>
    <w:rsid w:val="00111202"/>
    <w:rsid w:val="00143C24"/>
    <w:rsid w:val="00173341"/>
    <w:rsid w:val="00182F1C"/>
    <w:rsid w:val="0019627C"/>
    <w:rsid w:val="00197E7C"/>
    <w:rsid w:val="001A5E42"/>
    <w:rsid w:val="001C29FB"/>
    <w:rsid w:val="001C7200"/>
    <w:rsid w:val="001D6BF2"/>
    <w:rsid w:val="001F429D"/>
    <w:rsid w:val="001F7735"/>
    <w:rsid w:val="00202AE9"/>
    <w:rsid w:val="002111A9"/>
    <w:rsid w:val="0023511B"/>
    <w:rsid w:val="00266A83"/>
    <w:rsid w:val="00271874"/>
    <w:rsid w:val="00273DD8"/>
    <w:rsid w:val="002874A1"/>
    <w:rsid w:val="002E470F"/>
    <w:rsid w:val="003019FA"/>
    <w:rsid w:val="0032740F"/>
    <w:rsid w:val="00356356"/>
    <w:rsid w:val="00367839"/>
    <w:rsid w:val="00393C35"/>
    <w:rsid w:val="003B1EDD"/>
    <w:rsid w:val="003B758E"/>
    <w:rsid w:val="003C74FC"/>
    <w:rsid w:val="003D50DC"/>
    <w:rsid w:val="003E3647"/>
    <w:rsid w:val="003E569C"/>
    <w:rsid w:val="003F2E58"/>
    <w:rsid w:val="003F3424"/>
    <w:rsid w:val="00406286"/>
    <w:rsid w:val="004104C5"/>
    <w:rsid w:val="00414E8D"/>
    <w:rsid w:val="00442134"/>
    <w:rsid w:val="00451712"/>
    <w:rsid w:val="00452A74"/>
    <w:rsid w:val="00452D14"/>
    <w:rsid w:val="004607C0"/>
    <w:rsid w:val="004620E7"/>
    <w:rsid w:val="004659FE"/>
    <w:rsid w:val="00475A2D"/>
    <w:rsid w:val="00482136"/>
    <w:rsid w:val="00484254"/>
    <w:rsid w:val="004B2F87"/>
    <w:rsid w:val="004C10AE"/>
    <w:rsid w:val="004C4AE9"/>
    <w:rsid w:val="004C7C26"/>
    <w:rsid w:val="004D2379"/>
    <w:rsid w:val="004D23C1"/>
    <w:rsid w:val="004D28DF"/>
    <w:rsid w:val="004E1270"/>
    <w:rsid w:val="00516D3B"/>
    <w:rsid w:val="00522A45"/>
    <w:rsid w:val="00530660"/>
    <w:rsid w:val="005456B0"/>
    <w:rsid w:val="00545F5A"/>
    <w:rsid w:val="005477A7"/>
    <w:rsid w:val="00550F48"/>
    <w:rsid w:val="00551051"/>
    <w:rsid w:val="00566DAC"/>
    <w:rsid w:val="0057103D"/>
    <w:rsid w:val="00575FEE"/>
    <w:rsid w:val="005913FF"/>
    <w:rsid w:val="00594909"/>
    <w:rsid w:val="005A6C7E"/>
    <w:rsid w:val="005C214B"/>
    <w:rsid w:val="005E57A6"/>
    <w:rsid w:val="00604745"/>
    <w:rsid w:val="006271F8"/>
    <w:rsid w:val="0064024B"/>
    <w:rsid w:val="00662FD9"/>
    <w:rsid w:val="00665DD2"/>
    <w:rsid w:val="00666CD6"/>
    <w:rsid w:val="00672CFB"/>
    <w:rsid w:val="00685ABE"/>
    <w:rsid w:val="006A1EC4"/>
    <w:rsid w:val="006C2102"/>
    <w:rsid w:val="006E4E35"/>
    <w:rsid w:val="00701609"/>
    <w:rsid w:val="00702504"/>
    <w:rsid w:val="007450A8"/>
    <w:rsid w:val="00746090"/>
    <w:rsid w:val="00765038"/>
    <w:rsid w:val="00767224"/>
    <w:rsid w:val="00795361"/>
    <w:rsid w:val="007C742E"/>
    <w:rsid w:val="007F2B0C"/>
    <w:rsid w:val="00801600"/>
    <w:rsid w:val="0080402B"/>
    <w:rsid w:val="00813138"/>
    <w:rsid w:val="00821B8C"/>
    <w:rsid w:val="00833319"/>
    <w:rsid w:val="00834710"/>
    <w:rsid w:val="00851443"/>
    <w:rsid w:val="00852E59"/>
    <w:rsid w:val="00860921"/>
    <w:rsid w:val="008857E0"/>
    <w:rsid w:val="00887D4C"/>
    <w:rsid w:val="008A6D72"/>
    <w:rsid w:val="008B21CA"/>
    <w:rsid w:val="008B2C40"/>
    <w:rsid w:val="0091232D"/>
    <w:rsid w:val="009171CE"/>
    <w:rsid w:val="00922737"/>
    <w:rsid w:val="00922973"/>
    <w:rsid w:val="009270C8"/>
    <w:rsid w:val="00956CA0"/>
    <w:rsid w:val="009679FD"/>
    <w:rsid w:val="00967C35"/>
    <w:rsid w:val="00986DD0"/>
    <w:rsid w:val="00987FAA"/>
    <w:rsid w:val="009B0483"/>
    <w:rsid w:val="009C28CD"/>
    <w:rsid w:val="009D5589"/>
    <w:rsid w:val="009E559D"/>
    <w:rsid w:val="009F135E"/>
    <w:rsid w:val="009F2FF8"/>
    <w:rsid w:val="009F4051"/>
    <w:rsid w:val="00A034EC"/>
    <w:rsid w:val="00A04BC7"/>
    <w:rsid w:val="00A13A5E"/>
    <w:rsid w:val="00A41376"/>
    <w:rsid w:val="00A92244"/>
    <w:rsid w:val="00AA3701"/>
    <w:rsid w:val="00AC611D"/>
    <w:rsid w:val="00AC76FA"/>
    <w:rsid w:val="00AD42EF"/>
    <w:rsid w:val="00AE6843"/>
    <w:rsid w:val="00AE6E20"/>
    <w:rsid w:val="00AF5565"/>
    <w:rsid w:val="00B21E66"/>
    <w:rsid w:val="00B35C70"/>
    <w:rsid w:val="00B433E0"/>
    <w:rsid w:val="00B47733"/>
    <w:rsid w:val="00B52369"/>
    <w:rsid w:val="00B80AF2"/>
    <w:rsid w:val="00B80CFD"/>
    <w:rsid w:val="00BA0C87"/>
    <w:rsid w:val="00BC7B7B"/>
    <w:rsid w:val="00BD1298"/>
    <w:rsid w:val="00BF2C57"/>
    <w:rsid w:val="00BF6E0D"/>
    <w:rsid w:val="00C121E6"/>
    <w:rsid w:val="00C249F7"/>
    <w:rsid w:val="00C27391"/>
    <w:rsid w:val="00C45B54"/>
    <w:rsid w:val="00C47D59"/>
    <w:rsid w:val="00C606F0"/>
    <w:rsid w:val="00C639D8"/>
    <w:rsid w:val="00C74BE0"/>
    <w:rsid w:val="00C77068"/>
    <w:rsid w:val="00C77553"/>
    <w:rsid w:val="00C9530C"/>
    <w:rsid w:val="00C962C1"/>
    <w:rsid w:val="00CA1C44"/>
    <w:rsid w:val="00CB38AA"/>
    <w:rsid w:val="00CD6628"/>
    <w:rsid w:val="00D102D5"/>
    <w:rsid w:val="00D308FE"/>
    <w:rsid w:val="00D33947"/>
    <w:rsid w:val="00D80629"/>
    <w:rsid w:val="00D90B03"/>
    <w:rsid w:val="00DC1B41"/>
    <w:rsid w:val="00DC7742"/>
    <w:rsid w:val="00DD069E"/>
    <w:rsid w:val="00DE08A4"/>
    <w:rsid w:val="00DE4B22"/>
    <w:rsid w:val="00DF29E9"/>
    <w:rsid w:val="00DF3588"/>
    <w:rsid w:val="00E04617"/>
    <w:rsid w:val="00E20A51"/>
    <w:rsid w:val="00E379A3"/>
    <w:rsid w:val="00E43477"/>
    <w:rsid w:val="00E44D71"/>
    <w:rsid w:val="00E66049"/>
    <w:rsid w:val="00E702EF"/>
    <w:rsid w:val="00E74C7A"/>
    <w:rsid w:val="00EC3EB4"/>
    <w:rsid w:val="00ED31C0"/>
    <w:rsid w:val="00EF25A2"/>
    <w:rsid w:val="00EF682B"/>
    <w:rsid w:val="00EF7740"/>
    <w:rsid w:val="00F00C31"/>
    <w:rsid w:val="00F02125"/>
    <w:rsid w:val="00F050A9"/>
    <w:rsid w:val="00F11724"/>
    <w:rsid w:val="00F25482"/>
    <w:rsid w:val="00F26322"/>
    <w:rsid w:val="00F34283"/>
    <w:rsid w:val="00F43A77"/>
    <w:rsid w:val="00F84C91"/>
    <w:rsid w:val="00FB3B3F"/>
    <w:rsid w:val="00FC3FE6"/>
    <w:rsid w:val="00FC5C44"/>
    <w:rsid w:val="00FD107A"/>
    <w:rsid w:val="00FE0271"/>
    <w:rsid w:val="00FE3FDF"/>
    <w:rsid w:val="00FE4C99"/>
    <w:rsid w:val="00FE5B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271"/>
    <w:pPr>
      <w:keepNext/>
      <w:spacing w:after="120" w:line="240" w:lineRule="auto"/>
      <w:outlineLvl w:val="1"/>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A0"/>
    <w:pPr>
      <w:ind w:left="720"/>
      <w:contextualSpacing/>
    </w:pPr>
  </w:style>
  <w:style w:type="paragraph" w:styleId="Title">
    <w:name w:val="Title"/>
    <w:basedOn w:val="Heading1"/>
    <w:next w:val="Normal"/>
    <w:link w:val="TitleChar"/>
    <w:uiPriority w:val="10"/>
    <w:qFormat/>
    <w:rsid w:val="00B47733"/>
    <w:pPr>
      <w:keepNext w:val="0"/>
      <w:keepLines w:val="0"/>
      <w:spacing w:before="0" w:line="276" w:lineRule="auto"/>
      <w:jc w:val="center"/>
    </w:pPr>
    <w:rPr>
      <w:rFonts w:asciiTheme="minorHAnsi" w:eastAsiaTheme="minorHAnsi" w:hAnsiTheme="minorHAnsi" w:cstheme="minorBidi"/>
      <w:b/>
      <w:color w:val="auto"/>
      <w:sz w:val="28"/>
      <w:szCs w:val="22"/>
      <w:lang w:val="en-AU"/>
    </w:rPr>
  </w:style>
  <w:style w:type="character" w:customStyle="1" w:styleId="TitleChar">
    <w:name w:val="Title Char"/>
    <w:basedOn w:val="DefaultParagraphFont"/>
    <w:link w:val="Title"/>
    <w:uiPriority w:val="10"/>
    <w:rsid w:val="00B47733"/>
    <w:rPr>
      <w:b/>
      <w:sz w:val="28"/>
      <w:lang w:val="en-AU"/>
    </w:rPr>
  </w:style>
  <w:style w:type="paragraph" w:styleId="Subtitle">
    <w:name w:val="Subtitle"/>
    <w:basedOn w:val="Heading1"/>
    <w:next w:val="Normal"/>
    <w:link w:val="SubtitleChar"/>
    <w:uiPriority w:val="11"/>
    <w:qFormat/>
    <w:rsid w:val="00B47733"/>
    <w:pPr>
      <w:keepNext w:val="0"/>
      <w:keepLines w:val="0"/>
      <w:spacing w:before="0" w:line="276" w:lineRule="auto"/>
      <w:jc w:val="center"/>
    </w:pPr>
    <w:rPr>
      <w:rFonts w:asciiTheme="minorHAnsi" w:eastAsiaTheme="minorHAnsi" w:hAnsiTheme="minorHAnsi" w:cstheme="minorBidi"/>
      <w:b/>
      <w:color w:val="auto"/>
      <w:sz w:val="28"/>
      <w:szCs w:val="22"/>
      <w:lang w:val="en-AU"/>
    </w:rPr>
  </w:style>
  <w:style w:type="character" w:customStyle="1" w:styleId="SubtitleChar">
    <w:name w:val="Subtitle Char"/>
    <w:basedOn w:val="DefaultParagraphFont"/>
    <w:link w:val="Subtitle"/>
    <w:uiPriority w:val="11"/>
    <w:rsid w:val="00B47733"/>
    <w:rPr>
      <w:b/>
      <w:sz w:val="28"/>
      <w:lang w:val="en-AU"/>
    </w:rPr>
  </w:style>
  <w:style w:type="character" w:customStyle="1" w:styleId="Heading1Char">
    <w:name w:val="Heading 1 Char"/>
    <w:basedOn w:val="DefaultParagraphFont"/>
    <w:link w:val="Heading1"/>
    <w:uiPriority w:val="9"/>
    <w:rsid w:val="00B4773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F2"/>
    <w:rPr>
      <w:rFonts w:ascii="Tahoma" w:hAnsi="Tahoma" w:cs="Tahoma"/>
      <w:sz w:val="16"/>
      <w:szCs w:val="16"/>
    </w:rPr>
  </w:style>
  <w:style w:type="paragraph" w:styleId="Header">
    <w:name w:val="header"/>
    <w:basedOn w:val="Normal"/>
    <w:link w:val="HeaderChar"/>
    <w:uiPriority w:val="99"/>
    <w:unhideWhenUsed/>
    <w:rsid w:val="001F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35"/>
  </w:style>
  <w:style w:type="paragraph" w:styleId="Footer">
    <w:name w:val="footer"/>
    <w:basedOn w:val="Normal"/>
    <w:link w:val="FooterChar"/>
    <w:uiPriority w:val="99"/>
    <w:unhideWhenUsed/>
    <w:rsid w:val="001F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35"/>
  </w:style>
  <w:style w:type="character" w:customStyle="1" w:styleId="Heading2Char">
    <w:name w:val="Heading 2 Char"/>
    <w:basedOn w:val="DefaultParagraphFont"/>
    <w:link w:val="Heading2"/>
    <w:uiPriority w:val="9"/>
    <w:rsid w:val="00FE0271"/>
    <w:rPr>
      <w:rFonts w:ascii="Times New Roman" w:hAnsi="Times New Roman" w:cs="Times New Roman"/>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7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271"/>
    <w:pPr>
      <w:keepNext/>
      <w:spacing w:after="120" w:line="240" w:lineRule="auto"/>
      <w:outlineLvl w:val="1"/>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A0"/>
    <w:pPr>
      <w:ind w:left="720"/>
      <w:contextualSpacing/>
    </w:pPr>
  </w:style>
  <w:style w:type="paragraph" w:styleId="Title">
    <w:name w:val="Title"/>
    <w:basedOn w:val="Heading1"/>
    <w:next w:val="Normal"/>
    <w:link w:val="TitleChar"/>
    <w:uiPriority w:val="10"/>
    <w:qFormat/>
    <w:rsid w:val="00B47733"/>
    <w:pPr>
      <w:keepNext w:val="0"/>
      <w:keepLines w:val="0"/>
      <w:spacing w:before="0" w:line="276" w:lineRule="auto"/>
      <w:jc w:val="center"/>
    </w:pPr>
    <w:rPr>
      <w:rFonts w:asciiTheme="minorHAnsi" w:eastAsiaTheme="minorHAnsi" w:hAnsiTheme="minorHAnsi" w:cstheme="minorBidi"/>
      <w:b/>
      <w:color w:val="auto"/>
      <w:sz w:val="28"/>
      <w:szCs w:val="22"/>
      <w:lang w:val="en-AU"/>
    </w:rPr>
  </w:style>
  <w:style w:type="character" w:customStyle="1" w:styleId="TitleChar">
    <w:name w:val="Title Char"/>
    <w:basedOn w:val="DefaultParagraphFont"/>
    <w:link w:val="Title"/>
    <w:uiPriority w:val="10"/>
    <w:rsid w:val="00B47733"/>
    <w:rPr>
      <w:b/>
      <w:sz w:val="28"/>
      <w:lang w:val="en-AU"/>
    </w:rPr>
  </w:style>
  <w:style w:type="paragraph" w:styleId="Subtitle">
    <w:name w:val="Subtitle"/>
    <w:basedOn w:val="Heading1"/>
    <w:next w:val="Normal"/>
    <w:link w:val="SubtitleChar"/>
    <w:uiPriority w:val="11"/>
    <w:qFormat/>
    <w:rsid w:val="00B47733"/>
    <w:pPr>
      <w:keepNext w:val="0"/>
      <w:keepLines w:val="0"/>
      <w:spacing w:before="0" w:line="276" w:lineRule="auto"/>
      <w:jc w:val="center"/>
    </w:pPr>
    <w:rPr>
      <w:rFonts w:asciiTheme="minorHAnsi" w:eastAsiaTheme="minorHAnsi" w:hAnsiTheme="minorHAnsi" w:cstheme="minorBidi"/>
      <w:b/>
      <w:color w:val="auto"/>
      <w:sz w:val="28"/>
      <w:szCs w:val="22"/>
      <w:lang w:val="en-AU"/>
    </w:rPr>
  </w:style>
  <w:style w:type="character" w:customStyle="1" w:styleId="SubtitleChar">
    <w:name w:val="Subtitle Char"/>
    <w:basedOn w:val="DefaultParagraphFont"/>
    <w:link w:val="Subtitle"/>
    <w:uiPriority w:val="11"/>
    <w:rsid w:val="00B47733"/>
    <w:rPr>
      <w:b/>
      <w:sz w:val="28"/>
      <w:lang w:val="en-AU"/>
    </w:rPr>
  </w:style>
  <w:style w:type="character" w:customStyle="1" w:styleId="Heading1Char">
    <w:name w:val="Heading 1 Char"/>
    <w:basedOn w:val="DefaultParagraphFont"/>
    <w:link w:val="Heading1"/>
    <w:uiPriority w:val="9"/>
    <w:rsid w:val="00B4773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BF2"/>
    <w:rPr>
      <w:rFonts w:ascii="Tahoma" w:hAnsi="Tahoma" w:cs="Tahoma"/>
      <w:sz w:val="16"/>
      <w:szCs w:val="16"/>
    </w:rPr>
  </w:style>
  <w:style w:type="paragraph" w:styleId="Header">
    <w:name w:val="header"/>
    <w:basedOn w:val="Normal"/>
    <w:link w:val="HeaderChar"/>
    <w:uiPriority w:val="99"/>
    <w:unhideWhenUsed/>
    <w:rsid w:val="001F7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35"/>
  </w:style>
  <w:style w:type="paragraph" w:styleId="Footer">
    <w:name w:val="footer"/>
    <w:basedOn w:val="Normal"/>
    <w:link w:val="FooterChar"/>
    <w:uiPriority w:val="99"/>
    <w:unhideWhenUsed/>
    <w:rsid w:val="001F7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35"/>
  </w:style>
  <w:style w:type="character" w:customStyle="1" w:styleId="Heading2Char">
    <w:name w:val="Heading 2 Char"/>
    <w:basedOn w:val="DefaultParagraphFont"/>
    <w:link w:val="Heading2"/>
    <w:uiPriority w:val="9"/>
    <w:rsid w:val="00FE0271"/>
    <w:rPr>
      <w:rFonts w:ascii="Times New Roman" w:hAnsi="Times New Roman" w:cs="Times New Roman"/>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37F2-F15E-4024-8A2A-7C9F90DF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2638</Words>
  <Characters>13721</Characters>
  <Application>Microsoft Office Word</Application>
  <DocSecurity>0</DocSecurity>
  <Lines>980</Lines>
  <Paragraphs>681</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Hawthorne</dc:creator>
  <cp:lastModifiedBy>Huard John</cp:lastModifiedBy>
  <cp:revision>9</cp:revision>
  <cp:lastPrinted>2017-10-27T01:03:00Z</cp:lastPrinted>
  <dcterms:created xsi:type="dcterms:W3CDTF">2017-12-05T03:13:00Z</dcterms:created>
  <dcterms:modified xsi:type="dcterms:W3CDTF">2017-12-12T22:45:00Z</dcterms:modified>
</cp:coreProperties>
</file>