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B8" w:rsidRPr="00FE11CC" w:rsidRDefault="00AA4AB8" w:rsidP="00FE11CC">
      <w:pPr>
        <w:pStyle w:val="Title"/>
      </w:pPr>
      <w:r w:rsidRPr="00FE11CC">
        <w:t xml:space="preserve">HEALTH STAR RATING </w:t>
      </w:r>
      <w:r w:rsidR="003D7BDD" w:rsidRPr="00FE11CC">
        <w:t xml:space="preserve">STAKEHOLDER </w:t>
      </w:r>
      <w:r w:rsidRPr="00FE11CC">
        <w:t>WORKSHOP</w:t>
      </w:r>
    </w:p>
    <w:p w:rsidR="003D7BDD" w:rsidRPr="00FE11CC" w:rsidRDefault="00AA4AB8" w:rsidP="00FE11CC">
      <w:pPr>
        <w:pStyle w:val="Subtitle"/>
      </w:pPr>
      <w:r w:rsidRPr="00FE11CC">
        <w:t>Melbourne 18 May 2016</w:t>
      </w:r>
    </w:p>
    <w:p w:rsidR="00AA4AB8" w:rsidRPr="00FE11CC" w:rsidRDefault="00AA4AB8" w:rsidP="00FE11CC">
      <w:pPr>
        <w:pStyle w:val="Subtitle"/>
      </w:pPr>
      <w:r w:rsidRPr="00FE11CC">
        <w:t>Public Health Stakeholders</w:t>
      </w:r>
      <w:r w:rsidR="00C95C60" w:rsidRPr="00FE11CC">
        <w:t xml:space="preserve"> </w:t>
      </w:r>
      <w:r w:rsidRPr="00FE11CC">
        <w:t>(Attendees: 22)</w:t>
      </w:r>
    </w:p>
    <w:p w:rsidR="00AA4AB8" w:rsidRPr="009B29E0" w:rsidRDefault="00AA4AB8" w:rsidP="00AA4AB8">
      <w:pPr>
        <w:spacing w:after="0"/>
        <w:jc w:val="center"/>
        <w:rPr>
          <w:rFonts w:asciiTheme="minorHAnsi" w:hAnsiTheme="minorHAnsi"/>
        </w:rPr>
      </w:pPr>
    </w:p>
    <w:p w:rsidR="00AA4AB8" w:rsidRPr="00FE11CC" w:rsidRDefault="00AA4AB8" w:rsidP="00FE11CC">
      <w:pPr>
        <w:pStyle w:val="Heading1"/>
      </w:pPr>
      <w:r w:rsidRPr="00FE11CC">
        <w:t xml:space="preserve">PUBLIC HEALTH </w:t>
      </w:r>
      <w:r w:rsidR="00A915F8" w:rsidRPr="00FE11CC">
        <w:t xml:space="preserve">SUMMARY </w:t>
      </w:r>
      <w:r w:rsidRPr="00FE11CC">
        <w:t xml:space="preserve">REPORT </w:t>
      </w:r>
    </w:p>
    <w:p w:rsidR="009B29E0" w:rsidRDefault="009B29E0" w:rsidP="009B29E0">
      <w:pPr>
        <w:spacing w:after="0" w:line="240" w:lineRule="auto"/>
        <w:jc w:val="center"/>
        <w:rPr>
          <w:rFonts w:asciiTheme="minorHAnsi" w:hAnsiTheme="minorHAnsi"/>
          <w:b/>
          <w:sz w:val="28"/>
        </w:rPr>
      </w:pPr>
      <w:r>
        <w:rPr>
          <w:rFonts w:asciiTheme="minorHAnsi" w:hAnsiTheme="minorHAnsi"/>
          <w:b/>
          <w:noProof/>
          <w:sz w:val="28"/>
          <w:lang w:eastAsia="en-AU"/>
        </w:rPr>
        <w:drawing>
          <wp:inline distT="0" distB="0" distL="0" distR="0">
            <wp:extent cx="5588000" cy="2860819"/>
            <wp:effectExtent l="0" t="0" r="0" b="0"/>
            <wp:docPr id="1" name="Picture 1" descr="Bar graph of ratings allocated by attendants for how well the HSR system is doing against its objective: 'The HSR system has been developed to assist consumers to make healthier food choices when purchasing processed packaged foods.'&#10;0 stars - 1&#10;0.5 stars - 0&#10;1 star - 3&#10;1.5 stars - 1&#10;2 stars - 3&#10;2.5 stars - 6&#10;3 stars - 6&#10;3.5 stars - 3&#10;4 stars - 2&#10;4.5 stars - 0&#10;5 stars - 0" title="Bar graph of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23\TOMSNA\Desktop\Melbourne public health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5031" cy="2864418"/>
                    </a:xfrm>
                    <a:prstGeom prst="rect">
                      <a:avLst/>
                    </a:prstGeom>
                    <a:noFill/>
                    <a:ln>
                      <a:noFill/>
                    </a:ln>
                  </pic:spPr>
                </pic:pic>
              </a:graphicData>
            </a:graphic>
          </wp:inline>
        </w:drawing>
      </w:r>
    </w:p>
    <w:p w:rsidR="009B29E0" w:rsidRDefault="009B29E0" w:rsidP="007D496E">
      <w:pPr>
        <w:spacing w:after="0" w:line="240" w:lineRule="auto"/>
        <w:rPr>
          <w:rFonts w:asciiTheme="minorHAnsi" w:hAnsiTheme="minorHAnsi"/>
          <w:b/>
          <w:sz w:val="28"/>
        </w:rPr>
      </w:pPr>
    </w:p>
    <w:p w:rsidR="003C2ABE" w:rsidRPr="00FE11CC" w:rsidRDefault="001206B0" w:rsidP="00FE11CC">
      <w:pPr>
        <w:pStyle w:val="Heading2"/>
      </w:pPr>
      <w:r w:rsidRPr="00FE11CC">
        <w:t>Key</w:t>
      </w:r>
      <w:r w:rsidR="003C2ABE" w:rsidRPr="00FE11CC">
        <w:t xml:space="preserve"> messages</w:t>
      </w:r>
      <w:r w:rsidR="006E0108" w:rsidRPr="00FE11CC">
        <w:t xml:space="preserve"> for consideration by </w:t>
      </w:r>
      <w:r w:rsidR="003D7BDD" w:rsidRPr="00FE11CC">
        <w:t>the Health Star Rating (HSR) Advisory Committee</w:t>
      </w:r>
    </w:p>
    <w:p w:rsidR="000154BF" w:rsidRPr="004E112E" w:rsidRDefault="000154BF" w:rsidP="000154BF">
      <w:pPr>
        <w:spacing w:after="0" w:line="240" w:lineRule="auto"/>
        <w:rPr>
          <w:rFonts w:asciiTheme="minorHAnsi" w:hAnsiTheme="minorHAnsi"/>
          <w:szCs w:val="24"/>
        </w:rPr>
      </w:pPr>
      <w:r>
        <w:rPr>
          <w:rFonts w:asciiTheme="minorHAnsi" w:hAnsiTheme="minorHAnsi"/>
          <w:szCs w:val="24"/>
        </w:rPr>
        <w:t>The outcomes of the workshop are not a consensus statement.  The ‘messages’ described below reflect the main themes and views of attendees in general.</w:t>
      </w:r>
    </w:p>
    <w:p w:rsidR="00C875C3" w:rsidRPr="00D81316" w:rsidRDefault="00C875C3" w:rsidP="000154BF">
      <w:pPr>
        <w:spacing w:after="0" w:line="240" w:lineRule="auto"/>
        <w:rPr>
          <w:rFonts w:asciiTheme="minorHAnsi" w:hAnsiTheme="minorHAnsi"/>
          <w:szCs w:val="24"/>
        </w:rPr>
      </w:pPr>
    </w:p>
    <w:p w:rsidR="0005425A" w:rsidRPr="00D81316" w:rsidRDefault="006E0108" w:rsidP="006E0108">
      <w:pPr>
        <w:pStyle w:val="ListParagraph"/>
        <w:numPr>
          <w:ilvl w:val="0"/>
          <w:numId w:val="11"/>
        </w:numPr>
        <w:spacing w:after="0" w:line="240" w:lineRule="auto"/>
        <w:rPr>
          <w:rFonts w:asciiTheme="minorHAnsi" w:hAnsiTheme="minorHAnsi"/>
          <w:szCs w:val="24"/>
        </w:rPr>
      </w:pPr>
      <w:r w:rsidRPr="00D81316">
        <w:rPr>
          <w:rFonts w:asciiTheme="minorHAnsi" w:hAnsiTheme="minorHAnsi"/>
          <w:szCs w:val="24"/>
        </w:rPr>
        <w:t xml:space="preserve">The algorithm </w:t>
      </w:r>
      <w:r w:rsidR="00DE72E7" w:rsidRPr="00D81316">
        <w:rPr>
          <w:rFonts w:asciiTheme="minorHAnsi" w:hAnsiTheme="minorHAnsi"/>
          <w:szCs w:val="24"/>
        </w:rPr>
        <w:t>and supporting system rules should</w:t>
      </w:r>
      <w:r w:rsidRPr="00D81316">
        <w:rPr>
          <w:rFonts w:asciiTheme="minorHAnsi" w:hAnsiTheme="minorHAnsi"/>
          <w:szCs w:val="24"/>
        </w:rPr>
        <w:t xml:space="preserve"> be reviewed.  </w:t>
      </w:r>
      <w:r w:rsidR="00A856CF" w:rsidRPr="00D81316">
        <w:rPr>
          <w:rFonts w:asciiTheme="minorHAnsi" w:hAnsiTheme="minorHAnsi"/>
          <w:szCs w:val="24"/>
        </w:rPr>
        <w:t>The main aim</w:t>
      </w:r>
      <w:r w:rsidR="00DE72E7" w:rsidRPr="00D81316">
        <w:rPr>
          <w:rFonts w:asciiTheme="minorHAnsi" w:hAnsiTheme="minorHAnsi"/>
          <w:szCs w:val="24"/>
        </w:rPr>
        <w:t xml:space="preserve"> should </w:t>
      </w:r>
      <w:r w:rsidR="00333F4F" w:rsidRPr="00D81316">
        <w:rPr>
          <w:rFonts w:asciiTheme="minorHAnsi" w:hAnsiTheme="minorHAnsi"/>
          <w:szCs w:val="24"/>
        </w:rPr>
        <w:t xml:space="preserve">be to achieve </w:t>
      </w:r>
      <w:r w:rsidR="00DE72E7" w:rsidRPr="00D81316">
        <w:rPr>
          <w:rFonts w:asciiTheme="minorHAnsi" w:hAnsiTheme="minorHAnsi"/>
          <w:szCs w:val="24"/>
        </w:rPr>
        <w:t>greater alignment of the HSR</w:t>
      </w:r>
      <w:r w:rsidR="008B28D6" w:rsidRPr="00D81316">
        <w:rPr>
          <w:rFonts w:asciiTheme="minorHAnsi" w:hAnsiTheme="minorHAnsi"/>
          <w:szCs w:val="24"/>
        </w:rPr>
        <w:t xml:space="preserve"> system</w:t>
      </w:r>
      <w:r w:rsidR="00DE72E7" w:rsidRPr="00D81316">
        <w:rPr>
          <w:rFonts w:asciiTheme="minorHAnsi" w:hAnsiTheme="minorHAnsi"/>
          <w:szCs w:val="24"/>
        </w:rPr>
        <w:t xml:space="preserve"> with the messages of the A</w:t>
      </w:r>
      <w:r w:rsidR="00356050" w:rsidRPr="00D81316">
        <w:rPr>
          <w:rFonts w:asciiTheme="minorHAnsi" w:hAnsiTheme="minorHAnsi"/>
          <w:szCs w:val="24"/>
        </w:rPr>
        <w:t xml:space="preserve">ustralian </w:t>
      </w:r>
      <w:r w:rsidR="00DE72E7" w:rsidRPr="00D81316">
        <w:rPr>
          <w:rFonts w:asciiTheme="minorHAnsi" w:hAnsiTheme="minorHAnsi"/>
          <w:szCs w:val="24"/>
        </w:rPr>
        <w:t>D</w:t>
      </w:r>
      <w:r w:rsidR="00356050" w:rsidRPr="00D81316">
        <w:rPr>
          <w:rFonts w:asciiTheme="minorHAnsi" w:hAnsiTheme="minorHAnsi"/>
          <w:szCs w:val="24"/>
        </w:rPr>
        <w:t xml:space="preserve">ietary </w:t>
      </w:r>
      <w:r w:rsidR="00DE72E7" w:rsidRPr="00D81316">
        <w:rPr>
          <w:rFonts w:asciiTheme="minorHAnsi" w:hAnsiTheme="minorHAnsi"/>
          <w:szCs w:val="24"/>
        </w:rPr>
        <w:t>G</w:t>
      </w:r>
      <w:r w:rsidR="00356050" w:rsidRPr="00D81316">
        <w:rPr>
          <w:rFonts w:asciiTheme="minorHAnsi" w:hAnsiTheme="minorHAnsi"/>
          <w:szCs w:val="24"/>
        </w:rPr>
        <w:t>uidelines (ADG)</w:t>
      </w:r>
      <w:r w:rsidR="00DE72E7" w:rsidRPr="00D81316">
        <w:rPr>
          <w:rFonts w:asciiTheme="minorHAnsi" w:hAnsiTheme="minorHAnsi"/>
          <w:szCs w:val="24"/>
        </w:rPr>
        <w:t xml:space="preserve"> and </w:t>
      </w:r>
      <w:r w:rsidR="00356050" w:rsidRPr="00D81316">
        <w:rPr>
          <w:rFonts w:asciiTheme="minorHAnsi" w:hAnsiTheme="minorHAnsi"/>
          <w:szCs w:val="24"/>
        </w:rPr>
        <w:t>Australian Guide to Healthy Eating (</w:t>
      </w:r>
      <w:r w:rsidR="00DE72E7" w:rsidRPr="00D81316">
        <w:rPr>
          <w:rFonts w:asciiTheme="minorHAnsi" w:hAnsiTheme="minorHAnsi"/>
          <w:szCs w:val="24"/>
        </w:rPr>
        <w:t>AGHE</w:t>
      </w:r>
      <w:r w:rsidR="00356050" w:rsidRPr="00D81316">
        <w:rPr>
          <w:rFonts w:asciiTheme="minorHAnsi" w:hAnsiTheme="minorHAnsi"/>
          <w:szCs w:val="24"/>
        </w:rPr>
        <w:t>)</w:t>
      </w:r>
      <w:r w:rsidR="00DE72E7" w:rsidRPr="00D81316">
        <w:rPr>
          <w:rFonts w:asciiTheme="minorHAnsi" w:hAnsiTheme="minorHAnsi"/>
          <w:szCs w:val="24"/>
        </w:rPr>
        <w:t xml:space="preserve">.  </w:t>
      </w:r>
    </w:p>
    <w:p w:rsidR="00DE72E7" w:rsidRPr="00D81316" w:rsidRDefault="00DE72E7" w:rsidP="006E0108">
      <w:pPr>
        <w:pStyle w:val="ListParagraph"/>
        <w:numPr>
          <w:ilvl w:val="0"/>
          <w:numId w:val="11"/>
        </w:numPr>
        <w:spacing w:after="0" w:line="240" w:lineRule="auto"/>
        <w:rPr>
          <w:rFonts w:asciiTheme="minorHAnsi" w:hAnsiTheme="minorHAnsi"/>
          <w:szCs w:val="24"/>
        </w:rPr>
      </w:pPr>
      <w:r w:rsidRPr="00D81316">
        <w:rPr>
          <w:rFonts w:asciiTheme="minorHAnsi" w:hAnsiTheme="minorHAnsi"/>
          <w:szCs w:val="24"/>
        </w:rPr>
        <w:t>The changes to the system should take place sooner than the five year review period, and be supported by a more targeted education campaign that focuses on the wider nutritional messages and the HSR</w:t>
      </w:r>
      <w:r w:rsidR="008B28D6" w:rsidRPr="00D81316">
        <w:rPr>
          <w:rFonts w:asciiTheme="minorHAnsi" w:hAnsiTheme="minorHAnsi"/>
          <w:szCs w:val="24"/>
        </w:rPr>
        <w:t xml:space="preserve"> system</w:t>
      </w:r>
      <w:r w:rsidRPr="00D81316">
        <w:rPr>
          <w:rFonts w:asciiTheme="minorHAnsi" w:hAnsiTheme="minorHAnsi"/>
          <w:szCs w:val="24"/>
        </w:rPr>
        <w:t xml:space="preserve"> in this context. </w:t>
      </w:r>
    </w:p>
    <w:p w:rsidR="00DE72E7" w:rsidRPr="00D81316" w:rsidRDefault="00333F4F" w:rsidP="006E0108">
      <w:pPr>
        <w:pStyle w:val="ListParagraph"/>
        <w:numPr>
          <w:ilvl w:val="0"/>
          <w:numId w:val="11"/>
        </w:numPr>
        <w:spacing w:after="0" w:line="240" w:lineRule="auto"/>
        <w:rPr>
          <w:rFonts w:asciiTheme="minorHAnsi" w:hAnsiTheme="minorHAnsi"/>
          <w:szCs w:val="24"/>
        </w:rPr>
      </w:pPr>
      <w:r w:rsidRPr="00D81316">
        <w:rPr>
          <w:rFonts w:asciiTheme="minorHAnsi" w:hAnsiTheme="minorHAnsi"/>
          <w:szCs w:val="24"/>
        </w:rPr>
        <w:t>To minimise consumer confusion</w:t>
      </w:r>
      <w:r w:rsidR="00A856CF" w:rsidRPr="00D81316">
        <w:rPr>
          <w:rFonts w:asciiTheme="minorHAnsi" w:hAnsiTheme="minorHAnsi"/>
          <w:szCs w:val="24"/>
        </w:rPr>
        <w:t xml:space="preserve"> and ensure use across all products, the system should be made mandatory. </w:t>
      </w:r>
    </w:p>
    <w:p w:rsidR="00236D94" w:rsidRPr="00D81316" w:rsidRDefault="00236D94" w:rsidP="0005425A">
      <w:pPr>
        <w:pStyle w:val="ListParagraph"/>
        <w:numPr>
          <w:ilvl w:val="0"/>
          <w:numId w:val="11"/>
        </w:numPr>
        <w:spacing w:after="0" w:line="240" w:lineRule="auto"/>
        <w:rPr>
          <w:rFonts w:asciiTheme="minorHAnsi" w:hAnsiTheme="minorHAnsi"/>
          <w:szCs w:val="24"/>
        </w:rPr>
      </w:pPr>
      <w:r w:rsidRPr="00D81316">
        <w:rPr>
          <w:rFonts w:asciiTheme="minorHAnsi" w:hAnsiTheme="minorHAnsi"/>
          <w:szCs w:val="24"/>
        </w:rPr>
        <w:t>The format of the workshop generally worked well</w:t>
      </w:r>
      <w:r w:rsidR="003D7BDD">
        <w:rPr>
          <w:rFonts w:asciiTheme="minorHAnsi" w:hAnsiTheme="minorHAnsi"/>
          <w:szCs w:val="24"/>
        </w:rPr>
        <w:t>.  I</w:t>
      </w:r>
      <w:r w:rsidR="00A856CF" w:rsidRPr="00D81316">
        <w:rPr>
          <w:rFonts w:asciiTheme="minorHAnsi" w:hAnsiTheme="minorHAnsi"/>
          <w:szCs w:val="24"/>
        </w:rPr>
        <w:t>t</w:t>
      </w:r>
      <w:r w:rsidRPr="00D81316">
        <w:rPr>
          <w:rFonts w:asciiTheme="minorHAnsi" w:hAnsiTheme="minorHAnsi"/>
          <w:szCs w:val="24"/>
        </w:rPr>
        <w:t xml:space="preserve"> will be used as a model </w:t>
      </w:r>
      <w:r w:rsidR="003D7BDD">
        <w:rPr>
          <w:rFonts w:asciiTheme="minorHAnsi" w:hAnsiTheme="minorHAnsi"/>
          <w:szCs w:val="24"/>
        </w:rPr>
        <w:t xml:space="preserve">for </w:t>
      </w:r>
      <w:r w:rsidR="00A856CF" w:rsidRPr="00D81316">
        <w:rPr>
          <w:rFonts w:asciiTheme="minorHAnsi" w:hAnsiTheme="minorHAnsi"/>
          <w:szCs w:val="24"/>
        </w:rPr>
        <w:t>future workshops with minor modifications</w:t>
      </w:r>
      <w:r w:rsidR="003D7BDD">
        <w:rPr>
          <w:rFonts w:asciiTheme="minorHAnsi" w:hAnsiTheme="minorHAnsi"/>
          <w:szCs w:val="24"/>
        </w:rPr>
        <w:t>,</w:t>
      </w:r>
      <w:r w:rsidR="00A856CF" w:rsidRPr="00D81316">
        <w:rPr>
          <w:rFonts w:asciiTheme="minorHAnsi" w:hAnsiTheme="minorHAnsi"/>
          <w:szCs w:val="24"/>
        </w:rPr>
        <w:t xml:space="preserve"> primarily increasing the amount of background information provided.</w:t>
      </w:r>
    </w:p>
    <w:p w:rsidR="00930340" w:rsidRPr="00D81316" w:rsidRDefault="00930340" w:rsidP="007D496E">
      <w:pPr>
        <w:spacing w:after="0" w:line="240" w:lineRule="auto"/>
        <w:rPr>
          <w:rFonts w:asciiTheme="minorHAnsi" w:hAnsiTheme="minorHAnsi"/>
          <w:szCs w:val="24"/>
        </w:rPr>
      </w:pPr>
    </w:p>
    <w:p w:rsidR="003C2ABE" w:rsidRPr="00FE11CC" w:rsidRDefault="003C2ABE" w:rsidP="00FE11CC">
      <w:pPr>
        <w:pStyle w:val="Heading2"/>
      </w:pPr>
      <w:bookmarkStart w:id="0" w:name="_GoBack"/>
      <w:r w:rsidRPr="00FE11CC">
        <w:t>Main areas of discussion</w:t>
      </w:r>
    </w:p>
    <w:bookmarkEnd w:id="0"/>
    <w:p w:rsidR="00C27295" w:rsidRPr="00C27295" w:rsidRDefault="00C27295" w:rsidP="007D496E">
      <w:pPr>
        <w:spacing w:after="0" w:line="240" w:lineRule="auto"/>
        <w:rPr>
          <w:rFonts w:asciiTheme="minorHAnsi" w:hAnsiTheme="minorHAnsi"/>
          <w:szCs w:val="24"/>
        </w:rPr>
      </w:pPr>
      <w:r>
        <w:rPr>
          <w:rFonts w:asciiTheme="minorHAnsi" w:hAnsiTheme="minorHAnsi"/>
          <w:szCs w:val="24"/>
        </w:rPr>
        <w:t>Significant discussion was targeted to the HSR</w:t>
      </w:r>
      <w:r w:rsidR="00C403B2">
        <w:rPr>
          <w:rFonts w:asciiTheme="minorHAnsi" w:hAnsiTheme="minorHAnsi"/>
          <w:szCs w:val="24"/>
        </w:rPr>
        <w:t xml:space="preserve"> system and</w:t>
      </w:r>
      <w:r>
        <w:rPr>
          <w:rFonts w:asciiTheme="minorHAnsi" w:hAnsiTheme="minorHAnsi"/>
          <w:szCs w:val="24"/>
        </w:rPr>
        <w:t xml:space="preserve"> its current alignment to the ADG/AGHE and the potential for greater alignment through review of the algorithm.</w:t>
      </w:r>
    </w:p>
    <w:p w:rsidR="00C27295" w:rsidRPr="00C27295" w:rsidRDefault="00C27295" w:rsidP="007D496E">
      <w:pPr>
        <w:spacing w:after="0" w:line="240" w:lineRule="auto"/>
        <w:rPr>
          <w:rFonts w:asciiTheme="minorHAnsi" w:hAnsiTheme="minorHAnsi"/>
          <w:szCs w:val="24"/>
        </w:rPr>
      </w:pPr>
    </w:p>
    <w:p w:rsidR="00C27295" w:rsidRDefault="00C27295" w:rsidP="007D496E">
      <w:pPr>
        <w:spacing w:after="0" w:line="240" w:lineRule="auto"/>
        <w:rPr>
          <w:rFonts w:asciiTheme="minorHAnsi" w:hAnsiTheme="minorHAnsi"/>
          <w:szCs w:val="24"/>
        </w:rPr>
      </w:pPr>
      <w:r w:rsidRPr="00C27295">
        <w:rPr>
          <w:rFonts w:asciiTheme="minorHAnsi" w:hAnsiTheme="minorHAnsi"/>
          <w:szCs w:val="24"/>
        </w:rPr>
        <w:t>Many believe that the HSR</w:t>
      </w:r>
      <w:r w:rsidR="00C403B2">
        <w:rPr>
          <w:rFonts w:asciiTheme="minorHAnsi" w:hAnsiTheme="minorHAnsi"/>
          <w:szCs w:val="24"/>
        </w:rPr>
        <w:t xml:space="preserve"> system</w:t>
      </w:r>
      <w:r w:rsidRPr="00C27295">
        <w:rPr>
          <w:rFonts w:asciiTheme="minorHAnsi" w:hAnsiTheme="minorHAnsi"/>
          <w:szCs w:val="24"/>
        </w:rPr>
        <w:t xml:space="preserve"> does not align </w:t>
      </w:r>
      <w:r w:rsidR="00856F6E">
        <w:rPr>
          <w:rFonts w:asciiTheme="minorHAnsi" w:hAnsiTheme="minorHAnsi"/>
          <w:szCs w:val="24"/>
        </w:rPr>
        <w:t xml:space="preserve">with wider nutritional advice </w:t>
      </w:r>
      <w:r w:rsidRPr="00C27295">
        <w:rPr>
          <w:rFonts w:asciiTheme="minorHAnsi" w:hAnsiTheme="minorHAnsi"/>
          <w:szCs w:val="24"/>
        </w:rPr>
        <w:t>and</w:t>
      </w:r>
      <w:r w:rsidR="00C403B2">
        <w:rPr>
          <w:rFonts w:asciiTheme="minorHAnsi" w:hAnsiTheme="minorHAnsi"/>
          <w:szCs w:val="24"/>
        </w:rPr>
        <w:t xml:space="preserve"> the system should have </w:t>
      </w:r>
      <w:r w:rsidR="00D81316">
        <w:rPr>
          <w:rFonts w:asciiTheme="minorHAnsi" w:hAnsiTheme="minorHAnsi"/>
          <w:szCs w:val="24"/>
        </w:rPr>
        <w:t xml:space="preserve">a </w:t>
      </w:r>
      <w:r w:rsidR="00D81316" w:rsidRPr="00C27295">
        <w:rPr>
          <w:rFonts w:asciiTheme="minorHAnsi" w:hAnsiTheme="minorHAnsi"/>
          <w:szCs w:val="24"/>
        </w:rPr>
        <w:t>greater</w:t>
      </w:r>
      <w:r w:rsidRPr="00C27295">
        <w:rPr>
          <w:rFonts w:asciiTheme="minorHAnsi" w:hAnsiTheme="minorHAnsi"/>
          <w:szCs w:val="24"/>
        </w:rPr>
        <w:t xml:space="preserve"> emphasis</w:t>
      </w:r>
      <w:r w:rsidR="00856F6E">
        <w:rPr>
          <w:rFonts w:asciiTheme="minorHAnsi" w:hAnsiTheme="minorHAnsi"/>
          <w:szCs w:val="24"/>
        </w:rPr>
        <w:t xml:space="preserve"> </w:t>
      </w:r>
      <w:r w:rsidRPr="00C27295">
        <w:rPr>
          <w:rFonts w:asciiTheme="minorHAnsi" w:hAnsiTheme="minorHAnsi"/>
          <w:szCs w:val="24"/>
        </w:rPr>
        <w:t>on distinguishing between discretionary and core foods.  This distinction needs to be clearly communicated</w:t>
      </w:r>
      <w:r>
        <w:rPr>
          <w:rFonts w:asciiTheme="minorHAnsi" w:hAnsiTheme="minorHAnsi"/>
          <w:szCs w:val="24"/>
        </w:rPr>
        <w:t xml:space="preserve"> th</w:t>
      </w:r>
      <w:r w:rsidR="00C403B2">
        <w:rPr>
          <w:rFonts w:asciiTheme="minorHAnsi" w:hAnsiTheme="minorHAnsi"/>
          <w:szCs w:val="24"/>
        </w:rPr>
        <w:t>r</w:t>
      </w:r>
      <w:r>
        <w:rPr>
          <w:rFonts w:asciiTheme="minorHAnsi" w:hAnsiTheme="minorHAnsi"/>
          <w:szCs w:val="24"/>
        </w:rPr>
        <w:t xml:space="preserve">ough education and the social media campaign </w:t>
      </w:r>
      <w:r w:rsidRPr="00C27295">
        <w:rPr>
          <w:rFonts w:asciiTheme="minorHAnsi" w:hAnsiTheme="minorHAnsi"/>
          <w:szCs w:val="24"/>
        </w:rPr>
        <w:t xml:space="preserve">so that core foods are </w:t>
      </w:r>
      <w:r w:rsidR="00856F6E">
        <w:rPr>
          <w:rFonts w:asciiTheme="minorHAnsi" w:hAnsiTheme="minorHAnsi"/>
          <w:szCs w:val="24"/>
        </w:rPr>
        <w:t>over promoted</w:t>
      </w:r>
      <w:r w:rsidRPr="00C27295">
        <w:rPr>
          <w:rFonts w:asciiTheme="minorHAnsi" w:hAnsiTheme="minorHAnsi"/>
          <w:szCs w:val="24"/>
        </w:rPr>
        <w:t xml:space="preserve"> in r</w:t>
      </w:r>
      <w:r w:rsidR="000154BF">
        <w:rPr>
          <w:rFonts w:asciiTheme="minorHAnsi" w:hAnsiTheme="minorHAnsi"/>
          <w:szCs w:val="24"/>
        </w:rPr>
        <w:t>elation</w:t>
      </w:r>
      <w:r w:rsidRPr="00C27295">
        <w:rPr>
          <w:rFonts w:asciiTheme="minorHAnsi" w:hAnsiTheme="minorHAnsi"/>
          <w:szCs w:val="24"/>
        </w:rPr>
        <w:t xml:space="preserve"> to processed and packaged foods</w:t>
      </w:r>
      <w:r>
        <w:rPr>
          <w:rFonts w:asciiTheme="minorHAnsi" w:hAnsiTheme="minorHAnsi"/>
          <w:szCs w:val="24"/>
        </w:rPr>
        <w:t xml:space="preserve"> and that the general public understand the </w:t>
      </w:r>
      <w:r w:rsidR="00856F6E">
        <w:rPr>
          <w:rFonts w:asciiTheme="minorHAnsi" w:hAnsiTheme="minorHAnsi"/>
          <w:szCs w:val="24"/>
        </w:rPr>
        <w:t>context</w:t>
      </w:r>
      <w:r>
        <w:rPr>
          <w:rFonts w:asciiTheme="minorHAnsi" w:hAnsiTheme="minorHAnsi"/>
          <w:szCs w:val="24"/>
        </w:rPr>
        <w:t xml:space="preserve"> of the HSR</w:t>
      </w:r>
      <w:r w:rsidR="00856F6E">
        <w:rPr>
          <w:rFonts w:asciiTheme="minorHAnsi" w:hAnsiTheme="minorHAnsi"/>
          <w:szCs w:val="24"/>
        </w:rPr>
        <w:t>.</w:t>
      </w:r>
      <w:r>
        <w:rPr>
          <w:rFonts w:asciiTheme="minorHAnsi" w:hAnsiTheme="minorHAnsi"/>
          <w:szCs w:val="24"/>
        </w:rPr>
        <w:t xml:space="preserve"> </w:t>
      </w:r>
      <w:r w:rsidRPr="00C27295">
        <w:rPr>
          <w:rFonts w:asciiTheme="minorHAnsi" w:hAnsiTheme="minorHAnsi"/>
          <w:szCs w:val="24"/>
        </w:rPr>
        <w:t xml:space="preserve"> </w:t>
      </w:r>
      <w:r>
        <w:rPr>
          <w:rFonts w:asciiTheme="minorHAnsi" w:hAnsiTheme="minorHAnsi"/>
          <w:szCs w:val="24"/>
        </w:rPr>
        <w:t>However, some delegates acknowledged that the social marketing</w:t>
      </w:r>
      <w:r w:rsidR="00F311ED">
        <w:rPr>
          <w:rFonts w:asciiTheme="minorHAnsi" w:hAnsiTheme="minorHAnsi"/>
          <w:szCs w:val="24"/>
        </w:rPr>
        <w:t xml:space="preserve"> and education around the HSR </w:t>
      </w:r>
      <w:r w:rsidR="000154BF">
        <w:rPr>
          <w:rFonts w:asciiTheme="minorHAnsi" w:hAnsiTheme="minorHAnsi"/>
          <w:szCs w:val="24"/>
        </w:rPr>
        <w:t xml:space="preserve">is already helping </w:t>
      </w:r>
      <w:r w:rsidR="0059136B">
        <w:rPr>
          <w:rFonts w:asciiTheme="minorHAnsi" w:hAnsiTheme="minorHAnsi"/>
          <w:szCs w:val="24"/>
        </w:rPr>
        <w:t>communicate</w:t>
      </w:r>
      <w:r>
        <w:rPr>
          <w:rFonts w:asciiTheme="minorHAnsi" w:hAnsiTheme="minorHAnsi"/>
          <w:szCs w:val="24"/>
        </w:rPr>
        <w:t xml:space="preserve"> some wider nutritional messages. </w:t>
      </w:r>
    </w:p>
    <w:p w:rsidR="00C875C3" w:rsidRDefault="00C875C3" w:rsidP="007D496E">
      <w:pPr>
        <w:spacing w:after="0" w:line="240" w:lineRule="auto"/>
        <w:rPr>
          <w:rFonts w:asciiTheme="minorHAnsi" w:hAnsiTheme="minorHAnsi"/>
          <w:szCs w:val="24"/>
        </w:rPr>
      </w:pPr>
    </w:p>
    <w:p w:rsidR="00856F6E" w:rsidRPr="00C10CDA" w:rsidRDefault="00856F6E" w:rsidP="00856F6E">
      <w:pPr>
        <w:spacing w:after="0" w:line="240" w:lineRule="auto"/>
        <w:rPr>
          <w:rFonts w:asciiTheme="minorHAnsi" w:hAnsiTheme="minorHAnsi"/>
        </w:rPr>
      </w:pPr>
      <w:r w:rsidRPr="00C10CDA">
        <w:rPr>
          <w:rFonts w:asciiTheme="minorHAnsi" w:hAnsiTheme="minorHAnsi"/>
        </w:rPr>
        <w:t xml:space="preserve">It was acknowledged that the HSR helps provide people with information about processed and packaged </w:t>
      </w:r>
      <w:r>
        <w:rPr>
          <w:rFonts w:asciiTheme="minorHAnsi" w:hAnsiTheme="minorHAnsi"/>
        </w:rPr>
        <w:t xml:space="preserve">products. </w:t>
      </w:r>
      <w:r w:rsidR="003D7BDD">
        <w:rPr>
          <w:rFonts w:asciiTheme="minorHAnsi" w:hAnsiTheme="minorHAnsi"/>
        </w:rPr>
        <w:t xml:space="preserve"> </w:t>
      </w:r>
      <w:r>
        <w:rPr>
          <w:rFonts w:asciiTheme="minorHAnsi" w:hAnsiTheme="minorHAnsi"/>
        </w:rPr>
        <w:t>It is</w:t>
      </w:r>
      <w:r w:rsidRPr="00C10CDA">
        <w:rPr>
          <w:rFonts w:asciiTheme="minorHAnsi" w:hAnsiTheme="minorHAnsi"/>
        </w:rPr>
        <w:t xml:space="preserve"> simple (especially for </w:t>
      </w:r>
      <w:r w:rsidR="003D7BDD">
        <w:rPr>
          <w:rFonts w:asciiTheme="minorHAnsi" w:hAnsiTheme="minorHAnsi"/>
        </w:rPr>
        <w:t>culturally and linguistically diverse</w:t>
      </w:r>
      <w:r w:rsidRPr="00C10CDA">
        <w:rPr>
          <w:rFonts w:asciiTheme="minorHAnsi" w:hAnsiTheme="minorHAnsi"/>
        </w:rPr>
        <w:t xml:space="preserve"> and low literacy groups) and </w:t>
      </w:r>
      <w:r w:rsidR="003D7BDD">
        <w:rPr>
          <w:rFonts w:asciiTheme="minorHAnsi" w:hAnsiTheme="minorHAnsi"/>
        </w:rPr>
        <w:t xml:space="preserve">an </w:t>
      </w:r>
      <w:r w:rsidRPr="00C10CDA">
        <w:rPr>
          <w:rFonts w:asciiTheme="minorHAnsi" w:hAnsiTheme="minorHAnsi"/>
        </w:rPr>
        <w:t xml:space="preserve">easily </w:t>
      </w:r>
      <w:r>
        <w:rPr>
          <w:rFonts w:asciiTheme="minorHAnsi" w:hAnsiTheme="minorHAnsi"/>
        </w:rPr>
        <w:t>recognisable</w:t>
      </w:r>
      <w:r w:rsidRPr="00C10CDA">
        <w:rPr>
          <w:rFonts w:asciiTheme="minorHAnsi" w:hAnsiTheme="minorHAnsi"/>
        </w:rPr>
        <w:t xml:space="preserve"> system</w:t>
      </w:r>
      <w:r>
        <w:rPr>
          <w:rFonts w:asciiTheme="minorHAnsi" w:hAnsiTheme="minorHAnsi"/>
        </w:rPr>
        <w:t xml:space="preserve">, but on some products the design elements are not contrasting enough.  It </w:t>
      </w:r>
      <w:r w:rsidRPr="00C10CDA">
        <w:rPr>
          <w:rFonts w:asciiTheme="minorHAnsi" w:hAnsiTheme="minorHAnsi"/>
        </w:rPr>
        <w:t>is seen as much better th</w:t>
      </w:r>
      <w:r>
        <w:rPr>
          <w:rFonts w:asciiTheme="minorHAnsi" w:hAnsiTheme="minorHAnsi"/>
        </w:rPr>
        <w:t>an the daily intake guide (DIG), but there is concern that it could be another confusing message when used in conjuncti</w:t>
      </w:r>
      <w:r w:rsidR="0059136B">
        <w:rPr>
          <w:rFonts w:asciiTheme="minorHAnsi" w:hAnsiTheme="minorHAnsi"/>
        </w:rPr>
        <w:t>on with other health logos (</w:t>
      </w:r>
      <w:r w:rsidR="00D81316">
        <w:rPr>
          <w:rFonts w:asciiTheme="minorHAnsi" w:hAnsiTheme="minorHAnsi"/>
        </w:rPr>
        <w:t>i.e.</w:t>
      </w:r>
      <w:r w:rsidR="0059136B">
        <w:rPr>
          <w:rFonts w:asciiTheme="minorHAnsi" w:hAnsiTheme="minorHAnsi"/>
        </w:rPr>
        <w:t xml:space="preserve"> H</w:t>
      </w:r>
      <w:r w:rsidR="003D7BDD">
        <w:rPr>
          <w:rFonts w:asciiTheme="minorHAnsi" w:hAnsiTheme="minorHAnsi"/>
        </w:rPr>
        <w:t xml:space="preserve">eart </w:t>
      </w:r>
      <w:r w:rsidR="0059136B">
        <w:rPr>
          <w:rFonts w:asciiTheme="minorHAnsi" w:hAnsiTheme="minorHAnsi"/>
        </w:rPr>
        <w:t>F</w:t>
      </w:r>
      <w:r w:rsidR="003D7BDD">
        <w:rPr>
          <w:rFonts w:asciiTheme="minorHAnsi" w:hAnsiTheme="minorHAnsi"/>
        </w:rPr>
        <w:t>oundation</w:t>
      </w:r>
      <w:r w:rsidR="0059136B">
        <w:rPr>
          <w:rFonts w:asciiTheme="minorHAnsi" w:hAnsiTheme="minorHAnsi"/>
        </w:rPr>
        <w:t xml:space="preserve"> T</w:t>
      </w:r>
      <w:r>
        <w:rPr>
          <w:rFonts w:asciiTheme="minorHAnsi" w:hAnsiTheme="minorHAnsi"/>
        </w:rPr>
        <w:t xml:space="preserve">ick, Be </w:t>
      </w:r>
      <w:proofErr w:type="spellStart"/>
      <w:r>
        <w:rPr>
          <w:rFonts w:asciiTheme="minorHAnsi" w:hAnsiTheme="minorHAnsi"/>
        </w:rPr>
        <w:t>Treatwise</w:t>
      </w:r>
      <w:proofErr w:type="spellEnd"/>
      <w:r>
        <w:rPr>
          <w:rFonts w:asciiTheme="minorHAnsi" w:hAnsiTheme="minorHAnsi"/>
        </w:rPr>
        <w:t xml:space="preserve">, DIG).  Further information should be communicated on how the score is calculated, exemptions and the government endorsement of this system. </w:t>
      </w:r>
    </w:p>
    <w:p w:rsidR="00856F6E" w:rsidRDefault="00856F6E" w:rsidP="007D496E">
      <w:pPr>
        <w:spacing w:after="0" w:line="240" w:lineRule="auto"/>
        <w:rPr>
          <w:rFonts w:asciiTheme="minorHAnsi" w:hAnsiTheme="minorHAnsi"/>
          <w:szCs w:val="24"/>
        </w:rPr>
      </w:pPr>
    </w:p>
    <w:p w:rsidR="00C875C3" w:rsidRDefault="00C875C3" w:rsidP="007D496E">
      <w:pPr>
        <w:spacing w:after="0" w:line="240" w:lineRule="auto"/>
        <w:rPr>
          <w:rFonts w:asciiTheme="minorHAnsi" w:hAnsiTheme="minorHAnsi"/>
          <w:szCs w:val="24"/>
        </w:rPr>
      </w:pPr>
      <w:r>
        <w:rPr>
          <w:rFonts w:asciiTheme="minorHAnsi" w:hAnsiTheme="minorHAnsi"/>
          <w:szCs w:val="24"/>
        </w:rPr>
        <w:t>Changes should be made to the algorithm and system much sooner than the five year period</w:t>
      </w:r>
      <w:r w:rsidR="002D6319">
        <w:rPr>
          <w:rFonts w:asciiTheme="minorHAnsi" w:hAnsiTheme="minorHAnsi"/>
          <w:szCs w:val="24"/>
        </w:rPr>
        <w:t>, and th</w:t>
      </w:r>
      <w:r w:rsidR="0059136B">
        <w:rPr>
          <w:rFonts w:asciiTheme="minorHAnsi" w:hAnsiTheme="minorHAnsi"/>
          <w:szCs w:val="24"/>
        </w:rPr>
        <w:t xml:space="preserve">ese changes should be directed by </w:t>
      </w:r>
      <w:r w:rsidR="002D6319">
        <w:rPr>
          <w:rFonts w:asciiTheme="minorHAnsi" w:hAnsiTheme="minorHAnsi"/>
          <w:szCs w:val="24"/>
        </w:rPr>
        <w:t>consumer feedback</w:t>
      </w:r>
      <w:r w:rsidR="0059136B">
        <w:rPr>
          <w:rFonts w:asciiTheme="minorHAnsi" w:hAnsiTheme="minorHAnsi"/>
          <w:szCs w:val="24"/>
        </w:rPr>
        <w:t xml:space="preserve"> and scientific evidence</w:t>
      </w:r>
      <w:r>
        <w:rPr>
          <w:rFonts w:asciiTheme="minorHAnsi" w:hAnsiTheme="minorHAnsi"/>
          <w:szCs w:val="24"/>
        </w:rPr>
        <w:t>.  These changes should help to defend much of the negative media around the scheme and improve consumer confidence.  These changes should include:</w:t>
      </w:r>
      <w:r w:rsidR="00D673A6">
        <w:rPr>
          <w:rFonts w:asciiTheme="minorHAnsi" w:hAnsiTheme="minorHAnsi"/>
          <w:szCs w:val="24"/>
        </w:rPr>
        <w:t xml:space="preserve"> treatment of</w:t>
      </w:r>
      <w:r>
        <w:rPr>
          <w:rFonts w:asciiTheme="minorHAnsi" w:hAnsiTheme="minorHAnsi"/>
          <w:szCs w:val="24"/>
        </w:rPr>
        <w:t xml:space="preserve"> </w:t>
      </w:r>
      <w:r w:rsidR="00D673A6">
        <w:rPr>
          <w:rFonts w:asciiTheme="minorHAnsi" w:hAnsiTheme="minorHAnsi"/>
          <w:szCs w:val="24"/>
        </w:rPr>
        <w:t xml:space="preserve">‘discretionary’ foods, rating of core foods, </w:t>
      </w:r>
      <w:r>
        <w:rPr>
          <w:rFonts w:asciiTheme="minorHAnsi" w:hAnsiTheme="minorHAnsi"/>
          <w:szCs w:val="24"/>
        </w:rPr>
        <w:t>frui</w:t>
      </w:r>
      <w:r w:rsidR="00243D4C">
        <w:rPr>
          <w:rFonts w:asciiTheme="minorHAnsi" w:hAnsiTheme="minorHAnsi"/>
          <w:szCs w:val="24"/>
        </w:rPr>
        <w:t>t</w:t>
      </w:r>
      <w:r>
        <w:rPr>
          <w:rFonts w:asciiTheme="minorHAnsi" w:hAnsiTheme="minorHAnsi"/>
          <w:szCs w:val="24"/>
        </w:rPr>
        <w:t xml:space="preserve"> juices, high sugar cereals and sodium </w:t>
      </w:r>
      <w:r w:rsidR="00856F6E">
        <w:rPr>
          <w:rFonts w:asciiTheme="minorHAnsi" w:hAnsiTheme="minorHAnsi"/>
          <w:szCs w:val="24"/>
        </w:rPr>
        <w:t>weighting.  Reviewing the system as a whole</w:t>
      </w:r>
      <w:r>
        <w:rPr>
          <w:rFonts w:asciiTheme="minorHAnsi" w:hAnsiTheme="minorHAnsi"/>
          <w:szCs w:val="24"/>
        </w:rPr>
        <w:t xml:space="preserve"> should </w:t>
      </w:r>
      <w:r w:rsidR="00D81316">
        <w:rPr>
          <w:rFonts w:asciiTheme="minorHAnsi" w:hAnsiTheme="minorHAnsi"/>
          <w:szCs w:val="24"/>
        </w:rPr>
        <w:t>consider</w:t>
      </w:r>
      <w:r>
        <w:rPr>
          <w:rFonts w:asciiTheme="minorHAnsi" w:hAnsiTheme="minorHAnsi"/>
          <w:szCs w:val="24"/>
        </w:rPr>
        <w:t xml:space="preserve"> </w:t>
      </w:r>
      <w:r w:rsidR="000154BF">
        <w:rPr>
          <w:rFonts w:asciiTheme="minorHAnsi" w:hAnsiTheme="minorHAnsi"/>
          <w:szCs w:val="24"/>
        </w:rPr>
        <w:t>‘a</w:t>
      </w:r>
      <w:r>
        <w:rPr>
          <w:rFonts w:asciiTheme="minorHAnsi" w:hAnsiTheme="minorHAnsi"/>
          <w:szCs w:val="24"/>
        </w:rPr>
        <w:t xml:space="preserve">s prepared’ </w:t>
      </w:r>
      <w:r w:rsidR="00856F6E">
        <w:rPr>
          <w:rFonts w:asciiTheme="minorHAnsi" w:hAnsiTheme="minorHAnsi"/>
          <w:szCs w:val="24"/>
        </w:rPr>
        <w:t>rules,</w:t>
      </w:r>
      <w:r>
        <w:rPr>
          <w:rFonts w:asciiTheme="minorHAnsi" w:hAnsiTheme="minorHAnsi"/>
          <w:szCs w:val="24"/>
        </w:rPr>
        <w:t xml:space="preserve"> serve sizes</w:t>
      </w:r>
      <w:r w:rsidR="00D673A6">
        <w:rPr>
          <w:rFonts w:asciiTheme="minorHAnsi" w:hAnsiTheme="minorHAnsi"/>
          <w:szCs w:val="24"/>
        </w:rPr>
        <w:t xml:space="preserve"> and build in processing benefits</w:t>
      </w:r>
      <w:r>
        <w:rPr>
          <w:rFonts w:asciiTheme="minorHAnsi" w:hAnsiTheme="minorHAnsi"/>
          <w:szCs w:val="24"/>
        </w:rPr>
        <w:t>.</w:t>
      </w:r>
    </w:p>
    <w:p w:rsidR="00C875C3" w:rsidRDefault="00C875C3" w:rsidP="007D496E">
      <w:pPr>
        <w:spacing w:after="0" w:line="240" w:lineRule="auto"/>
        <w:rPr>
          <w:rFonts w:asciiTheme="minorHAnsi" w:hAnsiTheme="minorHAnsi"/>
          <w:szCs w:val="24"/>
        </w:rPr>
      </w:pPr>
    </w:p>
    <w:p w:rsidR="004E1290" w:rsidRPr="00D81316" w:rsidRDefault="004E1290" w:rsidP="007D496E">
      <w:pPr>
        <w:spacing w:after="0" w:line="240" w:lineRule="auto"/>
        <w:rPr>
          <w:rFonts w:asciiTheme="minorHAnsi" w:hAnsiTheme="minorHAnsi"/>
          <w:szCs w:val="24"/>
        </w:rPr>
      </w:pPr>
      <w:r w:rsidRPr="00D81316">
        <w:rPr>
          <w:rFonts w:asciiTheme="minorHAnsi" w:hAnsiTheme="minorHAnsi"/>
          <w:szCs w:val="24"/>
        </w:rPr>
        <w:t>Industry should be congratulated on the positive industry uptake</w:t>
      </w:r>
      <w:r w:rsidR="00E35DCB" w:rsidRPr="00D81316">
        <w:rPr>
          <w:rFonts w:asciiTheme="minorHAnsi" w:hAnsiTheme="minorHAnsi"/>
          <w:szCs w:val="24"/>
        </w:rPr>
        <w:t xml:space="preserve"> (despite the uptake currently not being across full product ranges), </w:t>
      </w:r>
      <w:r w:rsidRPr="00D81316">
        <w:rPr>
          <w:rFonts w:asciiTheme="minorHAnsi" w:hAnsiTheme="minorHAnsi"/>
          <w:szCs w:val="24"/>
        </w:rPr>
        <w:t>and the refo</w:t>
      </w:r>
      <w:r w:rsidR="00E35DCB" w:rsidRPr="00D81316">
        <w:rPr>
          <w:rFonts w:asciiTheme="minorHAnsi" w:hAnsiTheme="minorHAnsi"/>
          <w:szCs w:val="24"/>
        </w:rPr>
        <w:t>rmulation that it has encouraged</w:t>
      </w:r>
      <w:r w:rsidRPr="00D81316">
        <w:rPr>
          <w:rFonts w:asciiTheme="minorHAnsi" w:hAnsiTheme="minorHAnsi"/>
          <w:szCs w:val="24"/>
        </w:rPr>
        <w:t>.  Many believe that this system should be mandatory but the current government endorsement help</w:t>
      </w:r>
      <w:r w:rsidR="0059136B" w:rsidRPr="00D81316">
        <w:rPr>
          <w:rFonts w:asciiTheme="minorHAnsi" w:hAnsiTheme="minorHAnsi"/>
          <w:szCs w:val="24"/>
        </w:rPr>
        <w:t>s</w:t>
      </w:r>
      <w:r w:rsidRPr="00D81316">
        <w:rPr>
          <w:rFonts w:asciiTheme="minorHAnsi" w:hAnsiTheme="minorHAnsi"/>
          <w:szCs w:val="24"/>
        </w:rPr>
        <w:t xml:space="preserve"> with the legitimacy and credibility of the system.  Despite the desire </w:t>
      </w:r>
      <w:r w:rsidR="003D7BDD">
        <w:rPr>
          <w:rFonts w:asciiTheme="minorHAnsi" w:hAnsiTheme="minorHAnsi"/>
          <w:szCs w:val="24"/>
        </w:rPr>
        <w:t>for</w:t>
      </w:r>
      <w:r w:rsidRPr="00D81316">
        <w:rPr>
          <w:rFonts w:asciiTheme="minorHAnsi" w:hAnsiTheme="minorHAnsi"/>
          <w:szCs w:val="24"/>
        </w:rPr>
        <w:t xml:space="preserve"> the system </w:t>
      </w:r>
      <w:r w:rsidR="003D7BDD">
        <w:rPr>
          <w:rFonts w:asciiTheme="minorHAnsi" w:hAnsiTheme="minorHAnsi"/>
          <w:szCs w:val="24"/>
        </w:rPr>
        <w:t xml:space="preserve">to </w:t>
      </w:r>
      <w:r w:rsidRPr="00D81316">
        <w:rPr>
          <w:rFonts w:asciiTheme="minorHAnsi" w:hAnsiTheme="minorHAnsi"/>
          <w:szCs w:val="24"/>
        </w:rPr>
        <w:t>be</w:t>
      </w:r>
      <w:r w:rsidR="003D7BDD">
        <w:rPr>
          <w:rFonts w:asciiTheme="minorHAnsi" w:hAnsiTheme="minorHAnsi"/>
          <w:szCs w:val="24"/>
        </w:rPr>
        <w:t xml:space="preserve"> </w:t>
      </w:r>
      <w:r w:rsidRPr="00D81316">
        <w:rPr>
          <w:rFonts w:asciiTheme="minorHAnsi" w:hAnsiTheme="minorHAnsi"/>
          <w:szCs w:val="24"/>
        </w:rPr>
        <w:t xml:space="preserve">made mandatory, it was questioned whether the HSR is the most appropriate use of public health resources and further comments were made that all jurisdictions should be more heavily involved in the oversight of this system. </w:t>
      </w:r>
    </w:p>
    <w:p w:rsidR="00C451F1" w:rsidRPr="00D81316" w:rsidRDefault="00C451F1" w:rsidP="00A579A7">
      <w:pPr>
        <w:spacing w:after="0" w:line="240" w:lineRule="auto"/>
        <w:jc w:val="center"/>
        <w:rPr>
          <w:rFonts w:asciiTheme="minorHAnsi" w:hAnsiTheme="minorHAnsi"/>
          <w:b/>
          <w:sz w:val="28"/>
        </w:rPr>
      </w:pPr>
    </w:p>
    <w:sectPr w:rsidR="00C451F1" w:rsidRPr="00D81316" w:rsidSect="001206B0">
      <w:footerReference w:type="default" r:id="rId10"/>
      <w:pgSz w:w="11906" w:h="16838"/>
      <w:pgMar w:top="851" w:right="1274" w:bottom="709" w:left="1440"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D4" w:rsidRDefault="00317BD4" w:rsidP="004320F3">
      <w:pPr>
        <w:spacing w:after="0" w:line="240" w:lineRule="auto"/>
      </w:pPr>
      <w:r>
        <w:separator/>
      </w:r>
    </w:p>
  </w:endnote>
  <w:endnote w:type="continuationSeparator" w:id="0">
    <w:p w:rsidR="00317BD4" w:rsidRDefault="00317BD4" w:rsidP="0043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06998"/>
      <w:docPartObj>
        <w:docPartGallery w:val="Page Numbers (Bottom of Page)"/>
        <w:docPartUnique/>
      </w:docPartObj>
    </w:sdtPr>
    <w:sdtEndPr>
      <w:rPr>
        <w:rFonts w:asciiTheme="minorHAnsi" w:hAnsiTheme="minorHAnsi"/>
        <w:noProof/>
        <w:sz w:val="16"/>
        <w:szCs w:val="16"/>
      </w:rPr>
    </w:sdtEndPr>
    <w:sdtContent>
      <w:p w:rsidR="001206B0" w:rsidRPr="001206B0" w:rsidRDefault="001206B0">
        <w:pPr>
          <w:pStyle w:val="Footer"/>
          <w:jc w:val="center"/>
          <w:rPr>
            <w:rFonts w:asciiTheme="minorHAnsi" w:hAnsiTheme="minorHAnsi"/>
            <w:sz w:val="16"/>
            <w:szCs w:val="16"/>
          </w:rPr>
        </w:pPr>
        <w:r w:rsidRPr="001206B0">
          <w:rPr>
            <w:rFonts w:asciiTheme="minorHAnsi" w:hAnsiTheme="minorHAnsi"/>
            <w:sz w:val="16"/>
            <w:szCs w:val="16"/>
          </w:rPr>
          <w:fldChar w:fldCharType="begin"/>
        </w:r>
        <w:r w:rsidRPr="001206B0">
          <w:rPr>
            <w:rFonts w:asciiTheme="minorHAnsi" w:hAnsiTheme="minorHAnsi"/>
            <w:sz w:val="16"/>
            <w:szCs w:val="16"/>
          </w:rPr>
          <w:instrText xml:space="preserve"> PAGE   \* MERGEFORMAT </w:instrText>
        </w:r>
        <w:r w:rsidRPr="001206B0">
          <w:rPr>
            <w:rFonts w:asciiTheme="minorHAnsi" w:hAnsiTheme="minorHAnsi"/>
            <w:sz w:val="16"/>
            <w:szCs w:val="16"/>
          </w:rPr>
          <w:fldChar w:fldCharType="separate"/>
        </w:r>
        <w:r w:rsidR="00FE11CC">
          <w:rPr>
            <w:rFonts w:asciiTheme="minorHAnsi" w:hAnsiTheme="minorHAnsi"/>
            <w:noProof/>
            <w:sz w:val="16"/>
            <w:szCs w:val="16"/>
          </w:rPr>
          <w:t>2</w:t>
        </w:r>
        <w:r w:rsidRPr="001206B0">
          <w:rPr>
            <w:rFonts w:asciiTheme="minorHAnsi" w:hAnsiTheme="minorHAnsi"/>
            <w:noProof/>
            <w:sz w:val="16"/>
            <w:szCs w:val="16"/>
          </w:rPr>
          <w:fldChar w:fldCharType="end"/>
        </w:r>
      </w:p>
    </w:sdtContent>
  </w:sdt>
  <w:p w:rsidR="001206B0" w:rsidRDefault="0012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D4" w:rsidRDefault="00317BD4" w:rsidP="004320F3">
      <w:pPr>
        <w:spacing w:after="0" w:line="240" w:lineRule="auto"/>
      </w:pPr>
      <w:r>
        <w:separator/>
      </w:r>
    </w:p>
  </w:footnote>
  <w:footnote w:type="continuationSeparator" w:id="0">
    <w:p w:rsidR="00317BD4" w:rsidRDefault="00317BD4" w:rsidP="0043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8D"/>
    <w:multiLevelType w:val="hybridMultilevel"/>
    <w:tmpl w:val="40F8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77249"/>
    <w:multiLevelType w:val="hybridMultilevel"/>
    <w:tmpl w:val="4264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F5B87"/>
    <w:multiLevelType w:val="hybridMultilevel"/>
    <w:tmpl w:val="1CC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C26B8"/>
    <w:multiLevelType w:val="hybridMultilevel"/>
    <w:tmpl w:val="4E7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647DA"/>
    <w:multiLevelType w:val="hybridMultilevel"/>
    <w:tmpl w:val="860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E2122"/>
    <w:multiLevelType w:val="hybridMultilevel"/>
    <w:tmpl w:val="8434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1600C1"/>
    <w:multiLevelType w:val="hybridMultilevel"/>
    <w:tmpl w:val="4C76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36890"/>
    <w:multiLevelType w:val="hybridMultilevel"/>
    <w:tmpl w:val="71A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A738E"/>
    <w:multiLevelType w:val="hybridMultilevel"/>
    <w:tmpl w:val="E180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118CB"/>
    <w:multiLevelType w:val="hybridMultilevel"/>
    <w:tmpl w:val="B7FE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C634F"/>
    <w:multiLevelType w:val="hybridMultilevel"/>
    <w:tmpl w:val="4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15EAA"/>
    <w:multiLevelType w:val="hybridMultilevel"/>
    <w:tmpl w:val="1CF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8480B"/>
    <w:multiLevelType w:val="hybridMultilevel"/>
    <w:tmpl w:val="090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D67AAB"/>
    <w:multiLevelType w:val="hybridMultilevel"/>
    <w:tmpl w:val="BE8A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9188D"/>
    <w:multiLevelType w:val="hybridMultilevel"/>
    <w:tmpl w:val="3EC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346043"/>
    <w:multiLevelType w:val="hybridMultilevel"/>
    <w:tmpl w:val="7B502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50A6E"/>
    <w:multiLevelType w:val="hybridMultilevel"/>
    <w:tmpl w:val="43C2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0"/>
  </w:num>
  <w:num w:numId="5">
    <w:abstractNumId w:val="14"/>
  </w:num>
  <w:num w:numId="6">
    <w:abstractNumId w:val="11"/>
  </w:num>
  <w:num w:numId="7">
    <w:abstractNumId w:val="1"/>
  </w:num>
  <w:num w:numId="8">
    <w:abstractNumId w:val="3"/>
  </w:num>
  <w:num w:numId="9">
    <w:abstractNumId w:val="8"/>
  </w:num>
  <w:num w:numId="10">
    <w:abstractNumId w:val="16"/>
  </w:num>
  <w:num w:numId="11">
    <w:abstractNumId w:val="15"/>
  </w:num>
  <w:num w:numId="12">
    <w:abstractNumId w:val="6"/>
  </w:num>
  <w:num w:numId="13">
    <w:abstractNumId w:val="10"/>
  </w:num>
  <w:num w:numId="14">
    <w:abstractNumId w:val="4"/>
  </w:num>
  <w:num w:numId="15">
    <w:abstractNumId w:val="1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80"/>
    <w:rsid w:val="000029C9"/>
    <w:rsid w:val="00003043"/>
    <w:rsid w:val="00014EA3"/>
    <w:rsid w:val="000154BF"/>
    <w:rsid w:val="000300B7"/>
    <w:rsid w:val="00034979"/>
    <w:rsid w:val="00040EED"/>
    <w:rsid w:val="00051576"/>
    <w:rsid w:val="00051F8E"/>
    <w:rsid w:val="0005425A"/>
    <w:rsid w:val="000569B0"/>
    <w:rsid w:val="00065B51"/>
    <w:rsid w:val="00066FB3"/>
    <w:rsid w:val="00076586"/>
    <w:rsid w:val="00085FA9"/>
    <w:rsid w:val="000866E4"/>
    <w:rsid w:val="000925CB"/>
    <w:rsid w:val="00092F2B"/>
    <w:rsid w:val="000A1ECE"/>
    <w:rsid w:val="000A2752"/>
    <w:rsid w:val="000A6926"/>
    <w:rsid w:val="000B64F1"/>
    <w:rsid w:val="000C06B6"/>
    <w:rsid w:val="000C1C11"/>
    <w:rsid w:val="000D4173"/>
    <w:rsid w:val="000D4179"/>
    <w:rsid w:val="000D6400"/>
    <w:rsid w:val="000E4A86"/>
    <w:rsid w:val="000F4F18"/>
    <w:rsid w:val="000F7DFB"/>
    <w:rsid w:val="001206B0"/>
    <w:rsid w:val="00133A54"/>
    <w:rsid w:val="001369F1"/>
    <w:rsid w:val="00160B36"/>
    <w:rsid w:val="00183CBF"/>
    <w:rsid w:val="001A0AD5"/>
    <w:rsid w:val="001A7A76"/>
    <w:rsid w:val="001B30E8"/>
    <w:rsid w:val="001B61C1"/>
    <w:rsid w:val="001C36F4"/>
    <w:rsid w:val="001C661E"/>
    <w:rsid w:val="001D156C"/>
    <w:rsid w:val="001D53CA"/>
    <w:rsid w:val="001E0205"/>
    <w:rsid w:val="001E30E0"/>
    <w:rsid w:val="001F5CCF"/>
    <w:rsid w:val="0020387B"/>
    <w:rsid w:val="0021415E"/>
    <w:rsid w:val="00221AC6"/>
    <w:rsid w:val="002269F2"/>
    <w:rsid w:val="00234077"/>
    <w:rsid w:val="00236D94"/>
    <w:rsid w:val="00240ED3"/>
    <w:rsid w:val="00243D4C"/>
    <w:rsid w:val="0025155C"/>
    <w:rsid w:val="00260BAD"/>
    <w:rsid w:val="0026348E"/>
    <w:rsid w:val="00272EA5"/>
    <w:rsid w:val="00277B07"/>
    <w:rsid w:val="002857A9"/>
    <w:rsid w:val="002A3A0E"/>
    <w:rsid w:val="002A7D48"/>
    <w:rsid w:val="002B15FE"/>
    <w:rsid w:val="002B37EC"/>
    <w:rsid w:val="002B5443"/>
    <w:rsid w:val="002D32F1"/>
    <w:rsid w:val="002D5F19"/>
    <w:rsid w:val="002D6319"/>
    <w:rsid w:val="002F4EFD"/>
    <w:rsid w:val="002F5FE1"/>
    <w:rsid w:val="0030291D"/>
    <w:rsid w:val="00304FD9"/>
    <w:rsid w:val="00307344"/>
    <w:rsid w:val="00311266"/>
    <w:rsid w:val="00315EB8"/>
    <w:rsid w:val="00317BD4"/>
    <w:rsid w:val="00321B0B"/>
    <w:rsid w:val="00324265"/>
    <w:rsid w:val="003269B0"/>
    <w:rsid w:val="00333F4F"/>
    <w:rsid w:val="00345BD8"/>
    <w:rsid w:val="00353CCF"/>
    <w:rsid w:val="00356050"/>
    <w:rsid w:val="00364A84"/>
    <w:rsid w:val="00380890"/>
    <w:rsid w:val="0039514B"/>
    <w:rsid w:val="003B0269"/>
    <w:rsid w:val="003B77B5"/>
    <w:rsid w:val="003C2ABE"/>
    <w:rsid w:val="003D6F9A"/>
    <w:rsid w:val="003D7BDD"/>
    <w:rsid w:val="003E4196"/>
    <w:rsid w:val="00411F99"/>
    <w:rsid w:val="004320F3"/>
    <w:rsid w:val="004331A8"/>
    <w:rsid w:val="00466695"/>
    <w:rsid w:val="0047344E"/>
    <w:rsid w:val="004766F4"/>
    <w:rsid w:val="00480980"/>
    <w:rsid w:val="004860A6"/>
    <w:rsid w:val="004A0767"/>
    <w:rsid w:val="004B2E15"/>
    <w:rsid w:val="004D1FF4"/>
    <w:rsid w:val="004D50DB"/>
    <w:rsid w:val="004E1290"/>
    <w:rsid w:val="00511B1C"/>
    <w:rsid w:val="00520BDC"/>
    <w:rsid w:val="00526649"/>
    <w:rsid w:val="00534404"/>
    <w:rsid w:val="0053788F"/>
    <w:rsid w:val="00563A8F"/>
    <w:rsid w:val="0056566A"/>
    <w:rsid w:val="00570BFF"/>
    <w:rsid w:val="00576F53"/>
    <w:rsid w:val="00580231"/>
    <w:rsid w:val="0059136B"/>
    <w:rsid w:val="00594A83"/>
    <w:rsid w:val="005D65AF"/>
    <w:rsid w:val="005F1C77"/>
    <w:rsid w:val="005F483F"/>
    <w:rsid w:val="006056AA"/>
    <w:rsid w:val="00623A83"/>
    <w:rsid w:val="00630747"/>
    <w:rsid w:val="0064593B"/>
    <w:rsid w:val="00646E5C"/>
    <w:rsid w:val="00654FD8"/>
    <w:rsid w:val="006620B0"/>
    <w:rsid w:val="00675DA0"/>
    <w:rsid w:val="00680E3B"/>
    <w:rsid w:val="006842A0"/>
    <w:rsid w:val="0068632B"/>
    <w:rsid w:val="006D324D"/>
    <w:rsid w:val="006E0108"/>
    <w:rsid w:val="006E1BCD"/>
    <w:rsid w:val="006F5963"/>
    <w:rsid w:val="00702469"/>
    <w:rsid w:val="0071722B"/>
    <w:rsid w:val="0075435E"/>
    <w:rsid w:val="00780BDA"/>
    <w:rsid w:val="00792410"/>
    <w:rsid w:val="00795314"/>
    <w:rsid w:val="0079727F"/>
    <w:rsid w:val="007A5E9D"/>
    <w:rsid w:val="007B4C3C"/>
    <w:rsid w:val="007B7BE7"/>
    <w:rsid w:val="007C0F8E"/>
    <w:rsid w:val="007C41F9"/>
    <w:rsid w:val="007D496E"/>
    <w:rsid w:val="007E5E5C"/>
    <w:rsid w:val="007F246A"/>
    <w:rsid w:val="007F2E2E"/>
    <w:rsid w:val="007F4E20"/>
    <w:rsid w:val="008023BC"/>
    <w:rsid w:val="00804B67"/>
    <w:rsid w:val="008231FB"/>
    <w:rsid w:val="00834279"/>
    <w:rsid w:val="00855968"/>
    <w:rsid w:val="00856F6E"/>
    <w:rsid w:val="00865476"/>
    <w:rsid w:val="0086777D"/>
    <w:rsid w:val="00877600"/>
    <w:rsid w:val="0088076F"/>
    <w:rsid w:val="008B28D6"/>
    <w:rsid w:val="008B3DFF"/>
    <w:rsid w:val="008C5B12"/>
    <w:rsid w:val="008D3D04"/>
    <w:rsid w:val="008D5F24"/>
    <w:rsid w:val="008E0236"/>
    <w:rsid w:val="008E3BE1"/>
    <w:rsid w:val="008E4403"/>
    <w:rsid w:val="00904151"/>
    <w:rsid w:val="00922C03"/>
    <w:rsid w:val="00924D77"/>
    <w:rsid w:val="009257E7"/>
    <w:rsid w:val="00930340"/>
    <w:rsid w:val="009304D3"/>
    <w:rsid w:val="00936806"/>
    <w:rsid w:val="00952241"/>
    <w:rsid w:val="0096722E"/>
    <w:rsid w:val="00977AED"/>
    <w:rsid w:val="00985CE8"/>
    <w:rsid w:val="00985D88"/>
    <w:rsid w:val="00990473"/>
    <w:rsid w:val="0099627F"/>
    <w:rsid w:val="009A281E"/>
    <w:rsid w:val="009B29E0"/>
    <w:rsid w:val="009C22E2"/>
    <w:rsid w:val="009D2599"/>
    <w:rsid w:val="009D2980"/>
    <w:rsid w:val="009D69ED"/>
    <w:rsid w:val="009F6BF4"/>
    <w:rsid w:val="009F7EE5"/>
    <w:rsid w:val="00A00F97"/>
    <w:rsid w:val="00A436B3"/>
    <w:rsid w:val="00A444B1"/>
    <w:rsid w:val="00A579A7"/>
    <w:rsid w:val="00A67772"/>
    <w:rsid w:val="00A735F8"/>
    <w:rsid w:val="00A856CF"/>
    <w:rsid w:val="00A90DCA"/>
    <w:rsid w:val="00A915F8"/>
    <w:rsid w:val="00A91ECD"/>
    <w:rsid w:val="00AA4AB8"/>
    <w:rsid w:val="00AB20C1"/>
    <w:rsid w:val="00AC01F7"/>
    <w:rsid w:val="00AC6A86"/>
    <w:rsid w:val="00AD6FFA"/>
    <w:rsid w:val="00AF3CDB"/>
    <w:rsid w:val="00AF4B17"/>
    <w:rsid w:val="00B04E18"/>
    <w:rsid w:val="00B1616F"/>
    <w:rsid w:val="00B224F5"/>
    <w:rsid w:val="00B26334"/>
    <w:rsid w:val="00B44CCA"/>
    <w:rsid w:val="00B51AAD"/>
    <w:rsid w:val="00B648D9"/>
    <w:rsid w:val="00B76139"/>
    <w:rsid w:val="00B83C2B"/>
    <w:rsid w:val="00B917A1"/>
    <w:rsid w:val="00BA5CFA"/>
    <w:rsid w:val="00BD2E98"/>
    <w:rsid w:val="00BE09EC"/>
    <w:rsid w:val="00BE6EDC"/>
    <w:rsid w:val="00C0118A"/>
    <w:rsid w:val="00C04034"/>
    <w:rsid w:val="00C10CDA"/>
    <w:rsid w:val="00C27130"/>
    <w:rsid w:val="00C27295"/>
    <w:rsid w:val="00C34A76"/>
    <w:rsid w:val="00C403B2"/>
    <w:rsid w:val="00C451F1"/>
    <w:rsid w:val="00C6256D"/>
    <w:rsid w:val="00C875C3"/>
    <w:rsid w:val="00C95202"/>
    <w:rsid w:val="00C95C60"/>
    <w:rsid w:val="00CA067A"/>
    <w:rsid w:val="00CA416D"/>
    <w:rsid w:val="00CB0E74"/>
    <w:rsid w:val="00CC7BFF"/>
    <w:rsid w:val="00CD632E"/>
    <w:rsid w:val="00CD6449"/>
    <w:rsid w:val="00CD7D37"/>
    <w:rsid w:val="00CE53D2"/>
    <w:rsid w:val="00CE5591"/>
    <w:rsid w:val="00CF5AB6"/>
    <w:rsid w:val="00D05EE0"/>
    <w:rsid w:val="00D1397C"/>
    <w:rsid w:val="00D142B4"/>
    <w:rsid w:val="00D16156"/>
    <w:rsid w:val="00D17181"/>
    <w:rsid w:val="00D213F4"/>
    <w:rsid w:val="00D2551B"/>
    <w:rsid w:val="00D30913"/>
    <w:rsid w:val="00D314A7"/>
    <w:rsid w:val="00D360CD"/>
    <w:rsid w:val="00D40F0C"/>
    <w:rsid w:val="00D432FD"/>
    <w:rsid w:val="00D62956"/>
    <w:rsid w:val="00D62B51"/>
    <w:rsid w:val="00D673A6"/>
    <w:rsid w:val="00D73C7A"/>
    <w:rsid w:val="00D75885"/>
    <w:rsid w:val="00D81316"/>
    <w:rsid w:val="00D8369B"/>
    <w:rsid w:val="00DA019D"/>
    <w:rsid w:val="00DE72E7"/>
    <w:rsid w:val="00E02559"/>
    <w:rsid w:val="00E120C4"/>
    <w:rsid w:val="00E22680"/>
    <w:rsid w:val="00E2463E"/>
    <w:rsid w:val="00E27FEB"/>
    <w:rsid w:val="00E35DCB"/>
    <w:rsid w:val="00E371DB"/>
    <w:rsid w:val="00E44CD1"/>
    <w:rsid w:val="00E67C91"/>
    <w:rsid w:val="00E717A5"/>
    <w:rsid w:val="00E8392C"/>
    <w:rsid w:val="00EC692D"/>
    <w:rsid w:val="00EE14B4"/>
    <w:rsid w:val="00EF6FB4"/>
    <w:rsid w:val="00F06AE0"/>
    <w:rsid w:val="00F10086"/>
    <w:rsid w:val="00F14591"/>
    <w:rsid w:val="00F311ED"/>
    <w:rsid w:val="00F325C5"/>
    <w:rsid w:val="00F45491"/>
    <w:rsid w:val="00F540D1"/>
    <w:rsid w:val="00F70C3C"/>
    <w:rsid w:val="00F874BC"/>
    <w:rsid w:val="00F914AF"/>
    <w:rsid w:val="00F9507F"/>
    <w:rsid w:val="00FA26E1"/>
    <w:rsid w:val="00FA2747"/>
    <w:rsid w:val="00FA5754"/>
    <w:rsid w:val="00FC2FA7"/>
    <w:rsid w:val="00FC3FAD"/>
    <w:rsid w:val="00FD1A67"/>
    <w:rsid w:val="00FD6796"/>
    <w:rsid w:val="00FE11CC"/>
    <w:rsid w:val="00FF3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1CC"/>
    <w:pPr>
      <w:spacing w:after="0"/>
      <w:jc w:val="center"/>
      <w:outlineLvl w:val="0"/>
    </w:pPr>
    <w:rPr>
      <w:rFonts w:asciiTheme="minorHAnsi" w:hAnsiTheme="minorHAnsi"/>
      <w:b/>
      <w:sz w:val="28"/>
    </w:rPr>
  </w:style>
  <w:style w:type="paragraph" w:styleId="Heading2">
    <w:name w:val="heading 2"/>
    <w:basedOn w:val="Normal"/>
    <w:next w:val="Normal"/>
    <w:link w:val="Heading2Char"/>
    <w:uiPriority w:val="9"/>
    <w:unhideWhenUsed/>
    <w:qFormat/>
    <w:rsid w:val="00FE11CC"/>
    <w:pPr>
      <w:spacing w:after="0" w:line="240" w:lineRule="auto"/>
      <w:outlineLvl w:val="1"/>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CC"/>
    <w:rPr>
      <w:rFonts w:asciiTheme="minorHAnsi" w:hAnsiTheme="minorHAnsi"/>
      <w:b/>
      <w:sz w:val="28"/>
    </w:rPr>
  </w:style>
  <w:style w:type="paragraph" w:styleId="ListParagraph">
    <w:name w:val="List Paragraph"/>
    <w:basedOn w:val="Normal"/>
    <w:uiPriority w:val="34"/>
    <w:qFormat/>
    <w:rsid w:val="001C36F4"/>
    <w:pPr>
      <w:ind w:left="720"/>
      <w:contextualSpacing/>
    </w:pPr>
  </w:style>
  <w:style w:type="paragraph" w:styleId="BalloonText">
    <w:name w:val="Balloon Text"/>
    <w:basedOn w:val="Normal"/>
    <w:link w:val="BalloonTextChar"/>
    <w:uiPriority w:val="99"/>
    <w:semiHidden/>
    <w:unhideWhenUsed/>
    <w:rsid w:val="00AD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FA"/>
    <w:rPr>
      <w:rFonts w:ascii="Tahoma" w:hAnsi="Tahoma" w:cs="Tahoma"/>
      <w:sz w:val="16"/>
      <w:szCs w:val="16"/>
    </w:rPr>
  </w:style>
  <w:style w:type="paragraph" w:styleId="FootnoteText">
    <w:name w:val="footnote text"/>
    <w:basedOn w:val="Normal"/>
    <w:link w:val="FootnoteTextChar"/>
    <w:uiPriority w:val="99"/>
    <w:semiHidden/>
    <w:unhideWhenUsed/>
    <w:rsid w:val="00432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0F3"/>
    <w:rPr>
      <w:sz w:val="20"/>
      <w:szCs w:val="20"/>
    </w:rPr>
  </w:style>
  <w:style w:type="character" w:styleId="FootnoteReference">
    <w:name w:val="footnote reference"/>
    <w:basedOn w:val="DefaultParagraphFont"/>
    <w:uiPriority w:val="99"/>
    <w:semiHidden/>
    <w:unhideWhenUsed/>
    <w:rsid w:val="004320F3"/>
    <w:rPr>
      <w:vertAlign w:val="superscript"/>
    </w:rPr>
  </w:style>
  <w:style w:type="paragraph" w:styleId="Header">
    <w:name w:val="header"/>
    <w:basedOn w:val="Normal"/>
    <w:link w:val="HeaderChar"/>
    <w:uiPriority w:val="99"/>
    <w:unhideWhenUsed/>
    <w:rsid w:val="0012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B0"/>
  </w:style>
  <w:style w:type="paragraph" w:styleId="Footer">
    <w:name w:val="footer"/>
    <w:basedOn w:val="Normal"/>
    <w:link w:val="FooterChar"/>
    <w:uiPriority w:val="99"/>
    <w:unhideWhenUsed/>
    <w:rsid w:val="0012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B0"/>
  </w:style>
  <w:style w:type="paragraph" w:styleId="Title">
    <w:name w:val="Title"/>
    <w:basedOn w:val="Heading1"/>
    <w:next w:val="Normal"/>
    <w:link w:val="TitleChar"/>
    <w:uiPriority w:val="10"/>
    <w:qFormat/>
    <w:rsid w:val="00FE11CC"/>
  </w:style>
  <w:style w:type="character" w:customStyle="1" w:styleId="TitleChar">
    <w:name w:val="Title Char"/>
    <w:basedOn w:val="DefaultParagraphFont"/>
    <w:link w:val="Title"/>
    <w:uiPriority w:val="10"/>
    <w:rsid w:val="00FE11CC"/>
    <w:rPr>
      <w:rFonts w:asciiTheme="minorHAnsi" w:eastAsiaTheme="majorEastAsia" w:hAnsiTheme="minorHAnsi" w:cstheme="majorBidi"/>
      <w:b/>
      <w:bCs/>
      <w:sz w:val="28"/>
      <w:szCs w:val="28"/>
    </w:rPr>
  </w:style>
  <w:style w:type="paragraph" w:styleId="Subtitle">
    <w:name w:val="Subtitle"/>
    <w:basedOn w:val="Heading1"/>
    <w:next w:val="Normal"/>
    <w:link w:val="SubtitleChar"/>
    <w:uiPriority w:val="11"/>
    <w:qFormat/>
    <w:rsid w:val="00FE11CC"/>
  </w:style>
  <w:style w:type="character" w:customStyle="1" w:styleId="SubtitleChar">
    <w:name w:val="Subtitle Char"/>
    <w:basedOn w:val="DefaultParagraphFont"/>
    <w:link w:val="Subtitle"/>
    <w:uiPriority w:val="11"/>
    <w:rsid w:val="00FE11CC"/>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FE11CC"/>
    <w:rPr>
      <w:rFonts w:asciiTheme="minorHAnsi" w:hAnsiTheme="minorHAns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1CC"/>
    <w:pPr>
      <w:spacing w:after="0"/>
      <w:jc w:val="center"/>
      <w:outlineLvl w:val="0"/>
    </w:pPr>
    <w:rPr>
      <w:rFonts w:asciiTheme="minorHAnsi" w:hAnsiTheme="minorHAnsi"/>
      <w:b/>
      <w:sz w:val="28"/>
    </w:rPr>
  </w:style>
  <w:style w:type="paragraph" w:styleId="Heading2">
    <w:name w:val="heading 2"/>
    <w:basedOn w:val="Normal"/>
    <w:next w:val="Normal"/>
    <w:link w:val="Heading2Char"/>
    <w:uiPriority w:val="9"/>
    <w:unhideWhenUsed/>
    <w:qFormat/>
    <w:rsid w:val="00FE11CC"/>
    <w:pPr>
      <w:spacing w:after="0" w:line="240" w:lineRule="auto"/>
      <w:outlineLvl w:val="1"/>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CC"/>
    <w:rPr>
      <w:rFonts w:asciiTheme="minorHAnsi" w:hAnsiTheme="minorHAnsi"/>
      <w:b/>
      <w:sz w:val="28"/>
    </w:rPr>
  </w:style>
  <w:style w:type="paragraph" w:styleId="ListParagraph">
    <w:name w:val="List Paragraph"/>
    <w:basedOn w:val="Normal"/>
    <w:uiPriority w:val="34"/>
    <w:qFormat/>
    <w:rsid w:val="001C36F4"/>
    <w:pPr>
      <w:ind w:left="720"/>
      <w:contextualSpacing/>
    </w:pPr>
  </w:style>
  <w:style w:type="paragraph" w:styleId="BalloonText">
    <w:name w:val="Balloon Text"/>
    <w:basedOn w:val="Normal"/>
    <w:link w:val="BalloonTextChar"/>
    <w:uiPriority w:val="99"/>
    <w:semiHidden/>
    <w:unhideWhenUsed/>
    <w:rsid w:val="00AD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FA"/>
    <w:rPr>
      <w:rFonts w:ascii="Tahoma" w:hAnsi="Tahoma" w:cs="Tahoma"/>
      <w:sz w:val="16"/>
      <w:szCs w:val="16"/>
    </w:rPr>
  </w:style>
  <w:style w:type="paragraph" w:styleId="FootnoteText">
    <w:name w:val="footnote text"/>
    <w:basedOn w:val="Normal"/>
    <w:link w:val="FootnoteTextChar"/>
    <w:uiPriority w:val="99"/>
    <w:semiHidden/>
    <w:unhideWhenUsed/>
    <w:rsid w:val="00432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0F3"/>
    <w:rPr>
      <w:sz w:val="20"/>
      <w:szCs w:val="20"/>
    </w:rPr>
  </w:style>
  <w:style w:type="character" w:styleId="FootnoteReference">
    <w:name w:val="footnote reference"/>
    <w:basedOn w:val="DefaultParagraphFont"/>
    <w:uiPriority w:val="99"/>
    <w:semiHidden/>
    <w:unhideWhenUsed/>
    <w:rsid w:val="004320F3"/>
    <w:rPr>
      <w:vertAlign w:val="superscript"/>
    </w:rPr>
  </w:style>
  <w:style w:type="paragraph" w:styleId="Header">
    <w:name w:val="header"/>
    <w:basedOn w:val="Normal"/>
    <w:link w:val="HeaderChar"/>
    <w:uiPriority w:val="99"/>
    <w:unhideWhenUsed/>
    <w:rsid w:val="0012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B0"/>
  </w:style>
  <w:style w:type="paragraph" w:styleId="Footer">
    <w:name w:val="footer"/>
    <w:basedOn w:val="Normal"/>
    <w:link w:val="FooterChar"/>
    <w:uiPriority w:val="99"/>
    <w:unhideWhenUsed/>
    <w:rsid w:val="0012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B0"/>
  </w:style>
  <w:style w:type="paragraph" w:styleId="Title">
    <w:name w:val="Title"/>
    <w:basedOn w:val="Heading1"/>
    <w:next w:val="Normal"/>
    <w:link w:val="TitleChar"/>
    <w:uiPriority w:val="10"/>
    <w:qFormat/>
    <w:rsid w:val="00FE11CC"/>
  </w:style>
  <w:style w:type="character" w:customStyle="1" w:styleId="TitleChar">
    <w:name w:val="Title Char"/>
    <w:basedOn w:val="DefaultParagraphFont"/>
    <w:link w:val="Title"/>
    <w:uiPriority w:val="10"/>
    <w:rsid w:val="00FE11CC"/>
    <w:rPr>
      <w:rFonts w:asciiTheme="minorHAnsi" w:eastAsiaTheme="majorEastAsia" w:hAnsiTheme="minorHAnsi" w:cstheme="majorBidi"/>
      <w:b/>
      <w:bCs/>
      <w:sz w:val="28"/>
      <w:szCs w:val="28"/>
    </w:rPr>
  </w:style>
  <w:style w:type="paragraph" w:styleId="Subtitle">
    <w:name w:val="Subtitle"/>
    <w:basedOn w:val="Heading1"/>
    <w:next w:val="Normal"/>
    <w:link w:val="SubtitleChar"/>
    <w:uiPriority w:val="11"/>
    <w:qFormat/>
    <w:rsid w:val="00FE11CC"/>
  </w:style>
  <w:style w:type="character" w:customStyle="1" w:styleId="SubtitleChar">
    <w:name w:val="Subtitle Char"/>
    <w:basedOn w:val="DefaultParagraphFont"/>
    <w:link w:val="Subtitle"/>
    <w:uiPriority w:val="11"/>
    <w:rsid w:val="00FE11CC"/>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FE11CC"/>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2052">
      <w:bodyDiv w:val="1"/>
      <w:marLeft w:val="0"/>
      <w:marRight w:val="0"/>
      <w:marTop w:val="0"/>
      <w:marBottom w:val="0"/>
      <w:divBdr>
        <w:top w:val="none" w:sz="0" w:space="0" w:color="auto"/>
        <w:left w:val="none" w:sz="0" w:space="0" w:color="auto"/>
        <w:bottom w:val="none" w:sz="0" w:space="0" w:color="auto"/>
        <w:right w:val="none" w:sz="0" w:space="0" w:color="auto"/>
      </w:divBdr>
    </w:div>
    <w:div w:id="886112461">
      <w:bodyDiv w:val="1"/>
      <w:marLeft w:val="0"/>
      <w:marRight w:val="0"/>
      <w:marTop w:val="0"/>
      <w:marBottom w:val="0"/>
      <w:divBdr>
        <w:top w:val="none" w:sz="0" w:space="0" w:color="auto"/>
        <w:left w:val="none" w:sz="0" w:space="0" w:color="auto"/>
        <w:bottom w:val="none" w:sz="0" w:space="0" w:color="auto"/>
        <w:right w:val="none" w:sz="0" w:space="0" w:color="auto"/>
      </w:divBdr>
    </w:div>
    <w:div w:id="974485823">
      <w:bodyDiv w:val="1"/>
      <w:marLeft w:val="0"/>
      <w:marRight w:val="0"/>
      <w:marTop w:val="0"/>
      <w:marBottom w:val="0"/>
      <w:divBdr>
        <w:top w:val="none" w:sz="0" w:space="0" w:color="auto"/>
        <w:left w:val="none" w:sz="0" w:space="0" w:color="auto"/>
        <w:bottom w:val="none" w:sz="0" w:space="0" w:color="auto"/>
        <w:right w:val="none" w:sz="0" w:space="0" w:color="auto"/>
      </w:divBdr>
    </w:div>
    <w:div w:id="1624841734">
      <w:bodyDiv w:val="1"/>
      <w:marLeft w:val="0"/>
      <w:marRight w:val="0"/>
      <w:marTop w:val="0"/>
      <w:marBottom w:val="0"/>
      <w:divBdr>
        <w:top w:val="none" w:sz="0" w:space="0" w:color="auto"/>
        <w:left w:val="none" w:sz="0" w:space="0" w:color="auto"/>
        <w:bottom w:val="none" w:sz="0" w:space="0" w:color="auto"/>
        <w:right w:val="none" w:sz="0" w:space="0" w:color="auto"/>
      </w:divBdr>
    </w:div>
    <w:div w:id="1656256999">
      <w:bodyDiv w:val="1"/>
      <w:marLeft w:val="0"/>
      <w:marRight w:val="0"/>
      <w:marTop w:val="0"/>
      <w:marBottom w:val="0"/>
      <w:divBdr>
        <w:top w:val="none" w:sz="0" w:space="0" w:color="auto"/>
        <w:left w:val="none" w:sz="0" w:space="0" w:color="auto"/>
        <w:bottom w:val="none" w:sz="0" w:space="0" w:color="auto"/>
        <w:right w:val="none" w:sz="0" w:space="0" w:color="auto"/>
      </w:divBdr>
    </w:div>
    <w:div w:id="20676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F644-8931-444E-9485-C321D24F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 STAR RATING STAKEHOLDER WORKSHOP</vt:lpstr>
    </vt:vector>
  </TitlesOfParts>
  <Company>Dept Health And Ageing</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STAKEHOLDER WORKSHOP</dc:title>
  <dc:creator>Department of Health</dc:creator>
  <cp:lastModifiedBy>Limbrick Fleur</cp:lastModifiedBy>
  <cp:revision>3</cp:revision>
  <cp:lastPrinted>2016-06-08T00:15:00Z</cp:lastPrinted>
  <dcterms:created xsi:type="dcterms:W3CDTF">2017-01-03T03:41:00Z</dcterms:created>
  <dcterms:modified xsi:type="dcterms:W3CDTF">2017-01-03T03:51:00Z</dcterms:modified>
</cp:coreProperties>
</file>