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99" w:rsidRPr="008B664A" w:rsidRDefault="009F79AF" w:rsidP="008B664A">
      <w:pPr>
        <w:keepNext/>
        <w:keepLines/>
        <w:spacing w:after="160" w:line="240" w:lineRule="auto"/>
        <w:jc w:val="center"/>
        <w:outlineLvl w:val="1"/>
        <w:rPr>
          <w:sz w:val="28"/>
          <w:szCs w:val="28"/>
        </w:rPr>
      </w:pPr>
      <w:r w:rsidRPr="008B664A">
        <w:rPr>
          <w:b/>
          <w:sz w:val="28"/>
          <w:szCs w:val="28"/>
        </w:rPr>
        <w:t>Overarching Principles for Health Star Rating Technical Advisory Group</w:t>
      </w:r>
    </w:p>
    <w:p w:rsidR="008B664A" w:rsidRDefault="001831E5" w:rsidP="00A42A04">
      <w:r>
        <w:t xml:space="preserve"> </w:t>
      </w:r>
      <w:bookmarkStart w:id="0" w:name="_GoBack"/>
      <w:bookmarkEnd w:id="0"/>
    </w:p>
    <w:p w:rsidR="00580570" w:rsidRDefault="00580570" w:rsidP="008B664A">
      <w:pPr>
        <w:spacing w:after="160" w:line="240" w:lineRule="auto"/>
      </w:pPr>
      <w:r>
        <w:t xml:space="preserve">In undertaking the review of the </w:t>
      </w:r>
      <w:r w:rsidR="006A7A6A">
        <w:t xml:space="preserve">Health Star Rating (HSR) </w:t>
      </w:r>
      <w:r>
        <w:t xml:space="preserve">Calculator, the HSR </w:t>
      </w:r>
      <w:r w:rsidR="006A7A6A">
        <w:t>Technical Advisory Group (</w:t>
      </w:r>
      <w:r w:rsidR="006A7A6A" w:rsidRPr="00DE0C47">
        <w:t>TAG</w:t>
      </w:r>
      <w:r w:rsidR="006A7A6A">
        <w:t>)</w:t>
      </w:r>
      <w:r w:rsidR="006A7A6A" w:rsidRPr="00DE0C47">
        <w:t xml:space="preserve"> shoul</w:t>
      </w:r>
      <w:r w:rsidR="006A7A6A">
        <w:t xml:space="preserve">d consider the </w:t>
      </w:r>
      <w:r w:rsidR="00054A99">
        <w:t>TAG Terms of Reference which include</w:t>
      </w:r>
      <w:r>
        <w:t>:</w:t>
      </w:r>
      <w:r w:rsidR="00054A99">
        <w:t xml:space="preserve"> </w:t>
      </w:r>
    </w:p>
    <w:p w:rsidR="00580570" w:rsidRDefault="00054A99" w:rsidP="008B66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714" w:hanging="357"/>
        <w:contextualSpacing w:val="0"/>
      </w:pPr>
      <w:r>
        <w:t xml:space="preserve">the </w:t>
      </w:r>
      <w:r w:rsidR="00580570">
        <w:t xml:space="preserve">former </w:t>
      </w:r>
      <w:r w:rsidR="006A7A6A">
        <w:t>Front-of-Pack Labelling (FoPL) Project Committee objectives and principles for the development of a FoPL system</w:t>
      </w:r>
      <w:r w:rsidR="00580570">
        <w:t>;</w:t>
      </w:r>
      <w:r>
        <w:t xml:space="preserve"> and </w:t>
      </w:r>
    </w:p>
    <w:p w:rsidR="006A7A6A" w:rsidRDefault="00054A99" w:rsidP="008B66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714" w:hanging="357"/>
        <w:contextualSpacing w:val="0"/>
      </w:pPr>
      <w:r>
        <w:t>the former Australia and New Zealand Food Regulation Ministerial Council FoPL Policy Statement</w:t>
      </w:r>
      <w:r w:rsidR="00580570">
        <w:t>.</w:t>
      </w:r>
    </w:p>
    <w:p w:rsidR="00635232" w:rsidRDefault="00635232" w:rsidP="008B664A">
      <w:pPr>
        <w:autoSpaceDE w:val="0"/>
        <w:autoSpaceDN w:val="0"/>
        <w:adjustRightInd w:val="0"/>
        <w:spacing w:after="160" w:line="240" w:lineRule="auto"/>
      </w:pPr>
      <w:r>
        <w:t xml:space="preserve">The TAG should keep in mind that the priority focus of the HSR system is packaged, manufactured </w:t>
      </w:r>
      <w:r w:rsidR="00580570">
        <w:t>and/</w:t>
      </w:r>
      <w:r>
        <w:t>or processed foods presented ready for sale to the consumer in the retail sector.</w:t>
      </w:r>
    </w:p>
    <w:p w:rsidR="006A7A6A" w:rsidRPr="00573F76" w:rsidRDefault="006A7A6A" w:rsidP="008B664A">
      <w:pPr>
        <w:autoSpaceDE w:val="0"/>
        <w:autoSpaceDN w:val="0"/>
        <w:adjustRightInd w:val="0"/>
        <w:spacing w:after="160" w:line="240" w:lineRule="auto"/>
        <w:rPr>
          <w:rStyle w:val="Strong"/>
        </w:rPr>
      </w:pPr>
      <w:r w:rsidRPr="00BA15EB">
        <w:t>Th</w:t>
      </w:r>
      <w:r>
        <w:t xml:space="preserve">e HSR system </w:t>
      </w:r>
      <w:r w:rsidRPr="00635232">
        <w:t>should:</w:t>
      </w:r>
    </w:p>
    <w:p w:rsidR="006A7A6A" w:rsidRDefault="006A7A6A" w:rsidP="008B66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714" w:hanging="357"/>
        <w:contextualSpacing w:val="0"/>
      </w:pPr>
      <w:r>
        <w:t>s</w:t>
      </w:r>
      <w:r w:rsidRPr="00903179">
        <w:t xml:space="preserve">upport and </w:t>
      </w:r>
      <w:r w:rsidR="00224C49">
        <w:t xml:space="preserve">be </w:t>
      </w:r>
      <w:r w:rsidRPr="00903179">
        <w:t xml:space="preserve">consistent with </w:t>
      </w:r>
      <w:r>
        <w:t xml:space="preserve">the </w:t>
      </w:r>
      <w:r w:rsidRPr="007F2FBB">
        <w:t>Australian Dietary Guidelines</w:t>
      </w:r>
      <w:r w:rsidRPr="00353AFF">
        <w:rPr>
          <w:rStyle w:val="EndnoteReference"/>
        </w:rPr>
        <w:endnoteReference w:id="1"/>
      </w:r>
      <w:r w:rsidRPr="007F2FBB">
        <w:rPr>
          <w:b/>
        </w:rPr>
        <w:t xml:space="preserve"> </w:t>
      </w:r>
      <w:r w:rsidRPr="00903179">
        <w:t xml:space="preserve">and </w:t>
      </w:r>
      <w:r>
        <w:t xml:space="preserve">the </w:t>
      </w:r>
      <w:r w:rsidRPr="00903179">
        <w:t xml:space="preserve">New Zealand </w:t>
      </w:r>
      <w:r>
        <w:t>Eating and Activity G</w:t>
      </w:r>
      <w:r w:rsidRPr="00903179">
        <w:t>uidelines</w:t>
      </w:r>
      <w:r w:rsidR="00580570" w:rsidRPr="00353AFF">
        <w:rPr>
          <w:rStyle w:val="EndnoteReference"/>
        </w:rPr>
        <w:endnoteReference w:id="2"/>
      </w:r>
      <w:r w:rsidRPr="00353AFF">
        <w:t>;</w:t>
      </w:r>
    </w:p>
    <w:p w:rsidR="006A7A6A" w:rsidRDefault="006A7A6A" w:rsidP="008B66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contextualSpacing w:val="0"/>
      </w:pPr>
      <w:r>
        <w:t xml:space="preserve">align with the </w:t>
      </w:r>
      <w:r w:rsidRPr="007F2FBB">
        <w:t>A</w:t>
      </w:r>
      <w:r w:rsidR="007F2FBB">
        <w:t xml:space="preserve">ustralia and </w:t>
      </w:r>
      <w:r w:rsidRPr="007F2FBB">
        <w:t>N</w:t>
      </w:r>
      <w:r w:rsidR="007F2FBB">
        <w:t xml:space="preserve">ew </w:t>
      </w:r>
      <w:r w:rsidRPr="007F2FBB">
        <w:t>Z</w:t>
      </w:r>
      <w:r w:rsidR="007F2FBB">
        <w:t>ealand</w:t>
      </w:r>
      <w:r w:rsidRPr="007F2FBB">
        <w:t xml:space="preserve"> Food Standards Code</w:t>
      </w:r>
      <w:r>
        <w:rPr>
          <w:rStyle w:val="EndnoteReference"/>
        </w:rPr>
        <w:endnoteReference w:id="3"/>
      </w:r>
      <w:r>
        <w:t xml:space="preserve"> as the principle instrument for food regulation in Australia and New Zealand</w:t>
      </w:r>
      <w:r w:rsidR="007F2FBB">
        <w:t xml:space="preserve">, particularly </w:t>
      </w:r>
      <w:r w:rsidR="00580570">
        <w:t>n</w:t>
      </w:r>
      <w:r w:rsidR="007F2FBB">
        <w:t xml:space="preserve">utrition, </w:t>
      </w:r>
      <w:r w:rsidR="00580570">
        <w:t>h</w:t>
      </w:r>
      <w:r w:rsidR="007F2FBB">
        <w:t xml:space="preserve">ealth and </w:t>
      </w:r>
      <w:r w:rsidR="00580570">
        <w:t>r</w:t>
      </w:r>
      <w:r w:rsidR="007F2FBB">
        <w:t xml:space="preserve">elated </w:t>
      </w:r>
      <w:r w:rsidR="00580570">
        <w:t>cl</w:t>
      </w:r>
      <w:r w:rsidR="007F2FBB">
        <w:t>aims regulations</w:t>
      </w:r>
      <w:r w:rsidR="005477C0">
        <w:t>;</w:t>
      </w:r>
      <w:r>
        <w:t xml:space="preserve"> </w:t>
      </w:r>
    </w:p>
    <w:p w:rsidR="006A7A6A" w:rsidRDefault="005477C0" w:rsidP="008B66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714" w:hanging="357"/>
        <w:contextualSpacing w:val="0"/>
      </w:pPr>
      <w:r>
        <w:t>encourage reformulation to improve the</w:t>
      </w:r>
      <w:r w:rsidR="00C73FAC">
        <w:t xml:space="preserve"> healthiness of the food supply; and</w:t>
      </w:r>
    </w:p>
    <w:p w:rsidR="0050014B" w:rsidRDefault="00C73FAC" w:rsidP="008B66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714" w:hanging="357"/>
        <w:contextualSpacing w:val="0"/>
      </w:pPr>
      <w:r>
        <w:t>be based on robust data and str</w:t>
      </w:r>
      <w:r w:rsidR="00CC255C">
        <w:t>ong</w:t>
      </w:r>
      <w:r>
        <w:t xml:space="preserve"> scientific evidence. </w:t>
      </w:r>
    </w:p>
    <w:p w:rsidR="005477C0" w:rsidRDefault="0050014B" w:rsidP="008B664A">
      <w:pPr>
        <w:autoSpaceDE w:val="0"/>
        <w:autoSpaceDN w:val="0"/>
        <w:adjustRightInd w:val="0"/>
        <w:spacing w:after="160" w:line="240" w:lineRule="auto"/>
      </w:pPr>
      <w:r>
        <w:t xml:space="preserve">In conducting its work, </w:t>
      </w:r>
      <w:r w:rsidR="009D0F7B">
        <w:t xml:space="preserve">the </w:t>
      </w:r>
      <w:r w:rsidR="005477C0">
        <w:t xml:space="preserve">TAG should </w:t>
      </w:r>
      <w:r>
        <w:t xml:space="preserve">also </w:t>
      </w:r>
      <w:r w:rsidR="005477C0">
        <w:t>consider:</w:t>
      </w:r>
    </w:p>
    <w:p w:rsidR="0050014B" w:rsidRDefault="0050014B" w:rsidP="008B66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714" w:hanging="357"/>
        <w:contextualSpacing w:val="0"/>
      </w:pPr>
      <w:r>
        <w:t xml:space="preserve">including as many products </w:t>
      </w:r>
      <w:r w:rsidR="009D0F7B">
        <w:t xml:space="preserve">in the current food supply </w:t>
      </w:r>
      <w:r>
        <w:t>as possible when completing modelling exercises;</w:t>
      </w:r>
    </w:p>
    <w:p w:rsidR="0050014B" w:rsidRDefault="009D0F7B" w:rsidP="008B66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714" w:hanging="357"/>
        <w:contextualSpacing w:val="0"/>
      </w:pPr>
      <w:r>
        <w:t xml:space="preserve">ensuring proposed options are evidence based and </w:t>
      </w:r>
      <w:r w:rsidR="00624023">
        <w:t>include</w:t>
      </w:r>
      <w:r>
        <w:t xml:space="preserve"> recent and evolving research</w:t>
      </w:r>
      <w:r w:rsidR="0050014B">
        <w:t>;</w:t>
      </w:r>
      <w:r>
        <w:t xml:space="preserve"> and </w:t>
      </w:r>
    </w:p>
    <w:p w:rsidR="006A7A6A" w:rsidRDefault="009D0F7B" w:rsidP="008B66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714" w:hanging="357"/>
        <w:contextualSpacing w:val="0"/>
      </w:pPr>
      <w:r>
        <w:t xml:space="preserve">the complexity of </w:t>
      </w:r>
      <w:r w:rsidR="00F474F7">
        <w:t xml:space="preserve">defining ‘healthy’ and ‘unhealthy’ foods and </w:t>
      </w:r>
      <w:r>
        <w:t>encouraging healthy eating and healthy food choices</w:t>
      </w:r>
      <w:r w:rsidR="00624023">
        <w:t>, whil</w:t>
      </w:r>
      <w:r w:rsidR="00F474F7">
        <w:t>st</w:t>
      </w:r>
      <w:r w:rsidR="00624023">
        <w:t xml:space="preserve"> acknowledging that t</w:t>
      </w:r>
      <w:r>
        <w:t>he HSR system is one tool in a suite of</w:t>
      </w:r>
      <w:r w:rsidR="007F3EA8">
        <w:t xml:space="preserve"> preventive health</w:t>
      </w:r>
      <w:r w:rsidR="009645EC">
        <w:t xml:space="preserve"> </w:t>
      </w:r>
      <w:r>
        <w:t>strategies.</w:t>
      </w:r>
    </w:p>
    <w:p w:rsidR="00003743" w:rsidRPr="002F3AE3" w:rsidRDefault="00003743" w:rsidP="008B664A">
      <w:pPr>
        <w:spacing w:after="600" w:line="240" w:lineRule="auto"/>
      </w:pPr>
    </w:p>
    <w:sectPr w:rsidR="00003743" w:rsidRPr="002F3AE3" w:rsidSect="00B927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604" w:rsidRDefault="00A36604" w:rsidP="006A7A6A">
      <w:pPr>
        <w:spacing w:after="0" w:line="240" w:lineRule="auto"/>
      </w:pPr>
      <w:r>
        <w:separator/>
      </w:r>
    </w:p>
  </w:endnote>
  <w:endnote w:type="continuationSeparator" w:id="0">
    <w:p w:rsidR="00A36604" w:rsidRDefault="00A36604" w:rsidP="006A7A6A">
      <w:pPr>
        <w:spacing w:after="0" w:line="240" w:lineRule="auto"/>
      </w:pPr>
      <w:r>
        <w:continuationSeparator/>
      </w:r>
    </w:p>
  </w:endnote>
  <w:endnote w:id="1">
    <w:p w:rsidR="006A7A6A" w:rsidRPr="0082574B" w:rsidRDefault="006A7A6A" w:rsidP="00122BE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2574B">
        <w:rPr>
          <w:rStyle w:val="EndnoteReference"/>
          <w:sz w:val="20"/>
          <w:szCs w:val="20"/>
        </w:rPr>
        <w:endnoteRef/>
      </w:r>
      <w:r w:rsidRPr="0082574B">
        <w:rPr>
          <w:sz w:val="20"/>
          <w:szCs w:val="20"/>
        </w:rPr>
        <w:t xml:space="preserve"> National Health and Medical Research Council</w:t>
      </w:r>
      <w:r w:rsidR="008B664A" w:rsidRPr="0082574B">
        <w:rPr>
          <w:sz w:val="20"/>
          <w:szCs w:val="20"/>
        </w:rPr>
        <w:t xml:space="preserve"> </w:t>
      </w:r>
      <w:hyperlink r:id="rId1" w:history="1">
        <w:r w:rsidR="008B664A" w:rsidRPr="0082574B">
          <w:rPr>
            <w:rStyle w:val="Hyperlink"/>
            <w:sz w:val="20"/>
            <w:szCs w:val="20"/>
          </w:rPr>
          <w:t>Australian Dietary Guidelines (2013)</w:t>
        </w:r>
      </w:hyperlink>
    </w:p>
  </w:endnote>
  <w:endnote w:id="2">
    <w:p w:rsidR="00580570" w:rsidRPr="0082574B" w:rsidRDefault="00580570" w:rsidP="0058057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2574B">
        <w:rPr>
          <w:rStyle w:val="EndnoteReference"/>
          <w:sz w:val="20"/>
          <w:szCs w:val="20"/>
        </w:rPr>
        <w:endnoteRef/>
      </w:r>
      <w:r w:rsidRPr="0082574B">
        <w:rPr>
          <w:sz w:val="20"/>
          <w:szCs w:val="20"/>
        </w:rPr>
        <w:t xml:space="preserve"> New Zealand Ministry of Health, 2015,</w:t>
      </w:r>
      <w:r w:rsidR="008B664A" w:rsidRPr="0082574B">
        <w:rPr>
          <w:sz w:val="20"/>
          <w:szCs w:val="20"/>
        </w:rPr>
        <w:t xml:space="preserve"> </w:t>
      </w:r>
      <w:hyperlink r:id="rId2" w:history="1">
        <w:r w:rsidR="008B664A" w:rsidRPr="0082574B">
          <w:rPr>
            <w:rStyle w:val="Hyperlink"/>
            <w:sz w:val="20"/>
            <w:szCs w:val="20"/>
          </w:rPr>
          <w:t>Eating and Activity Guidelines for New Zealand Adults</w:t>
        </w:r>
      </w:hyperlink>
    </w:p>
  </w:endnote>
  <w:endnote w:id="3">
    <w:p w:rsidR="006A7A6A" w:rsidRPr="0082574B" w:rsidRDefault="006A7A6A" w:rsidP="006A7A6A">
      <w:pPr>
        <w:pStyle w:val="EndnoteText"/>
      </w:pPr>
      <w:r w:rsidRPr="0082574B">
        <w:rPr>
          <w:rStyle w:val="EndnoteReference"/>
        </w:rPr>
        <w:endnoteRef/>
      </w:r>
      <w:r w:rsidRPr="0082574B">
        <w:t xml:space="preserve"> </w:t>
      </w:r>
      <w:r w:rsidR="00580570" w:rsidRPr="0082574B">
        <w:t>Food Standards Australia New Zealand, 2017,</w:t>
      </w:r>
      <w:r w:rsidR="008B664A" w:rsidRPr="0082574B">
        <w:t xml:space="preserve"> </w:t>
      </w:r>
      <w:hyperlink r:id="rId3" w:history="1">
        <w:r w:rsidR="008B664A" w:rsidRPr="0082574B">
          <w:rPr>
            <w:rStyle w:val="Hyperlink"/>
          </w:rPr>
          <w:t>Australia New Zealand Food Standards Code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604" w:rsidRDefault="00A36604" w:rsidP="006A7A6A">
      <w:pPr>
        <w:spacing w:after="0" w:line="240" w:lineRule="auto"/>
      </w:pPr>
      <w:r>
        <w:separator/>
      </w:r>
    </w:p>
  </w:footnote>
  <w:footnote w:type="continuationSeparator" w:id="0">
    <w:p w:rsidR="00A36604" w:rsidRDefault="00A36604" w:rsidP="006A7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3FA5"/>
    <w:multiLevelType w:val="hybridMultilevel"/>
    <w:tmpl w:val="C2C6C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87AA0"/>
    <w:multiLevelType w:val="hybridMultilevel"/>
    <w:tmpl w:val="57BA08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6A"/>
    <w:rsid w:val="00003743"/>
    <w:rsid w:val="00054A99"/>
    <w:rsid w:val="00067456"/>
    <w:rsid w:val="00122BEC"/>
    <w:rsid w:val="0013654F"/>
    <w:rsid w:val="001831E5"/>
    <w:rsid w:val="001B3443"/>
    <w:rsid w:val="00224C49"/>
    <w:rsid w:val="002E0A20"/>
    <w:rsid w:val="002F3AE3"/>
    <w:rsid w:val="0030786C"/>
    <w:rsid w:val="00353AFF"/>
    <w:rsid w:val="003D17F9"/>
    <w:rsid w:val="004867E2"/>
    <w:rsid w:val="0050014B"/>
    <w:rsid w:val="00516AA1"/>
    <w:rsid w:val="005477C0"/>
    <w:rsid w:val="00580570"/>
    <w:rsid w:val="00593519"/>
    <w:rsid w:val="00624023"/>
    <w:rsid w:val="00635232"/>
    <w:rsid w:val="00672171"/>
    <w:rsid w:val="006A7A6A"/>
    <w:rsid w:val="007F2FBB"/>
    <w:rsid w:val="007F3805"/>
    <w:rsid w:val="007F3EA8"/>
    <w:rsid w:val="0082574B"/>
    <w:rsid w:val="008264EB"/>
    <w:rsid w:val="008A71DB"/>
    <w:rsid w:val="008B664A"/>
    <w:rsid w:val="008C00D9"/>
    <w:rsid w:val="008C3248"/>
    <w:rsid w:val="008E7451"/>
    <w:rsid w:val="009645EC"/>
    <w:rsid w:val="00970ACE"/>
    <w:rsid w:val="009D03B8"/>
    <w:rsid w:val="009D0F7B"/>
    <w:rsid w:val="009F79AF"/>
    <w:rsid w:val="00A36604"/>
    <w:rsid w:val="00A42A04"/>
    <w:rsid w:val="00A4512D"/>
    <w:rsid w:val="00A546E5"/>
    <w:rsid w:val="00A6332D"/>
    <w:rsid w:val="00A705AF"/>
    <w:rsid w:val="00B42851"/>
    <w:rsid w:val="00B9275B"/>
    <w:rsid w:val="00C2539B"/>
    <w:rsid w:val="00C31B72"/>
    <w:rsid w:val="00C73FAC"/>
    <w:rsid w:val="00CB5B1A"/>
    <w:rsid w:val="00CC255C"/>
    <w:rsid w:val="00DB7534"/>
    <w:rsid w:val="00E143E2"/>
    <w:rsid w:val="00F20AFB"/>
    <w:rsid w:val="00F43269"/>
    <w:rsid w:val="00F474F7"/>
    <w:rsid w:val="00F6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7A6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uiPriority w:val="22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705AF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basedOn w:val="Normal"/>
    <w:link w:val="ListParagraphChar"/>
    <w:uiPriority w:val="34"/>
    <w:qFormat/>
    <w:rsid w:val="00A4512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6A7A6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A7A6A"/>
    <w:rPr>
      <w:rFonts w:asciiTheme="minorHAnsi" w:eastAsiaTheme="minorHAnsi" w:hAnsiTheme="minorHAnsi" w:cstheme="minorBidi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6A7A6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A7A6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A7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7A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7A6A"/>
    <w:rPr>
      <w:rFonts w:asciiTheme="minorHAnsi" w:eastAsiaTheme="minorHAnsi" w:hAnsiTheme="minorHAnsi" w:cstheme="minorBidi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A7A6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6A7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A6A"/>
    <w:rPr>
      <w:rFonts w:ascii="Tahoma" w:eastAsiaTheme="minorHAnsi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F2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2FBB"/>
    <w:rPr>
      <w:rFonts w:asciiTheme="minorHAnsi" w:eastAsiaTheme="minorHAnsi" w:hAnsiTheme="minorHAnsi" w:cstheme="minorBidi"/>
      <w:b/>
      <w:bCs/>
      <w:lang w:eastAsia="en-US"/>
    </w:rPr>
  </w:style>
  <w:style w:type="paragraph" w:styleId="FootnoteText">
    <w:name w:val="footnote text"/>
    <w:basedOn w:val="Normal"/>
    <w:link w:val="FootnoteTextChar"/>
    <w:rsid w:val="005805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80570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rsid w:val="00580570"/>
    <w:rPr>
      <w:vertAlign w:val="superscript"/>
    </w:rPr>
  </w:style>
  <w:style w:type="paragraph" w:styleId="Header">
    <w:name w:val="header"/>
    <w:basedOn w:val="Normal"/>
    <w:link w:val="HeaderChar"/>
    <w:uiPriority w:val="99"/>
    <w:rsid w:val="00F47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4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F47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474F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8B66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7A6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uiPriority w:val="22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705AF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basedOn w:val="Normal"/>
    <w:link w:val="ListParagraphChar"/>
    <w:uiPriority w:val="34"/>
    <w:qFormat/>
    <w:rsid w:val="00A4512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6A7A6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A7A6A"/>
    <w:rPr>
      <w:rFonts w:asciiTheme="minorHAnsi" w:eastAsiaTheme="minorHAnsi" w:hAnsiTheme="minorHAnsi" w:cstheme="minorBidi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6A7A6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A7A6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A7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7A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7A6A"/>
    <w:rPr>
      <w:rFonts w:asciiTheme="minorHAnsi" w:eastAsiaTheme="minorHAnsi" w:hAnsiTheme="minorHAnsi" w:cstheme="minorBidi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A7A6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6A7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A6A"/>
    <w:rPr>
      <w:rFonts w:ascii="Tahoma" w:eastAsiaTheme="minorHAnsi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F2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2FBB"/>
    <w:rPr>
      <w:rFonts w:asciiTheme="minorHAnsi" w:eastAsiaTheme="minorHAnsi" w:hAnsiTheme="minorHAnsi" w:cstheme="minorBidi"/>
      <w:b/>
      <w:bCs/>
      <w:lang w:eastAsia="en-US"/>
    </w:rPr>
  </w:style>
  <w:style w:type="paragraph" w:styleId="FootnoteText">
    <w:name w:val="footnote text"/>
    <w:basedOn w:val="Normal"/>
    <w:link w:val="FootnoteTextChar"/>
    <w:rsid w:val="005805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80570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rsid w:val="00580570"/>
    <w:rPr>
      <w:vertAlign w:val="superscript"/>
    </w:rPr>
  </w:style>
  <w:style w:type="paragraph" w:styleId="Header">
    <w:name w:val="header"/>
    <w:basedOn w:val="Normal"/>
    <w:link w:val="HeaderChar"/>
    <w:uiPriority w:val="99"/>
    <w:rsid w:val="00F47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4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F47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474F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8B66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oodstandards.gov.au/code/Pages/default.aspx" TargetMode="External"/><Relationship Id="rId2" Type="http://schemas.openxmlformats.org/officeDocument/2006/relationships/hyperlink" Target="http://www.health.govt.nz/publication/eating-and-activity-guidelines-new-zealand-adults" TargetMode="External"/><Relationship Id="rId1" Type="http://schemas.openxmlformats.org/officeDocument/2006/relationships/hyperlink" Target="https://www.nhmrc.gov.au/guidelines-publications/n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8DB2D-2A03-4041-BB63-B3065AF7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Toms</dc:creator>
  <cp:lastModifiedBy>George Heap</cp:lastModifiedBy>
  <cp:revision>4</cp:revision>
  <cp:lastPrinted>2017-09-06T02:44:00Z</cp:lastPrinted>
  <dcterms:created xsi:type="dcterms:W3CDTF">2017-10-18T01:46:00Z</dcterms:created>
  <dcterms:modified xsi:type="dcterms:W3CDTF">2017-10-18T21:09:00Z</dcterms:modified>
</cp:coreProperties>
</file>