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9FA0" w14:textId="77777777" w:rsidR="009B250E" w:rsidRDefault="009B250E" w:rsidP="00D53DC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Implementation of changes resulting from the</w:t>
      </w:r>
    </w:p>
    <w:p w14:paraId="38A27CAA" w14:textId="77777777" w:rsidR="009B250E" w:rsidRDefault="009B250E" w:rsidP="00D53DCD">
      <w:pPr>
        <w:pStyle w:val="Default"/>
        <w:spacing w:after="120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Health Star Rating System Five Year Review</w:t>
      </w:r>
    </w:p>
    <w:p w14:paraId="4C9560CC" w14:textId="77777777" w:rsidR="009B250E" w:rsidRDefault="009B250E" w:rsidP="0040532E">
      <w:pPr>
        <w:pStyle w:val="Default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Stakeholder Engagement </w:t>
      </w:r>
      <w:r w:rsidR="007F7756">
        <w:rPr>
          <w:sz w:val="32"/>
          <w:szCs w:val="32"/>
        </w:rPr>
        <w:t>–</w:t>
      </w:r>
    </w:p>
    <w:p w14:paraId="19AF4030" w14:textId="77777777" w:rsidR="007F7756" w:rsidRDefault="007F7756" w:rsidP="007F7756">
      <w:pPr>
        <w:pStyle w:val="Default"/>
        <w:spacing w:before="120" w:after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May 2020 - </w:t>
      </w:r>
    </w:p>
    <w:p w14:paraId="733E2F40" w14:textId="77777777" w:rsidR="009B250E" w:rsidRPr="00D43300" w:rsidRDefault="009B250E" w:rsidP="007F7756">
      <w:pPr>
        <w:pStyle w:val="Default"/>
        <w:spacing w:after="160"/>
        <w:rPr>
          <w:sz w:val="22"/>
          <w:szCs w:val="22"/>
        </w:rPr>
      </w:pPr>
      <w:r w:rsidRPr="00D43300">
        <w:rPr>
          <w:sz w:val="22"/>
          <w:szCs w:val="22"/>
        </w:rPr>
        <w:t xml:space="preserve">The Australia and New Zealand Ministerial Forum on Food Regulation (Forum) considered the </w:t>
      </w:r>
      <w:r w:rsidRPr="00127208">
        <w:rPr>
          <w:i/>
          <w:sz w:val="22"/>
          <w:szCs w:val="22"/>
        </w:rPr>
        <w:t xml:space="preserve">Health Star Rating </w:t>
      </w:r>
      <w:r w:rsidR="00127208" w:rsidRPr="00127208">
        <w:rPr>
          <w:i/>
          <w:sz w:val="22"/>
          <w:szCs w:val="22"/>
        </w:rPr>
        <w:t>S</w:t>
      </w:r>
      <w:r w:rsidRPr="00127208">
        <w:rPr>
          <w:i/>
          <w:sz w:val="22"/>
          <w:szCs w:val="22"/>
        </w:rPr>
        <w:t xml:space="preserve">ystem </w:t>
      </w:r>
      <w:r w:rsidR="00127208" w:rsidRPr="00127208">
        <w:rPr>
          <w:i/>
          <w:sz w:val="22"/>
          <w:szCs w:val="22"/>
        </w:rPr>
        <w:t>F</w:t>
      </w:r>
      <w:r w:rsidRPr="00127208">
        <w:rPr>
          <w:i/>
          <w:sz w:val="22"/>
          <w:szCs w:val="22"/>
        </w:rPr>
        <w:t>ive</w:t>
      </w:r>
      <w:r w:rsidR="00127208" w:rsidRPr="00127208">
        <w:rPr>
          <w:i/>
          <w:sz w:val="22"/>
          <w:szCs w:val="22"/>
        </w:rPr>
        <w:t xml:space="preserve"> Y</w:t>
      </w:r>
      <w:r w:rsidRPr="00127208">
        <w:rPr>
          <w:i/>
          <w:sz w:val="22"/>
          <w:szCs w:val="22"/>
        </w:rPr>
        <w:t xml:space="preserve">ear Review Report </w:t>
      </w:r>
      <w:r w:rsidRPr="00D43300">
        <w:rPr>
          <w:sz w:val="22"/>
          <w:szCs w:val="22"/>
        </w:rPr>
        <w:t xml:space="preserve">(Review Report) and </w:t>
      </w:r>
      <w:r w:rsidR="000B6342">
        <w:rPr>
          <w:sz w:val="22"/>
          <w:szCs w:val="22"/>
        </w:rPr>
        <w:t>the Report’s</w:t>
      </w:r>
      <w:r w:rsidRPr="00D43300">
        <w:rPr>
          <w:sz w:val="22"/>
          <w:szCs w:val="22"/>
        </w:rPr>
        <w:t xml:space="preserve"> ten recommendations for enhancing the Health Star Rating (HSR) system in November 2019</w:t>
      </w:r>
      <w:r w:rsidR="000B6342">
        <w:rPr>
          <w:sz w:val="22"/>
          <w:szCs w:val="22"/>
        </w:rPr>
        <w:t>.  The Forum</w:t>
      </w:r>
      <w:r w:rsidRPr="00D43300">
        <w:rPr>
          <w:sz w:val="22"/>
          <w:szCs w:val="22"/>
        </w:rPr>
        <w:t xml:space="preserve"> published </w:t>
      </w:r>
      <w:r w:rsidR="00B26DFD">
        <w:rPr>
          <w:sz w:val="22"/>
          <w:szCs w:val="22"/>
        </w:rPr>
        <w:t>its</w:t>
      </w:r>
      <w:r w:rsidRPr="00D43300">
        <w:rPr>
          <w:sz w:val="22"/>
          <w:szCs w:val="22"/>
        </w:rPr>
        <w:t xml:space="preserve"> Response to the Review Report in December 2019. </w:t>
      </w:r>
    </w:p>
    <w:p w14:paraId="33A7A4D5" w14:textId="77777777" w:rsidR="009B250E" w:rsidRPr="00D43300" w:rsidRDefault="00CD0D3C" w:rsidP="007F7756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T</w:t>
      </w:r>
      <w:r w:rsidR="009B250E" w:rsidRPr="00D43300">
        <w:rPr>
          <w:sz w:val="22"/>
          <w:szCs w:val="22"/>
        </w:rPr>
        <w:t xml:space="preserve">he Forum requested that the Food Regulation Standing Committee (FRSC) provide further advice on </w:t>
      </w:r>
      <w:r w:rsidR="009D1E80">
        <w:rPr>
          <w:sz w:val="22"/>
          <w:szCs w:val="22"/>
        </w:rPr>
        <w:t>s</w:t>
      </w:r>
      <w:r>
        <w:rPr>
          <w:sz w:val="22"/>
          <w:szCs w:val="22"/>
        </w:rPr>
        <w:t>everal</w:t>
      </w:r>
      <w:r w:rsidR="009D1E80">
        <w:rPr>
          <w:sz w:val="22"/>
          <w:szCs w:val="22"/>
        </w:rPr>
        <w:t xml:space="preserve"> recommendations</w:t>
      </w:r>
      <w:r w:rsidR="009B250E" w:rsidRPr="00D43300">
        <w:rPr>
          <w:sz w:val="22"/>
          <w:szCs w:val="22"/>
        </w:rPr>
        <w:t xml:space="preserve"> and develop an Implementation Plan for changes to the HSR system</w:t>
      </w:r>
      <w:r w:rsidR="009B250E" w:rsidRPr="00B569EA">
        <w:rPr>
          <w:sz w:val="22"/>
          <w:szCs w:val="22"/>
        </w:rPr>
        <w:t xml:space="preserve">. </w:t>
      </w:r>
      <w:r w:rsidR="00B24009" w:rsidRPr="00277541">
        <w:rPr>
          <w:sz w:val="22"/>
          <w:szCs w:val="22"/>
        </w:rPr>
        <w:t xml:space="preserve">FRSC </w:t>
      </w:r>
      <w:r w:rsidR="00B24009">
        <w:rPr>
          <w:sz w:val="22"/>
          <w:szCs w:val="22"/>
        </w:rPr>
        <w:t>is keen to keep</w:t>
      </w:r>
      <w:r w:rsidR="00B24009" w:rsidRPr="00277541">
        <w:rPr>
          <w:sz w:val="22"/>
          <w:szCs w:val="22"/>
        </w:rPr>
        <w:t xml:space="preserve"> key stakeholders </w:t>
      </w:r>
      <w:r w:rsidR="00B24009">
        <w:rPr>
          <w:sz w:val="22"/>
          <w:szCs w:val="22"/>
        </w:rPr>
        <w:t>in</w:t>
      </w:r>
      <w:r>
        <w:rPr>
          <w:sz w:val="22"/>
          <w:szCs w:val="22"/>
        </w:rPr>
        <w:t>formed of progress</w:t>
      </w:r>
      <w:r w:rsidR="00B24009">
        <w:rPr>
          <w:sz w:val="22"/>
          <w:szCs w:val="22"/>
        </w:rPr>
        <w:t>.</w:t>
      </w:r>
    </w:p>
    <w:p w14:paraId="416B5F83" w14:textId="77777777" w:rsidR="00FF24F8" w:rsidRDefault="00DA7579" w:rsidP="00DC2F2B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At the Forum meeting in November 2019, </w:t>
      </w:r>
      <w:r w:rsidR="009A2DF5">
        <w:rPr>
          <w:sz w:val="22"/>
          <w:szCs w:val="22"/>
        </w:rPr>
        <w:t xml:space="preserve">the Forum </w:t>
      </w:r>
      <w:r w:rsidR="00CD0D3C">
        <w:rPr>
          <w:sz w:val="22"/>
          <w:szCs w:val="22"/>
        </w:rPr>
        <w:t xml:space="preserve">supported </w:t>
      </w:r>
      <w:r>
        <w:rPr>
          <w:sz w:val="22"/>
          <w:szCs w:val="22"/>
        </w:rPr>
        <w:t>some recommendations in</w:t>
      </w:r>
      <w:r w:rsidR="00313E44">
        <w:rPr>
          <w:sz w:val="22"/>
          <w:szCs w:val="22"/>
        </w:rPr>
        <w:t>-</w:t>
      </w:r>
      <w:r>
        <w:rPr>
          <w:sz w:val="22"/>
          <w:szCs w:val="22"/>
        </w:rPr>
        <w:t>full</w:t>
      </w:r>
      <w:r w:rsidR="00CD0D3C">
        <w:rPr>
          <w:sz w:val="22"/>
          <w:szCs w:val="22"/>
        </w:rPr>
        <w:t xml:space="preserve"> (Recs 1,</w:t>
      </w:r>
      <w:r w:rsidR="00DC2F2B">
        <w:rPr>
          <w:sz w:val="22"/>
          <w:szCs w:val="22"/>
        </w:rPr>
        <w:t xml:space="preserve"> </w:t>
      </w:r>
      <w:r w:rsidR="00CD0D3C">
        <w:rPr>
          <w:sz w:val="22"/>
          <w:szCs w:val="22"/>
        </w:rPr>
        <w:t>2,</w:t>
      </w:r>
      <w:r w:rsidR="00DC2F2B">
        <w:rPr>
          <w:sz w:val="22"/>
          <w:szCs w:val="22"/>
        </w:rPr>
        <w:t xml:space="preserve"> </w:t>
      </w:r>
      <w:r w:rsidR="00CD0D3C">
        <w:rPr>
          <w:sz w:val="22"/>
          <w:szCs w:val="22"/>
        </w:rPr>
        <w:t>6,</w:t>
      </w:r>
      <w:r w:rsidR="00DC2F2B">
        <w:rPr>
          <w:sz w:val="22"/>
          <w:szCs w:val="22"/>
        </w:rPr>
        <w:t xml:space="preserve"> </w:t>
      </w:r>
      <w:r w:rsidR="00CD0D3C">
        <w:rPr>
          <w:sz w:val="22"/>
          <w:szCs w:val="22"/>
        </w:rPr>
        <w:t>10),</w:t>
      </w:r>
      <w:r w:rsidR="00313E44">
        <w:rPr>
          <w:sz w:val="22"/>
          <w:szCs w:val="22"/>
        </w:rPr>
        <w:t xml:space="preserve"> </w:t>
      </w:r>
      <w:r w:rsidR="000B6342">
        <w:rPr>
          <w:sz w:val="22"/>
          <w:szCs w:val="22"/>
        </w:rPr>
        <w:t xml:space="preserve">supported </w:t>
      </w:r>
      <w:r w:rsidR="00313E44">
        <w:rPr>
          <w:sz w:val="22"/>
          <w:szCs w:val="22"/>
        </w:rPr>
        <w:t xml:space="preserve">some </w:t>
      </w:r>
      <w:r w:rsidR="000B6342">
        <w:rPr>
          <w:sz w:val="22"/>
          <w:szCs w:val="22"/>
        </w:rPr>
        <w:t xml:space="preserve">recommendations </w:t>
      </w:r>
      <w:r w:rsidR="00313E44">
        <w:rPr>
          <w:sz w:val="22"/>
          <w:szCs w:val="22"/>
        </w:rPr>
        <w:t>subject to funding</w:t>
      </w:r>
      <w:r w:rsidR="00CD0D3C">
        <w:rPr>
          <w:sz w:val="22"/>
          <w:szCs w:val="22"/>
        </w:rPr>
        <w:t xml:space="preserve"> (Recs 3,</w:t>
      </w:r>
      <w:r w:rsidR="00127208">
        <w:rPr>
          <w:sz w:val="22"/>
          <w:szCs w:val="22"/>
        </w:rPr>
        <w:t xml:space="preserve"> </w:t>
      </w:r>
      <w:r w:rsidR="00556C12">
        <w:rPr>
          <w:sz w:val="22"/>
          <w:szCs w:val="22"/>
        </w:rPr>
        <w:t>7,</w:t>
      </w:r>
      <w:r w:rsidR="00127208">
        <w:rPr>
          <w:sz w:val="22"/>
          <w:szCs w:val="22"/>
        </w:rPr>
        <w:t xml:space="preserve"> </w:t>
      </w:r>
      <w:r w:rsidR="00CD0D3C">
        <w:rPr>
          <w:sz w:val="22"/>
          <w:szCs w:val="22"/>
        </w:rPr>
        <w:t>8),</w:t>
      </w:r>
      <w:r>
        <w:rPr>
          <w:sz w:val="22"/>
          <w:szCs w:val="22"/>
        </w:rPr>
        <w:t xml:space="preserve"> and</w:t>
      </w:r>
      <w:r w:rsidR="00CD0D3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13E44">
        <w:rPr>
          <w:sz w:val="22"/>
          <w:szCs w:val="22"/>
        </w:rPr>
        <w:t>some</w:t>
      </w:r>
      <w:r>
        <w:rPr>
          <w:sz w:val="22"/>
          <w:szCs w:val="22"/>
        </w:rPr>
        <w:t xml:space="preserve"> in</w:t>
      </w:r>
      <w:r w:rsidR="00127208">
        <w:rPr>
          <w:sz w:val="22"/>
          <w:szCs w:val="22"/>
        </w:rPr>
        <w:noBreakHyphen/>
      </w:r>
      <w:r>
        <w:rPr>
          <w:sz w:val="22"/>
          <w:szCs w:val="22"/>
        </w:rPr>
        <w:t xml:space="preserve">principle </w:t>
      </w:r>
      <w:r w:rsidR="00313E44">
        <w:rPr>
          <w:sz w:val="22"/>
          <w:szCs w:val="22"/>
        </w:rPr>
        <w:t xml:space="preserve">subject to </w:t>
      </w:r>
      <w:r w:rsidR="001E6F99">
        <w:rPr>
          <w:sz w:val="22"/>
          <w:szCs w:val="22"/>
        </w:rPr>
        <w:t>additional modelling or definitions</w:t>
      </w:r>
      <w:r>
        <w:rPr>
          <w:sz w:val="22"/>
          <w:szCs w:val="22"/>
        </w:rPr>
        <w:t xml:space="preserve"> from FRSC</w:t>
      </w:r>
      <w:r w:rsidR="00FD2653">
        <w:rPr>
          <w:sz w:val="22"/>
          <w:szCs w:val="22"/>
        </w:rPr>
        <w:t xml:space="preserve"> and Food Standards Australia New Zealand (FSANZ)</w:t>
      </w:r>
      <w:r w:rsidR="00CD0D3C">
        <w:rPr>
          <w:sz w:val="22"/>
          <w:szCs w:val="22"/>
        </w:rPr>
        <w:t xml:space="preserve"> (Rec</w:t>
      </w:r>
      <w:r w:rsidR="00127208">
        <w:rPr>
          <w:sz w:val="22"/>
          <w:szCs w:val="22"/>
        </w:rPr>
        <w:t>s</w:t>
      </w:r>
      <w:r w:rsidR="00CD0D3C">
        <w:rPr>
          <w:sz w:val="22"/>
          <w:szCs w:val="22"/>
        </w:rPr>
        <w:t xml:space="preserve"> 4a-e, </w:t>
      </w:r>
      <w:r w:rsidR="001A1F7A">
        <w:rPr>
          <w:sz w:val="22"/>
          <w:szCs w:val="22"/>
        </w:rPr>
        <w:t xml:space="preserve">5, </w:t>
      </w:r>
      <w:r w:rsidR="00CD0D3C">
        <w:rPr>
          <w:sz w:val="22"/>
          <w:szCs w:val="22"/>
        </w:rPr>
        <w:t>9).</w:t>
      </w:r>
      <w:r w:rsidR="000B6342">
        <w:rPr>
          <w:sz w:val="22"/>
          <w:szCs w:val="22"/>
        </w:rPr>
        <w:t xml:space="preserve"> </w:t>
      </w:r>
      <w:r w:rsidR="00FF24F8">
        <w:rPr>
          <w:sz w:val="22"/>
          <w:szCs w:val="22"/>
        </w:rPr>
        <w:t xml:space="preserve">In addition to the changes that were agreed in-principle in November 2019, </w:t>
      </w:r>
      <w:r w:rsidR="00FF24F8">
        <w:rPr>
          <w:rFonts w:asciiTheme="minorHAnsi" w:hAnsiTheme="minorHAnsi" w:cstheme="minorHAnsi"/>
          <w:sz w:val="22"/>
          <w:szCs w:val="22"/>
        </w:rPr>
        <w:t>the Forum asked</w:t>
      </w:r>
      <w:r w:rsidR="00FF24F8" w:rsidRPr="00850760">
        <w:rPr>
          <w:rFonts w:asciiTheme="minorHAnsi" w:hAnsiTheme="minorHAnsi" w:cstheme="minorHAnsi"/>
          <w:sz w:val="22"/>
          <w:szCs w:val="22"/>
        </w:rPr>
        <w:t xml:space="preserve"> FRSC to consider</w:t>
      </w:r>
      <w:r w:rsidR="00D50C12">
        <w:rPr>
          <w:rFonts w:asciiTheme="minorHAnsi" w:hAnsiTheme="minorHAnsi" w:cstheme="minorHAnsi"/>
          <w:sz w:val="22"/>
          <w:szCs w:val="22"/>
        </w:rPr>
        <w:t xml:space="preserve"> whether</w:t>
      </w:r>
      <w:r w:rsidR="00FF24F8">
        <w:rPr>
          <w:rFonts w:asciiTheme="minorHAnsi" w:hAnsiTheme="minorHAnsi" w:cstheme="minorHAnsi"/>
          <w:sz w:val="22"/>
          <w:szCs w:val="22"/>
        </w:rPr>
        <w:t>:</w:t>
      </w:r>
    </w:p>
    <w:p w14:paraId="4F3C0027" w14:textId="77777777" w:rsidR="00D50C12" w:rsidRPr="00D50C12" w:rsidRDefault="00D50C12" w:rsidP="00FF24F8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D50C12">
        <w:rPr>
          <w:rFonts w:asciiTheme="minorHAnsi" w:hAnsiTheme="minorHAnsi" w:cstheme="minorHAnsi"/>
          <w:sz w:val="22"/>
          <w:szCs w:val="22"/>
        </w:rPr>
        <w:t>a stronger approach for total sugar</w:t>
      </w:r>
      <w:r w:rsidR="00127208">
        <w:rPr>
          <w:rFonts w:asciiTheme="minorHAnsi" w:hAnsiTheme="minorHAnsi" w:cstheme="minorHAnsi"/>
          <w:sz w:val="22"/>
          <w:szCs w:val="22"/>
        </w:rPr>
        <w:t>s</w:t>
      </w:r>
      <w:r w:rsidRPr="00D50C12">
        <w:rPr>
          <w:rFonts w:asciiTheme="minorHAnsi" w:hAnsiTheme="minorHAnsi" w:cstheme="minorHAnsi"/>
          <w:sz w:val="22"/>
          <w:szCs w:val="22"/>
        </w:rPr>
        <w:t xml:space="preserve"> (30 point scale) may achieve an outcome that more closely aligns the HSR system with Dietary Guidelines;</w:t>
      </w:r>
    </w:p>
    <w:p w14:paraId="4BDEB0A8" w14:textId="77777777" w:rsidR="00D50C12" w:rsidRDefault="00D50C12" w:rsidP="00FF24F8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D50C12">
        <w:rPr>
          <w:rFonts w:asciiTheme="minorHAnsi" w:hAnsiTheme="minorHAnsi" w:cstheme="minorHAnsi"/>
          <w:sz w:val="22"/>
          <w:szCs w:val="22"/>
        </w:rPr>
        <w:t xml:space="preserve">the alternative approach considered in the draft review report </w:t>
      </w:r>
      <w:r w:rsidR="00167960">
        <w:rPr>
          <w:rFonts w:asciiTheme="minorHAnsi" w:hAnsiTheme="minorHAnsi" w:cstheme="minorHAnsi"/>
          <w:sz w:val="22"/>
          <w:szCs w:val="22"/>
        </w:rPr>
        <w:t>for the scaling o</w:t>
      </w:r>
      <w:r w:rsidR="0035603F">
        <w:rPr>
          <w:rFonts w:asciiTheme="minorHAnsi" w:hAnsiTheme="minorHAnsi" w:cstheme="minorHAnsi"/>
          <w:sz w:val="22"/>
          <w:szCs w:val="22"/>
        </w:rPr>
        <w:t>f</w:t>
      </w:r>
      <w:r w:rsidR="00167960">
        <w:rPr>
          <w:rFonts w:asciiTheme="minorHAnsi" w:hAnsiTheme="minorHAnsi" w:cstheme="minorHAnsi"/>
          <w:sz w:val="22"/>
          <w:szCs w:val="22"/>
        </w:rPr>
        <w:t xml:space="preserve"> sodium </w:t>
      </w:r>
      <w:r w:rsidRPr="00D50C12">
        <w:rPr>
          <w:rFonts w:asciiTheme="minorHAnsi" w:hAnsiTheme="minorHAnsi" w:cstheme="minorHAnsi"/>
          <w:sz w:val="22"/>
          <w:szCs w:val="22"/>
        </w:rPr>
        <w:t>achieves an outcome that more closely aligns the HSR system with Dietary Guidelines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92C0ABA" w14:textId="77777777" w:rsidR="00FF24F8" w:rsidRDefault="00FF24F8" w:rsidP="00FF24F8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dairy </w:t>
      </w:r>
      <w:r w:rsidR="004057AA">
        <w:rPr>
          <w:rFonts w:asciiTheme="minorHAnsi" w:hAnsiTheme="minorHAnsi" w:cstheme="minorHAnsi"/>
          <w:sz w:val="22"/>
          <w:szCs w:val="22"/>
        </w:rPr>
        <w:t>re</w:t>
      </w:r>
      <w:r w:rsidR="00127208">
        <w:rPr>
          <w:rFonts w:asciiTheme="minorHAnsi" w:hAnsiTheme="minorHAnsi" w:cstheme="minorHAnsi"/>
          <w:sz w:val="22"/>
          <w:szCs w:val="22"/>
        </w:rPr>
        <w:t>-</w:t>
      </w:r>
      <w:r w:rsidR="004057AA">
        <w:rPr>
          <w:rFonts w:asciiTheme="minorHAnsi" w:hAnsiTheme="minorHAnsi" w:cstheme="minorHAnsi"/>
          <w:sz w:val="22"/>
          <w:szCs w:val="22"/>
        </w:rPr>
        <w:t xml:space="preserve">categorisation </w:t>
      </w:r>
      <w:r>
        <w:rPr>
          <w:rFonts w:asciiTheme="minorHAnsi" w:hAnsiTheme="minorHAnsi" w:cstheme="minorHAnsi"/>
          <w:sz w:val="22"/>
          <w:szCs w:val="22"/>
        </w:rPr>
        <w:t>is the most appropriate approach when combined with other enhancements; and</w:t>
      </w:r>
    </w:p>
    <w:p w14:paraId="69A45869" w14:textId="77777777" w:rsidR="00FF24F8" w:rsidRDefault="00FF24F8" w:rsidP="00FF24F8">
      <w:pPr>
        <w:pStyle w:val="Default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is appropriate and/or necessary to rescale whole categories in combination with the proposed adjustments to individual nutrients (i.e. sugar and sodium).  </w:t>
      </w:r>
    </w:p>
    <w:p w14:paraId="60E0A1FD" w14:textId="77777777" w:rsidR="00FF24F8" w:rsidRPr="00D53DCD" w:rsidRDefault="00FF24F8" w:rsidP="00FF24F8">
      <w:r w:rsidRPr="00B2332A">
        <w:rPr>
          <w:rFonts w:cstheme="minorHAnsi"/>
        </w:rPr>
        <w:t xml:space="preserve">The Forum asked </w:t>
      </w:r>
      <w:r w:rsidR="00FD2653">
        <w:rPr>
          <w:rFonts w:cstheme="minorHAnsi"/>
        </w:rPr>
        <w:t>FSANZ</w:t>
      </w:r>
      <w:r w:rsidRPr="00B2332A">
        <w:rPr>
          <w:rFonts w:cstheme="minorHAnsi"/>
        </w:rPr>
        <w:t xml:space="preserve"> to undertake further modelling to provide advice on the 30 point sugar table, the alternative sodium approach and the </w:t>
      </w:r>
      <w:r w:rsidR="004057AA" w:rsidRPr="00B2332A">
        <w:rPr>
          <w:rFonts w:cstheme="minorHAnsi"/>
        </w:rPr>
        <w:t>re</w:t>
      </w:r>
      <w:r w:rsidR="00127208">
        <w:rPr>
          <w:rFonts w:cstheme="minorHAnsi"/>
        </w:rPr>
        <w:t>-</w:t>
      </w:r>
      <w:r w:rsidR="004057AA" w:rsidRPr="00B2332A">
        <w:rPr>
          <w:rFonts w:cstheme="minorHAnsi"/>
        </w:rPr>
        <w:t>categori</w:t>
      </w:r>
      <w:r w:rsidR="004057AA">
        <w:rPr>
          <w:rFonts w:cstheme="minorHAnsi"/>
        </w:rPr>
        <w:t>s</w:t>
      </w:r>
      <w:r w:rsidR="004057AA" w:rsidRPr="00B2332A">
        <w:rPr>
          <w:rFonts w:cstheme="minorHAnsi"/>
        </w:rPr>
        <w:t xml:space="preserve">ation </w:t>
      </w:r>
      <w:r w:rsidRPr="00B2332A">
        <w:rPr>
          <w:rFonts w:cstheme="minorHAnsi"/>
        </w:rPr>
        <w:t>and rescaling of dairy with other changes.</w:t>
      </w:r>
      <w:r w:rsidRPr="00D43300">
        <w:t xml:space="preserve"> </w:t>
      </w:r>
      <w:r w:rsidRPr="00D53DCD">
        <w:t xml:space="preserve"> </w:t>
      </w:r>
    </w:p>
    <w:p w14:paraId="24B34BB1" w14:textId="77777777" w:rsidR="009B250E" w:rsidRPr="00FF24F8" w:rsidRDefault="000B6342" w:rsidP="00FF24F8">
      <w:pPr>
        <w:pStyle w:val="Default"/>
        <w:spacing w:after="160"/>
      </w:pPr>
      <w:r w:rsidRPr="00D43300">
        <w:rPr>
          <w:sz w:val="22"/>
          <w:szCs w:val="22"/>
        </w:rPr>
        <w:t xml:space="preserve">A key </w:t>
      </w:r>
      <w:r>
        <w:rPr>
          <w:sz w:val="22"/>
          <w:szCs w:val="22"/>
        </w:rPr>
        <w:t>consideration for the</w:t>
      </w:r>
      <w:r w:rsidRPr="00D4330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D43300">
        <w:rPr>
          <w:sz w:val="22"/>
          <w:szCs w:val="22"/>
        </w:rPr>
        <w:t xml:space="preserve">mplementation </w:t>
      </w:r>
      <w:r>
        <w:rPr>
          <w:sz w:val="22"/>
          <w:szCs w:val="22"/>
        </w:rPr>
        <w:t>P</w:t>
      </w:r>
      <w:r w:rsidRPr="00D43300">
        <w:rPr>
          <w:sz w:val="22"/>
          <w:szCs w:val="22"/>
        </w:rPr>
        <w:t>lan is the start date</w:t>
      </w:r>
      <w:r w:rsidR="00697EC9">
        <w:rPr>
          <w:sz w:val="22"/>
          <w:szCs w:val="22"/>
        </w:rPr>
        <w:t>, noting that a two-year transition will apply</w:t>
      </w:r>
      <w:r w:rsidRPr="00D43300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D43300">
        <w:rPr>
          <w:sz w:val="22"/>
          <w:szCs w:val="22"/>
        </w:rPr>
        <w:t xml:space="preserve">n the interest of </w:t>
      </w:r>
      <w:r>
        <w:rPr>
          <w:sz w:val="22"/>
          <w:szCs w:val="22"/>
        </w:rPr>
        <w:t xml:space="preserve">collaboration and </w:t>
      </w:r>
      <w:r w:rsidRPr="00D43300">
        <w:rPr>
          <w:sz w:val="22"/>
          <w:szCs w:val="22"/>
        </w:rPr>
        <w:t xml:space="preserve">transparency, </w:t>
      </w:r>
      <w:r>
        <w:rPr>
          <w:sz w:val="22"/>
          <w:szCs w:val="22"/>
        </w:rPr>
        <w:t>FRSC is</w:t>
      </w:r>
      <w:r w:rsidRPr="00BC5876">
        <w:rPr>
          <w:sz w:val="22"/>
          <w:szCs w:val="22"/>
        </w:rPr>
        <w:t xml:space="preserve"> </w:t>
      </w:r>
      <w:r w:rsidR="00FF24F8">
        <w:rPr>
          <w:sz w:val="22"/>
          <w:szCs w:val="22"/>
        </w:rPr>
        <w:t>inviting feedback on the</w:t>
      </w:r>
      <w:r>
        <w:rPr>
          <w:sz w:val="22"/>
          <w:szCs w:val="22"/>
        </w:rPr>
        <w:t xml:space="preserve"> proposed start date</w:t>
      </w:r>
      <w:r w:rsidR="0035603F">
        <w:rPr>
          <w:sz w:val="22"/>
          <w:szCs w:val="22"/>
        </w:rPr>
        <w:t xml:space="preserve"> of 1 October 2020</w:t>
      </w:r>
      <w:r>
        <w:rPr>
          <w:sz w:val="22"/>
          <w:szCs w:val="22"/>
        </w:rPr>
        <w:t xml:space="preserve">. </w:t>
      </w:r>
      <w:r w:rsidR="009B250E">
        <w:rPr>
          <w:sz w:val="22"/>
          <w:szCs w:val="22"/>
        </w:rPr>
        <w:t xml:space="preserve">In considering the appropriateness of the </w:t>
      </w:r>
      <w:r w:rsidR="00CB71EC">
        <w:rPr>
          <w:sz w:val="22"/>
          <w:szCs w:val="22"/>
        </w:rPr>
        <w:t xml:space="preserve">implementation </w:t>
      </w:r>
      <w:r w:rsidR="009B250E">
        <w:rPr>
          <w:sz w:val="22"/>
          <w:szCs w:val="22"/>
        </w:rPr>
        <w:t xml:space="preserve">start date, stakeholders should note that: </w:t>
      </w:r>
    </w:p>
    <w:p w14:paraId="0D6B848B" w14:textId="77777777" w:rsidR="009B250E" w:rsidRDefault="005A2A45" w:rsidP="007F7756">
      <w:pPr>
        <w:pStyle w:val="Default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 two</w:t>
      </w:r>
      <w:r w:rsidR="00DA7579">
        <w:rPr>
          <w:sz w:val="22"/>
          <w:szCs w:val="22"/>
        </w:rPr>
        <w:t>-</w:t>
      </w:r>
      <w:r>
        <w:rPr>
          <w:sz w:val="22"/>
          <w:szCs w:val="22"/>
        </w:rPr>
        <w:t>year transition period will apply</w:t>
      </w:r>
      <w:r w:rsidR="009B250E">
        <w:rPr>
          <w:sz w:val="22"/>
          <w:szCs w:val="22"/>
        </w:rPr>
        <w:t xml:space="preserve"> (i.e. </w:t>
      </w:r>
      <w:r>
        <w:rPr>
          <w:sz w:val="22"/>
          <w:szCs w:val="22"/>
        </w:rPr>
        <w:t xml:space="preserve">changes </w:t>
      </w:r>
      <w:r w:rsidR="00A23D96">
        <w:rPr>
          <w:sz w:val="22"/>
          <w:szCs w:val="22"/>
        </w:rPr>
        <w:t xml:space="preserve">do not need </w:t>
      </w:r>
      <w:r>
        <w:rPr>
          <w:sz w:val="22"/>
          <w:szCs w:val="22"/>
        </w:rPr>
        <w:t>to be implemented</w:t>
      </w:r>
      <w:r w:rsidR="00A23D96">
        <w:rPr>
          <w:sz w:val="22"/>
          <w:szCs w:val="22"/>
        </w:rPr>
        <w:t xml:space="preserve"> immediately, but rather</w:t>
      </w:r>
      <w:r>
        <w:rPr>
          <w:sz w:val="22"/>
          <w:szCs w:val="22"/>
        </w:rPr>
        <w:t xml:space="preserve"> </w:t>
      </w:r>
      <w:r w:rsidR="009B250E">
        <w:rPr>
          <w:sz w:val="22"/>
          <w:szCs w:val="22"/>
        </w:rPr>
        <w:t>by 30 September 2022)</w:t>
      </w:r>
      <w:r w:rsidR="0085758E">
        <w:rPr>
          <w:sz w:val="22"/>
          <w:szCs w:val="22"/>
        </w:rPr>
        <w:t>;</w:t>
      </w:r>
      <w:r w:rsidR="009B250E">
        <w:rPr>
          <w:sz w:val="22"/>
          <w:szCs w:val="22"/>
        </w:rPr>
        <w:t xml:space="preserve"> </w:t>
      </w:r>
    </w:p>
    <w:p w14:paraId="70C887A8" w14:textId="77777777" w:rsidR="0085758E" w:rsidRDefault="0085758E" w:rsidP="007F7756">
      <w:pPr>
        <w:pStyle w:val="Default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The system is voluntary and there is no requirement to adopt Health Star Ratings during the implementation period;</w:t>
      </w:r>
    </w:p>
    <w:p w14:paraId="58093CF4" w14:textId="77777777" w:rsidR="009B250E" w:rsidRDefault="009B250E" w:rsidP="007F7756">
      <w:pPr>
        <w:pStyle w:val="Default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FRSC </w:t>
      </w:r>
      <w:r w:rsidR="0085758E">
        <w:rPr>
          <w:sz w:val="22"/>
          <w:szCs w:val="22"/>
        </w:rPr>
        <w:t>is</w:t>
      </w:r>
      <w:r>
        <w:rPr>
          <w:sz w:val="22"/>
          <w:szCs w:val="22"/>
        </w:rPr>
        <w:t xml:space="preserve"> not proposing to measure uptake until the end of year three (i.e.</w:t>
      </w:r>
      <w:r w:rsidR="004057AA">
        <w:rPr>
          <w:sz w:val="22"/>
          <w:szCs w:val="22"/>
        </w:rPr>
        <w:t> </w:t>
      </w:r>
      <w:r>
        <w:rPr>
          <w:sz w:val="22"/>
          <w:szCs w:val="22"/>
        </w:rPr>
        <w:t>30</w:t>
      </w:r>
      <w:r w:rsidR="004057AA">
        <w:rPr>
          <w:sz w:val="22"/>
          <w:szCs w:val="22"/>
        </w:rPr>
        <w:t> </w:t>
      </w:r>
      <w:r>
        <w:rPr>
          <w:sz w:val="22"/>
          <w:szCs w:val="22"/>
        </w:rPr>
        <w:t>September</w:t>
      </w:r>
      <w:r w:rsidR="004057AA">
        <w:rPr>
          <w:sz w:val="22"/>
          <w:szCs w:val="22"/>
        </w:rPr>
        <w:t> </w:t>
      </w:r>
      <w:r>
        <w:rPr>
          <w:sz w:val="22"/>
          <w:szCs w:val="22"/>
        </w:rPr>
        <w:t>2023)</w:t>
      </w:r>
      <w:r w:rsidR="0085758E">
        <w:rPr>
          <w:sz w:val="22"/>
          <w:szCs w:val="22"/>
        </w:rPr>
        <w:t>;</w:t>
      </w:r>
      <w:r>
        <w:rPr>
          <w:sz w:val="22"/>
          <w:szCs w:val="22"/>
        </w:rPr>
        <w:t xml:space="preserve"> and </w:t>
      </w:r>
    </w:p>
    <w:p w14:paraId="75743F78" w14:textId="77777777" w:rsidR="009B250E" w:rsidRDefault="00127208" w:rsidP="00127208">
      <w:pPr>
        <w:pStyle w:val="Default"/>
        <w:numPr>
          <w:ilvl w:val="0"/>
          <w:numId w:val="1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T</w:t>
      </w:r>
      <w:r w:rsidR="009B250E" w:rsidRPr="006B264D">
        <w:rPr>
          <w:sz w:val="22"/>
          <w:szCs w:val="22"/>
        </w:rPr>
        <w:t xml:space="preserve">he Forum </w:t>
      </w:r>
      <w:r w:rsidR="0085758E">
        <w:rPr>
          <w:sz w:val="22"/>
          <w:szCs w:val="22"/>
        </w:rPr>
        <w:t>has</w:t>
      </w:r>
      <w:r w:rsidR="009B250E" w:rsidRPr="006B264D">
        <w:rPr>
          <w:sz w:val="22"/>
          <w:szCs w:val="22"/>
        </w:rPr>
        <w:t xml:space="preserve"> agreed </w:t>
      </w:r>
      <w:r w:rsidR="00D43300">
        <w:rPr>
          <w:sz w:val="22"/>
          <w:szCs w:val="22"/>
        </w:rPr>
        <w:t xml:space="preserve">in-principle </w:t>
      </w:r>
      <w:r w:rsidR="009B250E" w:rsidRPr="006B264D">
        <w:rPr>
          <w:sz w:val="22"/>
          <w:szCs w:val="22"/>
        </w:rPr>
        <w:t>to an uptake target of 70% after five years (i.e. 2025)</w:t>
      </w:r>
      <w:r w:rsidR="005A2A45">
        <w:rPr>
          <w:sz w:val="22"/>
          <w:szCs w:val="22"/>
        </w:rPr>
        <w:t>, s</w:t>
      </w:r>
      <w:r w:rsidR="005A2A45" w:rsidRPr="00D43300">
        <w:rPr>
          <w:sz w:val="22"/>
          <w:szCs w:val="22"/>
        </w:rPr>
        <w:t>ubject to agreeing interim and final target metrics</w:t>
      </w:r>
      <w:r w:rsidR="009B250E" w:rsidRPr="006B264D">
        <w:rPr>
          <w:sz w:val="22"/>
          <w:szCs w:val="22"/>
        </w:rPr>
        <w:t xml:space="preserve">. </w:t>
      </w:r>
    </w:p>
    <w:p w14:paraId="07B3CED7" w14:textId="77777777" w:rsidR="0001435F" w:rsidRPr="00AC39AF" w:rsidRDefault="00F1327C" w:rsidP="00167960">
      <w:pPr>
        <w:rPr>
          <w:iCs/>
        </w:rPr>
      </w:pPr>
      <w:r>
        <w:t>FRSC is seeking feedback only on the impact of the proposed start date o</w:t>
      </w:r>
      <w:r w:rsidR="0035603F">
        <w:t>f</w:t>
      </w:r>
      <w:r>
        <w:t xml:space="preserve"> the implementation period</w:t>
      </w:r>
      <w:r w:rsidR="00AC39AF">
        <w:t>.</w:t>
      </w:r>
      <w:r w:rsidR="00167960">
        <w:t xml:space="preserve"> </w:t>
      </w:r>
      <w:r w:rsidR="0001435F" w:rsidRPr="0001435F">
        <w:t>We request that you provide advice on your ability either to implement (food industry stakeholders) or support implementation of (public health, consumer and government stakeholders) a revised HSR</w:t>
      </w:r>
      <w:r w:rsidR="004057AA">
        <w:t> </w:t>
      </w:r>
      <w:r w:rsidR="0001435F" w:rsidRPr="0001435F">
        <w:t>system from 1 October 2020, with a two year transition period, by way of providing a response to the question below</w:t>
      </w:r>
      <w:r>
        <w:t>.</w:t>
      </w:r>
    </w:p>
    <w:p w14:paraId="1812C57B" w14:textId="77777777" w:rsidR="00CD0D3C" w:rsidRPr="00AC39AF" w:rsidRDefault="00CD0D3C" w:rsidP="00CD0D3C">
      <w:pPr>
        <w:rPr>
          <w:b/>
        </w:rPr>
      </w:pPr>
      <w:r w:rsidRPr="00AC39AF">
        <w:rPr>
          <w:b/>
        </w:rPr>
        <w:t>Question</w:t>
      </w:r>
    </w:p>
    <w:p w14:paraId="232EBC14" w14:textId="77777777" w:rsidR="00CD0D3C" w:rsidRDefault="00AC39AF" w:rsidP="00CD0D3C">
      <w:bookmarkStart w:id="0" w:name="_Hlk39837916"/>
      <w:r>
        <w:t>Noting the voluntary nature of the system, d</w:t>
      </w:r>
      <w:r w:rsidR="00CD0D3C">
        <w:t>oes a</w:t>
      </w:r>
      <w:r w:rsidR="00CD0D3C" w:rsidRPr="00F11EA5">
        <w:t xml:space="preserve"> start date </w:t>
      </w:r>
      <w:r w:rsidR="00CD0D3C">
        <w:t xml:space="preserve">for implementation </w:t>
      </w:r>
      <w:r w:rsidR="00CD0D3C" w:rsidRPr="00F11EA5">
        <w:t>of October</w:t>
      </w:r>
      <w:r w:rsidR="004057AA">
        <w:t> </w:t>
      </w:r>
      <w:r w:rsidR="00CD0D3C" w:rsidRPr="00F11EA5">
        <w:t>1</w:t>
      </w:r>
      <w:r w:rsidR="000B6342">
        <w:t>,</w:t>
      </w:r>
      <w:r w:rsidR="004057AA">
        <w:t> </w:t>
      </w:r>
      <w:r w:rsidR="00CD0D3C" w:rsidRPr="00F11EA5">
        <w:t>2020</w:t>
      </w:r>
      <w:r w:rsidR="00CD0D3C">
        <w:t xml:space="preserve"> have any implications for you </w:t>
      </w:r>
      <w:proofErr w:type="gramStart"/>
      <w:r w:rsidR="00CD0D3C">
        <w:t>given:</w:t>
      </w:r>
      <w:proofErr w:type="gramEnd"/>
      <w:r w:rsidR="00CD0D3C">
        <w:t xml:space="preserve"> </w:t>
      </w:r>
    </w:p>
    <w:p w14:paraId="52F20E2D" w14:textId="5B3693FD" w:rsidR="00167960" w:rsidRDefault="00167960" w:rsidP="00581450">
      <w:pPr>
        <w:pStyle w:val="ListParagraph"/>
        <w:numPr>
          <w:ilvl w:val="0"/>
          <w:numId w:val="17"/>
        </w:numPr>
        <w:ind w:left="567" w:hanging="283"/>
      </w:pPr>
      <w:proofErr w:type="gramStart"/>
      <w:r>
        <w:t>t</w:t>
      </w:r>
      <w:r w:rsidRPr="00F11EA5">
        <w:t>he</w:t>
      </w:r>
      <w:proofErr w:type="gramEnd"/>
      <w:r w:rsidRPr="00F11EA5">
        <w:t xml:space="preserve"> </w:t>
      </w:r>
      <w:r>
        <w:t>modifications (resulting from recommendations agreed in-principle) outlined in the attached information?</w:t>
      </w:r>
      <w:r w:rsidR="00581450">
        <w:t xml:space="preserve"> </w:t>
      </w:r>
      <w:r w:rsidR="00581450" w:rsidRPr="00581450">
        <w:rPr>
          <w:i/>
        </w:rPr>
        <w:t>Please refer to Calculator 1.</w:t>
      </w:r>
    </w:p>
    <w:p w14:paraId="2B16B60E" w14:textId="714AA99D" w:rsidR="00CD0D3C" w:rsidRDefault="00CD0D3C" w:rsidP="00581450">
      <w:pPr>
        <w:pStyle w:val="ListParagraph"/>
        <w:numPr>
          <w:ilvl w:val="0"/>
          <w:numId w:val="17"/>
        </w:numPr>
        <w:ind w:left="567" w:hanging="283"/>
      </w:pPr>
      <w:proofErr w:type="gramStart"/>
      <w:r w:rsidRPr="00F11EA5">
        <w:t>the</w:t>
      </w:r>
      <w:proofErr w:type="gramEnd"/>
      <w:r w:rsidRPr="00F11EA5">
        <w:t xml:space="preserve"> </w:t>
      </w:r>
      <w:r>
        <w:t xml:space="preserve">additional modifications </w:t>
      </w:r>
      <w:r w:rsidR="00A770ED">
        <w:t>outlined in the attached</w:t>
      </w:r>
      <w:r w:rsidR="000B6342">
        <w:t xml:space="preserve"> information</w:t>
      </w:r>
      <w:r>
        <w:t>?</w:t>
      </w:r>
      <w:r w:rsidR="00581450">
        <w:t xml:space="preserve"> </w:t>
      </w:r>
      <w:r w:rsidR="00581450" w:rsidRPr="00581450">
        <w:rPr>
          <w:i/>
        </w:rPr>
        <w:t>Please refer to Calculator</w:t>
      </w:r>
      <w:r w:rsidR="00581450">
        <w:rPr>
          <w:i/>
        </w:rPr>
        <w:t xml:space="preserve"> 2.</w:t>
      </w:r>
    </w:p>
    <w:p w14:paraId="21530B88" w14:textId="77777777" w:rsidR="00CD0D3C" w:rsidRDefault="00CD0D3C" w:rsidP="00581450">
      <w:pPr>
        <w:pStyle w:val="ListParagraph"/>
        <w:numPr>
          <w:ilvl w:val="0"/>
          <w:numId w:val="17"/>
        </w:numPr>
        <w:ind w:left="567" w:hanging="283"/>
      </w:pPr>
      <w:proofErr w:type="gramStart"/>
      <w:r>
        <w:t>the</w:t>
      </w:r>
      <w:proofErr w:type="gramEnd"/>
      <w:r>
        <w:t xml:space="preserve"> </w:t>
      </w:r>
      <w:r w:rsidRPr="00F11EA5">
        <w:t>context of the COVID-19 pandemic</w:t>
      </w:r>
      <w:r>
        <w:t>?</w:t>
      </w:r>
    </w:p>
    <w:p w14:paraId="09EE2F16" w14:textId="77777777" w:rsidR="00D74D4D" w:rsidRDefault="00D74D4D" w:rsidP="00D74D4D">
      <w:r>
        <w:t>Please describe the nature of any impacts.</w:t>
      </w:r>
    </w:p>
    <w:bookmarkEnd w:id="0"/>
    <w:p w14:paraId="119107D5" w14:textId="77777777" w:rsidR="00F1327C" w:rsidRPr="00697EC9" w:rsidRDefault="00F1327C" w:rsidP="00F1327C">
      <w:pPr>
        <w:pStyle w:val="Default"/>
        <w:spacing w:after="120"/>
        <w:rPr>
          <w:rFonts w:asciiTheme="minorHAnsi" w:hAnsiTheme="minorHAnsi"/>
          <w:i/>
          <w:sz w:val="22"/>
        </w:rPr>
      </w:pPr>
      <w:r w:rsidRPr="00CB71EC">
        <w:rPr>
          <w:rFonts w:asciiTheme="minorHAnsi" w:hAnsiTheme="minorHAnsi" w:cstheme="minorHAnsi"/>
          <w:i/>
          <w:sz w:val="22"/>
          <w:szCs w:val="22"/>
        </w:rPr>
        <w:t xml:space="preserve">Additional information that may </w:t>
      </w:r>
      <w:r w:rsidRPr="00CB71EC">
        <w:rPr>
          <w:i/>
          <w:sz w:val="22"/>
          <w:szCs w:val="22"/>
        </w:rPr>
        <w:t>assist stakeholders in their consideration of the appropriateness of the start date can be found on the following pages.</w:t>
      </w:r>
    </w:p>
    <w:p w14:paraId="03E629A2" w14:textId="77777777" w:rsidR="00F1327C" w:rsidRDefault="00F1327C" w:rsidP="007F7756">
      <w:pPr>
        <w:pStyle w:val="Default"/>
        <w:spacing w:after="120"/>
        <w:rPr>
          <w:b/>
          <w:sz w:val="22"/>
          <w:szCs w:val="22"/>
        </w:rPr>
        <w:sectPr w:rsidR="00F1327C" w:rsidSect="007F7756">
          <w:pgSz w:w="11906" w:h="17338"/>
          <w:pgMar w:top="1134" w:right="1418" w:bottom="1134" w:left="1418" w:header="720" w:footer="720" w:gutter="0"/>
          <w:cols w:space="720"/>
          <w:noEndnote/>
        </w:sectPr>
      </w:pPr>
    </w:p>
    <w:p w14:paraId="2FD7E89F" w14:textId="77777777" w:rsidR="00C160F9" w:rsidRDefault="00C160F9" w:rsidP="007F7756">
      <w:pPr>
        <w:pStyle w:val="Defaul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HSR Five-year review </w:t>
      </w:r>
      <w:r w:rsidRPr="00DD4257">
        <w:rPr>
          <w:b/>
          <w:sz w:val="22"/>
          <w:szCs w:val="22"/>
        </w:rPr>
        <w:t>s</w:t>
      </w:r>
      <w:r w:rsidRPr="00FF10DA">
        <w:rPr>
          <w:b/>
          <w:sz w:val="22"/>
          <w:szCs w:val="22"/>
        </w:rPr>
        <w:t xml:space="preserve">ystem changes </w:t>
      </w:r>
    </w:p>
    <w:p w14:paraId="0903DB28" w14:textId="666BFB12" w:rsidR="00FF10DA" w:rsidRPr="00FA04F5" w:rsidRDefault="00FF10DA" w:rsidP="007F7756">
      <w:pPr>
        <w:pStyle w:val="Default"/>
        <w:spacing w:after="120"/>
        <w:rPr>
          <w:b/>
          <w:i/>
          <w:sz w:val="22"/>
          <w:szCs w:val="22"/>
        </w:rPr>
      </w:pPr>
      <w:r w:rsidRPr="00FA04F5">
        <w:rPr>
          <w:b/>
          <w:i/>
          <w:sz w:val="22"/>
          <w:szCs w:val="22"/>
        </w:rPr>
        <w:t>Calculators</w:t>
      </w:r>
    </w:p>
    <w:p w14:paraId="73FB3444" w14:textId="578BCD0F" w:rsidR="00FF10DA" w:rsidRPr="00FA04F5" w:rsidRDefault="00FF10DA" w:rsidP="007F7756">
      <w:pPr>
        <w:pStyle w:val="Default"/>
        <w:spacing w:after="120"/>
        <w:rPr>
          <w:sz w:val="22"/>
          <w:szCs w:val="22"/>
        </w:rPr>
      </w:pPr>
      <w:r w:rsidRPr="00FA04F5">
        <w:rPr>
          <w:sz w:val="22"/>
          <w:szCs w:val="22"/>
        </w:rPr>
        <w:t xml:space="preserve">Provided </w:t>
      </w:r>
      <w:r w:rsidR="00C160F9" w:rsidRPr="00FA04F5">
        <w:rPr>
          <w:sz w:val="22"/>
          <w:szCs w:val="22"/>
        </w:rPr>
        <w:t xml:space="preserve">alongside this </w:t>
      </w:r>
      <w:r w:rsidRPr="00FA04F5">
        <w:rPr>
          <w:sz w:val="22"/>
          <w:szCs w:val="22"/>
        </w:rPr>
        <w:t>paper are two calculators</w:t>
      </w:r>
      <w:r w:rsidR="00C160F9" w:rsidRPr="00FA04F5">
        <w:rPr>
          <w:sz w:val="22"/>
          <w:szCs w:val="22"/>
        </w:rPr>
        <w:t>:</w:t>
      </w:r>
    </w:p>
    <w:p w14:paraId="7F29C995" w14:textId="77777777" w:rsidR="0078093C" w:rsidRPr="00FA04F5" w:rsidRDefault="0078093C" w:rsidP="0078093C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A04F5">
        <w:rPr>
          <w:sz w:val="22"/>
          <w:szCs w:val="22"/>
        </w:rPr>
        <w:t xml:space="preserve">Calculator 1: </w:t>
      </w:r>
      <w:r>
        <w:rPr>
          <w:sz w:val="22"/>
          <w:szCs w:val="22"/>
        </w:rPr>
        <w:t>includes</w:t>
      </w:r>
      <w:r w:rsidRPr="00FA04F5">
        <w:rPr>
          <w:sz w:val="22"/>
          <w:szCs w:val="22"/>
        </w:rPr>
        <w:t xml:space="preserve"> relevant changes </w:t>
      </w:r>
      <w:r>
        <w:rPr>
          <w:sz w:val="22"/>
          <w:szCs w:val="22"/>
        </w:rPr>
        <w:t>recommended in the Review Report.</w:t>
      </w:r>
    </w:p>
    <w:p w14:paraId="0127481A" w14:textId="77777777" w:rsidR="0078093C" w:rsidRPr="0001626E" w:rsidRDefault="0078093C" w:rsidP="0078093C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01626E">
        <w:rPr>
          <w:sz w:val="22"/>
          <w:szCs w:val="22"/>
        </w:rPr>
        <w:t xml:space="preserve">Calculator 2: </w:t>
      </w:r>
      <w:r>
        <w:rPr>
          <w:sz w:val="22"/>
          <w:szCs w:val="22"/>
        </w:rPr>
        <w:t>includes</w:t>
      </w:r>
      <w:r w:rsidRPr="00FA04F5">
        <w:rPr>
          <w:sz w:val="22"/>
          <w:szCs w:val="22"/>
        </w:rPr>
        <w:t xml:space="preserve"> relevant changes </w:t>
      </w:r>
      <w:r>
        <w:rPr>
          <w:sz w:val="22"/>
          <w:szCs w:val="22"/>
        </w:rPr>
        <w:t>recommended in the Review Report and further considerations requested by Ministers in 2019.</w:t>
      </w:r>
    </w:p>
    <w:p w14:paraId="60D7CE2B" w14:textId="77777777" w:rsidR="00C160F9" w:rsidRPr="00FA04F5" w:rsidRDefault="00C160F9" w:rsidP="00C160F9">
      <w:pPr>
        <w:pStyle w:val="Default"/>
        <w:spacing w:after="120"/>
        <w:rPr>
          <w:sz w:val="22"/>
          <w:szCs w:val="22"/>
        </w:rPr>
      </w:pPr>
      <w:r w:rsidRPr="00FA04F5">
        <w:rPr>
          <w:sz w:val="22"/>
          <w:szCs w:val="22"/>
        </w:rPr>
        <w:t>Further detail on the changes incorporated into each calculator is provided below.</w:t>
      </w:r>
    </w:p>
    <w:p w14:paraId="520D2A9A" w14:textId="22B2DAF9" w:rsidR="009B250E" w:rsidRPr="00FA04F5" w:rsidRDefault="00C160F9" w:rsidP="00BC08C0">
      <w:pPr>
        <w:pStyle w:val="Default"/>
        <w:spacing w:before="240" w:after="120"/>
        <w:rPr>
          <w:i/>
          <w:sz w:val="22"/>
          <w:szCs w:val="22"/>
        </w:rPr>
      </w:pPr>
      <w:r w:rsidRPr="00FA04F5">
        <w:rPr>
          <w:b/>
          <w:bCs/>
          <w:i/>
          <w:sz w:val="22"/>
          <w:szCs w:val="22"/>
        </w:rPr>
        <w:t xml:space="preserve">Calculator 1: </w:t>
      </w:r>
      <w:r w:rsidR="009B250E" w:rsidRPr="00FA04F5">
        <w:rPr>
          <w:b/>
          <w:bCs/>
          <w:i/>
          <w:sz w:val="22"/>
          <w:szCs w:val="22"/>
        </w:rPr>
        <w:t>HSR system changes</w:t>
      </w:r>
      <w:r w:rsidR="00EB5938" w:rsidRPr="00FA04F5">
        <w:rPr>
          <w:b/>
          <w:bCs/>
          <w:i/>
          <w:sz w:val="22"/>
          <w:szCs w:val="22"/>
        </w:rPr>
        <w:t xml:space="preserve"> </w:t>
      </w:r>
      <w:r w:rsidR="001572D5">
        <w:rPr>
          <w:b/>
          <w:bCs/>
          <w:i/>
          <w:sz w:val="22"/>
          <w:szCs w:val="22"/>
        </w:rPr>
        <w:t>as per Review Recommendations</w:t>
      </w:r>
    </w:p>
    <w:p w14:paraId="5E282DC2" w14:textId="428757BA" w:rsidR="00C160F9" w:rsidRPr="00FA04F5" w:rsidRDefault="00C160F9" w:rsidP="00C160F9">
      <w:pPr>
        <w:pStyle w:val="Default"/>
        <w:numPr>
          <w:ilvl w:val="0"/>
          <w:numId w:val="5"/>
        </w:numPr>
        <w:spacing w:after="120"/>
        <w:ind w:left="426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FA04F5">
        <w:rPr>
          <w:rFonts w:cstheme="minorHAnsi"/>
          <w:sz w:val="22"/>
          <w:szCs w:val="22"/>
        </w:rPr>
        <w:t xml:space="preserve">Recommendation 2: </w:t>
      </w:r>
      <w:r w:rsidR="009B250E" w:rsidRPr="00FA04F5">
        <w:rPr>
          <w:rFonts w:cstheme="minorHAnsi"/>
          <w:sz w:val="22"/>
          <w:szCs w:val="22"/>
        </w:rPr>
        <w:t xml:space="preserve">The HSR energy icon only display option will no longer be valid – </w:t>
      </w:r>
      <w:r w:rsidR="009B250E" w:rsidRPr="00FA04F5">
        <w:rPr>
          <w:rFonts w:asciiTheme="minorHAnsi" w:hAnsiTheme="minorHAnsi" w:cstheme="minorHAnsi"/>
          <w:i/>
          <w:iCs/>
          <w:sz w:val="22"/>
          <w:szCs w:val="22"/>
        </w:rPr>
        <w:t xml:space="preserve">the HSR energy only icon will need to be removed from any products displaying it and (subject to the decision of the relevant business) </w:t>
      </w:r>
      <w:r w:rsidR="009B250E" w:rsidRPr="00FA04F5">
        <w:rPr>
          <w:rFonts w:asciiTheme="minorHAnsi" w:hAnsiTheme="minorHAnsi" w:cstheme="minorHAnsi"/>
          <w:i/>
          <w:iCs/>
          <w:sz w:val="22"/>
          <w:szCs w:val="22"/>
          <w:u w:val="single"/>
        </w:rPr>
        <w:t>the HSRs for products previously displaying the HSR energy only icon will need to be determined using the relevant calculation method</w:t>
      </w:r>
      <w:r w:rsidRPr="00FA04F5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in the Calculator</w:t>
      </w:r>
      <w:r w:rsidR="009B250E" w:rsidRPr="00FA04F5">
        <w:rPr>
          <w:rFonts w:asciiTheme="minorHAnsi" w:hAnsiTheme="minorHAnsi" w:cstheme="minorHAnsi"/>
          <w:i/>
          <w:iCs/>
          <w:sz w:val="22"/>
          <w:szCs w:val="22"/>
        </w:rPr>
        <w:t xml:space="preserve"> and an alternative HSR graphic will need to be selected to replace the energy icon only graphic</w:t>
      </w:r>
      <w:r w:rsidR="005374C7" w:rsidRPr="00FA04F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670672F" w14:textId="77777777" w:rsidR="00440937" w:rsidRPr="00642D33" w:rsidRDefault="00EC5133" w:rsidP="00C160F9">
      <w:pPr>
        <w:pStyle w:val="Default"/>
        <w:numPr>
          <w:ilvl w:val="0"/>
          <w:numId w:val="5"/>
        </w:numPr>
        <w:spacing w:after="120"/>
        <w:ind w:left="426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FA04F5">
        <w:rPr>
          <w:rFonts w:asciiTheme="minorHAnsi" w:hAnsiTheme="minorHAnsi" w:cstheme="minorHAnsi"/>
          <w:iCs/>
          <w:sz w:val="22"/>
          <w:szCs w:val="22"/>
        </w:rPr>
        <w:t>Recommendation 4</w:t>
      </w:r>
      <w:r w:rsidR="009D1E80" w:rsidRPr="00FA04F5">
        <w:rPr>
          <w:rFonts w:asciiTheme="minorHAnsi" w:hAnsiTheme="minorHAnsi" w:cstheme="minorHAnsi"/>
          <w:iCs/>
          <w:sz w:val="22"/>
          <w:szCs w:val="22"/>
        </w:rPr>
        <w:t>a</w:t>
      </w:r>
      <w:r w:rsidRPr="00FA04F5">
        <w:rPr>
          <w:rFonts w:asciiTheme="minorHAnsi" w:hAnsiTheme="minorHAnsi" w:cstheme="minorHAnsi"/>
          <w:iCs/>
          <w:sz w:val="22"/>
          <w:szCs w:val="22"/>
        </w:rPr>
        <w:t>:</w:t>
      </w:r>
      <w:r w:rsidRPr="00FA04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B250E" w:rsidRPr="00FA04F5">
        <w:rPr>
          <w:rFonts w:asciiTheme="minorHAnsi" w:hAnsiTheme="minorHAnsi" w:cstheme="minorHAnsi"/>
          <w:sz w:val="22"/>
          <w:szCs w:val="22"/>
        </w:rPr>
        <w:t xml:space="preserve">Packaged </w:t>
      </w:r>
      <w:r w:rsidR="009B250E" w:rsidRPr="00642D33">
        <w:rPr>
          <w:rFonts w:asciiTheme="minorHAnsi" w:hAnsiTheme="minorHAnsi" w:cstheme="minorHAnsi"/>
          <w:sz w:val="22"/>
          <w:szCs w:val="22"/>
        </w:rPr>
        <w:t>minimally processed fruits and vegetables that apply a HSR no longer need to determine the HSR via the HSR Calculator</w:t>
      </w:r>
      <w:r w:rsidR="00161680" w:rsidRPr="00642D33">
        <w:rPr>
          <w:rFonts w:asciiTheme="minorHAnsi" w:hAnsiTheme="minorHAnsi" w:cstheme="minorHAnsi"/>
          <w:sz w:val="22"/>
          <w:szCs w:val="22"/>
        </w:rPr>
        <w:t>. T</w:t>
      </w:r>
      <w:r w:rsidR="009B250E" w:rsidRPr="00642D33">
        <w:rPr>
          <w:rFonts w:asciiTheme="minorHAnsi" w:hAnsiTheme="minorHAnsi" w:cstheme="minorHAnsi"/>
          <w:sz w:val="22"/>
          <w:szCs w:val="22"/>
        </w:rPr>
        <w:t xml:space="preserve">hey </w:t>
      </w:r>
      <w:r w:rsidR="00C160F9" w:rsidRPr="00642D33">
        <w:rPr>
          <w:rFonts w:asciiTheme="minorHAnsi" w:hAnsiTheme="minorHAnsi" w:cstheme="minorHAnsi"/>
          <w:sz w:val="22"/>
          <w:szCs w:val="22"/>
        </w:rPr>
        <w:t>automatically receive an HSR of </w:t>
      </w:r>
      <w:r w:rsidR="009B250E" w:rsidRPr="00642D33">
        <w:rPr>
          <w:rFonts w:asciiTheme="minorHAnsi" w:hAnsiTheme="minorHAnsi" w:cstheme="minorHAnsi"/>
          <w:sz w:val="22"/>
          <w:szCs w:val="22"/>
        </w:rPr>
        <w:t>5</w:t>
      </w:r>
      <w:r w:rsidR="00313E44" w:rsidRPr="00642D33">
        <w:rPr>
          <w:rFonts w:asciiTheme="minorHAnsi" w:hAnsiTheme="minorHAnsi" w:cstheme="minorHAnsi"/>
          <w:sz w:val="22"/>
          <w:szCs w:val="22"/>
        </w:rPr>
        <w:t xml:space="preserve">.  FRSC </w:t>
      </w:r>
      <w:r w:rsidR="00C160F9" w:rsidRPr="00642D33">
        <w:rPr>
          <w:rFonts w:asciiTheme="minorHAnsi" w:hAnsiTheme="minorHAnsi" w:cstheme="minorHAnsi"/>
          <w:sz w:val="22"/>
          <w:szCs w:val="22"/>
        </w:rPr>
        <w:t>are proposing</w:t>
      </w:r>
      <w:r w:rsidR="00313E44" w:rsidRPr="00642D33">
        <w:rPr>
          <w:rFonts w:asciiTheme="minorHAnsi" w:hAnsiTheme="minorHAnsi" w:cstheme="minorHAnsi"/>
          <w:sz w:val="22"/>
          <w:szCs w:val="22"/>
        </w:rPr>
        <w:t xml:space="preserve"> the following definition</w:t>
      </w:r>
      <w:r w:rsidR="00161680" w:rsidRPr="00642D33">
        <w:rPr>
          <w:rFonts w:asciiTheme="minorHAnsi" w:hAnsiTheme="minorHAnsi" w:cstheme="minorHAnsi"/>
          <w:sz w:val="22"/>
          <w:szCs w:val="22"/>
        </w:rPr>
        <w:t xml:space="preserve"> for minimally processed fruits and vegetable eligible for the automatic 5 star</w:t>
      </w:r>
      <w:r w:rsidR="00C160F9" w:rsidRPr="00642D33">
        <w:rPr>
          <w:rFonts w:asciiTheme="minorHAnsi" w:hAnsiTheme="minorHAnsi" w:cstheme="minorHAnsi"/>
          <w:sz w:val="22"/>
          <w:szCs w:val="22"/>
        </w:rPr>
        <w:t xml:space="preserve"> rating</w:t>
      </w:r>
      <w:r w:rsidR="00440937" w:rsidRPr="00642D33">
        <w:rPr>
          <w:rFonts w:asciiTheme="minorHAnsi" w:hAnsiTheme="minorHAnsi" w:cstheme="minorHAnsi"/>
          <w:sz w:val="22"/>
          <w:szCs w:val="22"/>
        </w:rPr>
        <w:t>:</w:t>
      </w:r>
    </w:p>
    <w:p w14:paraId="61334BA4" w14:textId="77777777" w:rsidR="00C160F9" w:rsidRPr="00642D33" w:rsidRDefault="009B250E" w:rsidP="00C160F9">
      <w:pPr>
        <w:pStyle w:val="Default"/>
        <w:spacing w:after="120"/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642D33">
        <w:rPr>
          <w:rFonts w:asciiTheme="minorHAnsi" w:hAnsiTheme="minorHAnsi" w:cstheme="minorHAnsi"/>
          <w:i/>
          <w:iCs/>
          <w:sz w:val="22"/>
          <w:szCs w:val="22"/>
        </w:rPr>
        <w:t>Fruit (excluding coconut),</w:t>
      </w:r>
      <w:r w:rsidR="005374C7" w:rsidRPr="00642D3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2D33">
        <w:rPr>
          <w:rFonts w:asciiTheme="minorHAnsi" w:hAnsiTheme="minorHAnsi" w:cstheme="minorHAnsi"/>
          <w:i/>
          <w:iCs/>
          <w:sz w:val="22"/>
          <w:szCs w:val="22"/>
        </w:rPr>
        <w:t>vegetables, fungi and legumes</w:t>
      </w:r>
      <w:r w:rsidR="002E2C00" w:rsidRPr="00642D3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2D33">
        <w:rPr>
          <w:rFonts w:asciiTheme="minorHAnsi" w:hAnsiTheme="minorHAnsi" w:cstheme="minorHAnsi"/>
          <w:i/>
          <w:iCs/>
          <w:sz w:val="22"/>
          <w:szCs w:val="22"/>
        </w:rPr>
        <w:t>(except peanuts)</w:t>
      </w:r>
      <w:r w:rsidR="002E2C00" w:rsidRPr="00642D3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42D33">
        <w:rPr>
          <w:rFonts w:asciiTheme="minorHAnsi" w:hAnsiTheme="minorHAnsi" w:cstheme="minorHAnsi"/>
          <w:i/>
          <w:iCs/>
          <w:sz w:val="22"/>
          <w:szCs w:val="22"/>
        </w:rPr>
        <w:t>that have only been peeled, cut and/or surface treated, blanched and/or frozen or canned without the addition of fat, sugars, sweeteners or salt</w:t>
      </w:r>
      <w:r w:rsidR="00CB71EC" w:rsidRPr="00642D33">
        <w:rPr>
          <w:rStyle w:val="FootnoteReference"/>
          <w:rFonts w:asciiTheme="minorHAnsi" w:hAnsiTheme="minorHAnsi" w:cstheme="minorHAnsi"/>
          <w:i/>
          <w:iCs/>
          <w:sz w:val="22"/>
          <w:szCs w:val="22"/>
        </w:rPr>
        <w:footnoteReference w:id="2"/>
      </w:r>
      <w:r w:rsidR="00CB71EC" w:rsidRPr="00642D33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7E9BD0E" w14:textId="77777777" w:rsidR="00C160F9" w:rsidRPr="00642D33" w:rsidRDefault="009D1E80" w:rsidP="00C160F9">
      <w:pPr>
        <w:pStyle w:val="Default"/>
        <w:numPr>
          <w:ilvl w:val="0"/>
          <w:numId w:val="5"/>
        </w:numPr>
        <w:spacing w:after="120"/>
        <w:ind w:left="426" w:hanging="284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42D33">
        <w:rPr>
          <w:rFonts w:cstheme="minorHAnsi"/>
          <w:iCs/>
          <w:sz w:val="22"/>
          <w:szCs w:val="22"/>
        </w:rPr>
        <w:t>Recommendation 4b</w:t>
      </w:r>
      <w:r w:rsidRPr="00642D33">
        <w:rPr>
          <w:rFonts w:cstheme="minorHAnsi"/>
          <w:sz w:val="22"/>
          <w:szCs w:val="22"/>
        </w:rPr>
        <w:t>:</w:t>
      </w:r>
      <w:r w:rsidR="00C160F9" w:rsidRPr="00642D33">
        <w:rPr>
          <w:rFonts w:cstheme="minorHAnsi"/>
          <w:sz w:val="22"/>
          <w:szCs w:val="22"/>
        </w:rPr>
        <w:t xml:space="preserve"> T</w:t>
      </w:r>
      <w:r w:rsidRPr="00642D33">
        <w:rPr>
          <w:rFonts w:cstheme="minorHAnsi"/>
          <w:sz w:val="22"/>
          <w:szCs w:val="22"/>
        </w:rPr>
        <w:t>he penalisation for total sugars has been strengthened by extending the baseline points for products in Categories 1D, 2 and 2D from a maximum of 22 points to a maximum of 25 points for &gt;</w:t>
      </w:r>
      <w:r w:rsidRPr="00642D33">
        <w:rPr>
          <w:rFonts w:cstheme="minorHAnsi"/>
          <w:color w:val="auto"/>
          <w:sz w:val="22"/>
          <w:szCs w:val="22"/>
        </w:rPr>
        <w:t xml:space="preserve">99g sugar per 100g. </w:t>
      </w:r>
      <w:r w:rsidR="001F6BCD" w:rsidRPr="00642D33">
        <w:rPr>
          <w:rFonts w:cstheme="minorHAnsi"/>
          <w:i/>
          <w:color w:val="auto"/>
          <w:sz w:val="22"/>
          <w:szCs w:val="22"/>
        </w:rPr>
        <w:t xml:space="preserve">Details provided in </w:t>
      </w:r>
      <w:r w:rsidRPr="00642D33">
        <w:rPr>
          <w:rFonts w:cstheme="minorHAnsi"/>
          <w:i/>
          <w:iCs/>
          <w:color w:val="auto"/>
          <w:sz w:val="22"/>
          <w:szCs w:val="22"/>
        </w:rPr>
        <w:t xml:space="preserve">Table </w:t>
      </w:r>
      <w:r w:rsidR="00642D33" w:rsidRPr="00642D33">
        <w:rPr>
          <w:rFonts w:cstheme="minorHAnsi"/>
          <w:i/>
          <w:iCs/>
          <w:color w:val="auto"/>
          <w:sz w:val="22"/>
          <w:szCs w:val="22"/>
        </w:rPr>
        <w:t>1</w:t>
      </w:r>
      <w:r w:rsidRPr="00642D33">
        <w:rPr>
          <w:rFonts w:cstheme="minorHAnsi"/>
          <w:i/>
          <w:iCs/>
          <w:color w:val="auto"/>
          <w:sz w:val="22"/>
          <w:szCs w:val="22"/>
        </w:rPr>
        <w:t xml:space="preserve"> below</w:t>
      </w:r>
      <w:r w:rsidR="00C160F9" w:rsidRPr="00642D33">
        <w:rPr>
          <w:rFonts w:cstheme="minorHAnsi"/>
          <w:i/>
          <w:iCs/>
          <w:color w:val="auto"/>
          <w:sz w:val="22"/>
          <w:szCs w:val="22"/>
        </w:rPr>
        <w:t>.</w:t>
      </w:r>
    </w:p>
    <w:p w14:paraId="2D0679D6" w14:textId="77777777" w:rsidR="00C160F9" w:rsidRPr="00642D33" w:rsidRDefault="001F6BCD" w:rsidP="00D74D4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cstheme="minorHAnsi"/>
        </w:rPr>
      </w:pPr>
      <w:r w:rsidRPr="00642D33">
        <w:rPr>
          <w:rFonts w:cstheme="minorHAnsi"/>
        </w:rPr>
        <w:t xml:space="preserve">Recommendation 4c: </w:t>
      </w:r>
      <w:r w:rsidR="00C160F9" w:rsidRPr="00642D33">
        <w:rPr>
          <w:rFonts w:cstheme="minorHAnsi"/>
        </w:rPr>
        <w:t>Sodium sensitivity has been improved for products high in sodium. Specifically, the upper limit of the sodium table for Categories 1D, 2 and 2D has been reduced from a maximum of 30 baseline points for sodium content &gt; 8,106mg/100g to a maximum of 30 baseline points for sodium content &gt;2,700mg/100g.</w:t>
      </w:r>
      <w:r w:rsidRPr="00642D33">
        <w:rPr>
          <w:rFonts w:cstheme="minorHAnsi"/>
          <w:i/>
        </w:rPr>
        <w:t xml:space="preserve"> Details provided in </w:t>
      </w:r>
      <w:r w:rsidRPr="00642D33">
        <w:rPr>
          <w:rFonts w:cstheme="minorHAnsi"/>
          <w:i/>
          <w:iCs/>
        </w:rPr>
        <w:t xml:space="preserve">Table </w:t>
      </w:r>
      <w:r w:rsidR="00642D33" w:rsidRPr="00642D33">
        <w:rPr>
          <w:rFonts w:cstheme="minorHAnsi"/>
          <w:i/>
          <w:iCs/>
        </w:rPr>
        <w:t>1</w:t>
      </w:r>
      <w:r w:rsidRPr="00642D33">
        <w:rPr>
          <w:rFonts w:cstheme="minorHAnsi"/>
          <w:i/>
          <w:iCs/>
        </w:rPr>
        <w:t xml:space="preserve"> below</w:t>
      </w:r>
      <w:r w:rsidR="00C160F9" w:rsidRPr="00642D33">
        <w:rPr>
          <w:rFonts w:cstheme="minorHAnsi"/>
        </w:rPr>
        <w:t xml:space="preserve">. </w:t>
      </w:r>
    </w:p>
    <w:p w14:paraId="6C7CBF9C" w14:textId="7AE574AD" w:rsidR="001F6BCD" w:rsidRPr="00642D33" w:rsidRDefault="001F6BCD" w:rsidP="001F6BC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Calibri" w:hAnsi="Calibri" w:cs="Calibri"/>
        </w:rPr>
      </w:pPr>
      <w:r w:rsidRPr="00642D33">
        <w:rPr>
          <w:rFonts w:cstheme="minorHAnsi"/>
        </w:rPr>
        <w:t xml:space="preserve">Recommendation 4d: </w:t>
      </w:r>
      <w:r w:rsidRPr="00642D33">
        <w:rPr>
          <w:rFonts w:ascii="Calibri" w:hAnsi="Calibri" w:cs="Calibri"/>
        </w:rPr>
        <w:t>Categories 2D and 3D have been rescaled, and a number of defined products previously categorised as Category 2 foods have been re-</w:t>
      </w:r>
      <w:r w:rsidRPr="00642D33">
        <w:rPr>
          <w:rFonts w:ascii="Calibri" w:hAnsi="Calibri" w:cs="Calibri"/>
          <w:color w:val="000000"/>
        </w:rPr>
        <w:t xml:space="preserve">categorised so as to now be Category 2D dairy foods. </w:t>
      </w:r>
      <w:r w:rsidRPr="00642D33">
        <w:rPr>
          <w:rFonts w:cstheme="minorHAnsi"/>
          <w:i/>
        </w:rPr>
        <w:t xml:space="preserve">Details provided in </w:t>
      </w:r>
      <w:r w:rsidRPr="00642D33">
        <w:rPr>
          <w:rFonts w:cstheme="minorHAnsi"/>
          <w:i/>
          <w:iCs/>
        </w:rPr>
        <w:t>Table</w:t>
      </w:r>
      <w:r w:rsidR="00642D33">
        <w:rPr>
          <w:rFonts w:cstheme="minorHAnsi"/>
          <w:i/>
          <w:iCs/>
        </w:rPr>
        <w:t>s</w:t>
      </w:r>
      <w:r w:rsidRPr="00642D33">
        <w:rPr>
          <w:rFonts w:cstheme="minorHAnsi"/>
          <w:i/>
          <w:iCs/>
        </w:rPr>
        <w:t xml:space="preserve"> </w:t>
      </w:r>
      <w:r w:rsidR="009E1747">
        <w:rPr>
          <w:rFonts w:cstheme="minorHAnsi"/>
          <w:i/>
          <w:iCs/>
        </w:rPr>
        <w:t>6</w:t>
      </w:r>
      <w:r w:rsidR="00642D33">
        <w:rPr>
          <w:rFonts w:cstheme="minorHAnsi"/>
          <w:i/>
          <w:iCs/>
        </w:rPr>
        <w:t xml:space="preserve"> and 7</w:t>
      </w:r>
      <w:r w:rsidRPr="00642D33">
        <w:rPr>
          <w:rFonts w:cstheme="minorHAnsi"/>
          <w:i/>
          <w:iCs/>
        </w:rPr>
        <w:t xml:space="preserve"> below</w:t>
      </w:r>
      <w:r w:rsidR="00411EF1" w:rsidRPr="00642D33">
        <w:rPr>
          <w:rFonts w:cstheme="minorHAnsi"/>
          <w:i/>
          <w:iCs/>
        </w:rPr>
        <w:t>.</w:t>
      </w:r>
    </w:p>
    <w:p w14:paraId="08CFBEB5" w14:textId="77777777" w:rsidR="001F6BCD" w:rsidRPr="00642D33" w:rsidRDefault="00411EF1" w:rsidP="001F6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Calibri" w:hAnsi="Calibri" w:cs="Calibri"/>
          <w:color w:val="000000"/>
        </w:rPr>
      </w:pPr>
      <w:r w:rsidRPr="00642D33">
        <w:rPr>
          <w:rFonts w:cstheme="minorHAnsi"/>
        </w:rPr>
        <w:t xml:space="preserve">Recommendation 4e: </w:t>
      </w:r>
      <w:r w:rsidR="001F6BCD" w:rsidRPr="00642D33">
        <w:rPr>
          <w:rFonts w:ascii="Calibri" w:hAnsi="Calibri" w:cs="Calibri"/>
          <w:color w:val="000000"/>
        </w:rPr>
        <w:t>Jellies and water based iced confections are now categorised at Category 1: non-dairy beverages - such products need to use the new calculation method (detailed below).</w:t>
      </w:r>
    </w:p>
    <w:p w14:paraId="24D3E31F" w14:textId="77777777" w:rsidR="001F6BCD" w:rsidRPr="00642D33" w:rsidRDefault="001F6BCD" w:rsidP="001F6BCD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Calibri" w:hAnsi="Calibri" w:cs="Calibri"/>
        </w:rPr>
      </w:pPr>
      <w:r w:rsidRPr="00642D33">
        <w:rPr>
          <w:rFonts w:ascii="Calibri" w:hAnsi="Calibri" w:cs="Calibri"/>
        </w:rPr>
        <w:lastRenderedPageBreak/>
        <w:t xml:space="preserve">Recommendation 5: The calculation method for non-dairy beverages (other than water and unsweetened flavoured water) has been amended. </w:t>
      </w:r>
      <w:r w:rsidRPr="00642D33">
        <w:rPr>
          <w:rFonts w:cstheme="minorHAnsi"/>
          <w:i/>
        </w:rPr>
        <w:t xml:space="preserve">Details provided in </w:t>
      </w:r>
      <w:r w:rsidRPr="00642D33">
        <w:rPr>
          <w:rFonts w:cstheme="minorHAnsi"/>
          <w:i/>
          <w:iCs/>
        </w:rPr>
        <w:t xml:space="preserve">Table </w:t>
      </w:r>
      <w:r w:rsidR="00642D33" w:rsidRPr="00642D33">
        <w:rPr>
          <w:rFonts w:cstheme="minorHAnsi"/>
          <w:i/>
          <w:iCs/>
        </w:rPr>
        <w:t>5</w:t>
      </w:r>
      <w:r w:rsidRPr="00642D33">
        <w:rPr>
          <w:rFonts w:cstheme="minorHAnsi"/>
          <w:i/>
          <w:iCs/>
        </w:rPr>
        <w:t xml:space="preserve"> below</w:t>
      </w:r>
      <w:r w:rsidR="00411EF1" w:rsidRPr="00642D33">
        <w:rPr>
          <w:rFonts w:cstheme="minorHAnsi"/>
          <w:i/>
          <w:iCs/>
        </w:rPr>
        <w:t>.</w:t>
      </w:r>
    </w:p>
    <w:p w14:paraId="6FBCED08" w14:textId="77777777" w:rsidR="001F6BCD" w:rsidRPr="00642D33" w:rsidRDefault="001F6BCD" w:rsidP="001F6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Calibri" w:hAnsi="Calibri" w:cs="Calibri"/>
          <w:color w:val="000000"/>
        </w:rPr>
      </w:pPr>
      <w:r w:rsidRPr="00642D33">
        <w:rPr>
          <w:rFonts w:ascii="Calibri" w:hAnsi="Calibri" w:cs="Calibri"/>
        </w:rPr>
        <w:t xml:space="preserve">Recommendation 5: </w:t>
      </w:r>
      <w:r w:rsidR="00FA04F5" w:rsidRPr="00642D33">
        <w:rPr>
          <w:rFonts w:ascii="Calibri" w:hAnsi="Calibri" w:cs="Calibri"/>
        </w:rPr>
        <w:t>Unsweetened f</w:t>
      </w:r>
      <w:r w:rsidRPr="00642D33">
        <w:rPr>
          <w:rFonts w:ascii="Calibri" w:hAnsi="Calibri" w:cs="Calibri"/>
          <w:color w:val="000000"/>
        </w:rPr>
        <w:t xml:space="preserve">lavoured water products that apply a HSR no longer need to determine the HSR via the HSR Calculator. </w:t>
      </w:r>
      <w:r w:rsidRPr="00642D33">
        <w:rPr>
          <w:rFonts w:cstheme="minorHAnsi"/>
        </w:rPr>
        <w:t xml:space="preserve">They automatically receive a HSR of 4.5.  FRSC are proposing the following definition for </w:t>
      </w:r>
      <w:r w:rsidR="00FA04F5" w:rsidRPr="00642D33">
        <w:rPr>
          <w:rFonts w:cstheme="minorHAnsi"/>
        </w:rPr>
        <w:t xml:space="preserve">unsweetened </w:t>
      </w:r>
      <w:r w:rsidRPr="00642D33">
        <w:rPr>
          <w:rFonts w:cstheme="minorHAnsi"/>
        </w:rPr>
        <w:t>flavoured waters eligible for the automatic 4.5 star rating:</w:t>
      </w:r>
    </w:p>
    <w:p w14:paraId="3DDE44C4" w14:textId="77777777" w:rsidR="001F6BCD" w:rsidRPr="00FA04F5" w:rsidRDefault="00FA04F5" w:rsidP="00FA04F5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0000"/>
        </w:rPr>
      </w:pPr>
      <w:r w:rsidRPr="00642D33">
        <w:rPr>
          <w:rFonts w:ascii="Calibri" w:hAnsi="Calibri" w:cs="Calibri"/>
          <w:i/>
          <w:iCs/>
          <w:color w:val="000000"/>
        </w:rPr>
        <w:t>P</w:t>
      </w:r>
      <w:r w:rsidR="001F6BCD" w:rsidRPr="00642D33">
        <w:rPr>
          <w:rFonts w:ascii="Calibri" w:hAnsi="Calibri" w:cs="Calibri"/>
          <w:i/>
          <w:iCs/>
          <w:color w:val="000000"/>
        </w:rPr>
        <w:t>ackaged beverages similar in nutritional profile to water that: may contain carbon dioxide, whether added or naturally occurring; and contains no added sugars, sweeteners</w:t>
      </w:r>
      <w:r w:rsidR="001F6BCD" w:rsidRPr="00FA04F5">
        <w:rPr>
          <w:rFonts w:ascii="Calibri" w:hAnsi="Calibri" w:cs="Calibri"/>
          <w:i/>
          <w:iCs/>
          <w:color w:val="000000"/>
        </w:rPr>
        <w:t xml:space="preserve"> or salt; and contains only the following additives: permitted flavouring substances, excluding quinine and caffeine, at GMP</w:t>
      </w:r>
      <w:r w:rsidR="001F6BCD" w:rsidRPr="00FA04F5">
        <w:rPr>
          <w:rStyle w:val="FootnoteReference"/>
          <w:rFonts w:ascii="Calibri" w:hAnsi="Calibri" w:cs="Calibri"/>
          <w:i/>
          <w:iCs/>
          <w:color w:val="000000"/>
        </w:rPr>
        <w:footnoteReference w:id="3"/>
      </w:r>
      <w:r w:rsidR="001F6BCD" w:rsidRPr="00FA04F5">
        <w:rPr>
          <w:rFonts w:ascii="Calibri" w:hAnsi="Calibri" w:cs="Calibri"/>
          <w:i/>
          <w:iCs/>
          <w:color w:val="000000"/>
        </w:rPr>
        <w:t>.</w:t>
      </w:r>
    </w:p>
    <w:p w14:paraId="1300EC98" w14:textId="77777777" w:rsidR="00FA04F5" w:rsidRDefault="00FA04F5" w:rsidP="00556C12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25815172" w14:textId="1A7E2EA6" w:rsidR="00FA04F5" w:rsidRPr="00FA04F5" w:rsidRDefault="00FA04F5" w:rsidP="00FA04F5">
      <w:pPr>
        <w:pStyle w:val="Default"/>
        <w:spacing w:before="240" w:after="120"/>
        <w:rPr>
          <w:i/>
          <w:sz w:val="22"/>
          <w:szCs w:val="22"/>
        </w:rPr>
      </w:pPr>
      <w:r w:rsidRPr="00FA04F5">
        <w:rPr>
          <w:b/>
          <w:bCs/>
          <w:i/>
          <w:sz w:val="22"/>
          <w:szCs w:val="22"/>
        </w:rPr>
        <w:t xml:space="preserve">Calculator </w:t>
      </w:r>
      <w:r>
        <w:rPr>
          <w:b/>
          <w:bCs/>
          <w:i/>
          <w:sz w:val="22"/>
          <w:szCs w:val="22"/>
        </w:rPr>
        <w:t>2</w:t>
      </w:r>
      <w:r w:rsidRPr="00FA04F5">
        <w:rPr>
          <w:b/>
          <w:bCs/>
          <w:i/>
          <w:sz w:val="22"/>
          <w:szCs w:val="22"/>
        </w:rPr>
        <w:t xml:space="preserve">: HSR system changes </w:t>
      </w:r>
      <w:r w:rsidR="001572D5">
        <w:rPr>
          <w:b/>
          <w:bCs/>
          <w:i/>
          <w:sz w:val="22"/>
          <w:szCs w:val="22"/>
        </w:rPr>
        <w:t xml:space="preserve">as per Review Recommendations </w:t>
      </w:r>
      <w:r>
        <w:rPr>
          <w:b/>
          <w:bCs/>
          <w:i/>
          <w:sz w:val="22"/>
          <w:szCs w:val="22"/>
        </w:rPr>
        <w:t>AND changes resulting from additional work requested by the Forum</w:t>
      </w:r>
    </w:p>
    <w:p w14:paraId="6D1E4E2A" w14:textId="77777777" w:rsidR="00411EF1" w:rsidRPr="00411EF1" w:rsidRDefault="00411EF1" w:rsidP="00411E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cstheme="minorHAnsi"/>
          <w:i/>
          <w:iCs/>
        </w:rPr>
      </w:pPr>
      <w:r>
        <w:rPr>
          <w:rFonts w:cstheme="minorHAnsi"/>
          <w:iCs/>
        </w:rPr>
        <w:t>Recommendations 2, 4a, 4d, 4e and 5 – as detailed above.</w:t>
      </w:r>
    </w:p>
    <w:p w14:paraId="3EA99399" w14:textId="77777777" w:rsidR="00411EF1" w:rsidRPr="00642D33" w:rsidRDefault="00411EF1" w:rsidP="00411EF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cstheme="minorHAnsi"/>
          <w:i/>
          <w:iCs/>
        </w:rPr>
      </w:pPr>
      <w:r w:rsidRPr="00642D33">
        <w:rPr>
          <w:rFonts w:cstheme="minorHAnsi"/>
        </w:rPr>
        <w:t xml:space="preserve">Alternative to Recommendation 4b: The </w:t>
      </w:r>
      <w:r w:rsidR="00161680" w:rsidRPr="00642D33">
        <w:rPr>
          <w:rFonts w:cstheme="minorHAnsi"/>
        </w:rPr>
        <w:t xml:space="preserve">penalisation for total sugars has been strengthened by extending the baseline points for products in Categories 1D, 2 and 2D from a maximum of 22 points to a maximum of 30 points for &gt;99g sugar per 100g. </w:t>
      </w:r>
      <w:r w:rsidRPr="00642D33">
        <w:rPr>
          <w:rFonts w:cstheme="minorHAnsi"/>
          <w:i/>
        </w:rPr>
        <w:t xml:space="preserve">Details provided in </w:t>
      </w:r>
      <w:r w:rsidRPr="00642D33">
        <w:rPr>
          <w:rFonts w:cstheme="minorHAnsi"/>
          <w:i/>
          <w:iCs/>
        </w:rPr>
        <w:t xml:space="preserve">Table </w:t>
      </w:r>
      <w:r w:rsidR="00642D33" w:rsidRPr="00642D33">
        <w:rPr>
          <w:rFonts w:cstheme="minorHAnsi"/>
          <w:i/>
          <w:iCs/>
        </w:rPr>
        <w:t>3</w:t>
      </w:r>
      <w:r w:rsidR="00714B35">
        <w:rPr>
          <w:rFonts w:cstheme="minorHAnsi"/>
          <w:i/>
          <w:iCs/>
        </w:rPr>
        <w:t xml:space="preserve"> </w:t>
      </w:r>
      <w:r w:rsidRPr="00642D33">
        <w:rPr>
          <w:rFonts w:cstheme="minorHAnsi"/>
          <w:i/>
          <w:iCs/>
        </w:rPr>
        <w:t>below.</w:t>
      </w:r>
    </w:p>
    <w:p w14:paraId="5965AA7D" w14:textId="5562605D" w:rsidR="00127208" w:rsidRPr="0095151E" w:rsidRDefault="00411EF1" w:rsidP="00556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cstheme="minorHAnsi"/>
          <w:i/>
          <w:iCs/>
        </w:rPr>
      </w:pPr>
      <w:r w:rsidRPr="00642D33">
        <w:rPr>
          <w:rFonts w:cstheme="minorHAnsi"/>
        </w:rPr>
        <w:t xml:space="preserve">Alternative to Recommendation 4c: </w:t>
      </w:r>
      <w:r w:rsidR="000B6342" w:rsidRPr="00642D33">
        <w:rPr>
          <w:rFonts w:cstheme="minorHAnsi"/>
        </w:rPr>
        <w:t xml:space="preserve">The upper limit of the sodium table for Categories 1D, 2, 2D, 3 and 3D has been reduced from a maximum of 30 baseline points for sodium content &gt; 8,106mg/100g to a maximum of 30 baseline points for sodium content &gt;2,2500mg/100g, and the increments between points has been reduced to 75mg. </w:t>
      </w:r>
      <w:r w:rsidRPr="00642D33">
        <w:rPr>
          <w:rFonts w:cstheme="minorHAnsi"/>
        </w:rPr>
        <w:t xml:space="preserve"> </w:t>
      </w:r>
      <w:r w:rsidRPr="00642D33">
        <w:rPr>
          <w:rFonts w:cstheme="minorHAnsi"/>
          <w:i/>
        </w:rPr>
        <w:t xml:space="preserve">Details provided in </w:t>
      </w:r>
      <w:r w:rsidRPr="00642D33">
        <w:rPr>
          <w:rFonts w:cstheme="minorHAnsi"/>
          <w:i/>
          <w:iCs/>
        </w:rPr>
        <w:t>Table</w:t>
      </w:r>
      <w:r w:rsidR="00642D33">
        <w:rPr>
          <w:rFonts w:cstheme="minorHAnsi"/>
          <w:i/>
          <w:iCs/>
        </w:rPr>
        <w:t>s</w:t>
      </w:r>
      <w:r w:rsidRPr="00642D33">
        <w:rPr>
          <w:rFonts w:cstheme="minorHAnsi"/>
          <w:i/>
          <w:iCs/>
        </w:rPr>
        <w:t xml:space="preserve"> </w:t>
      </w:r>
      <w:r w:rsidR="00642D33" w:rsidRPr="00642D33">
        <w:rPr>
          <w:rFonts w:cstheme="minorHAnsi"/>
          <w:i/>
          <w:iCs/>
        </w:rPr>
        <w:t xml:space="preserve">3 and 4 </w:t>
      </w:r>
      <w:r w:rsidRPr="00642D33">
        <w:rPr>
          <w:rFonts w:cstheme="minorHAnsi"/>
          <w:i/>
          <w:iCs/>
        </w:rPr>
        <w:t>below.</w:t>
      </w:r>
      <w:r w:rsidR="00127208" w:rsidRPr="0095151E">
        <w:rPr>
          <w:rFonts w:cstheme="minorHAnsi"/>
        </w:rPr>
        <w:br w:type="page"/>
      </w:r>
    </w:p>
    <w:p w14:paraId="2C4A712D" w14:textId="77777777" w:rsidR="00127208" w:rsidRPr="00304B6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 w:rsidRPr="00304B68">
        <w:rPr>
          <w:rFonts w:ascii="Calibri" w:hAnsi="Calibri" w:cs="Calibri"/>
          <w:sz w:val="22"/>
          <w:szCs w:val="22"/>
          <w:u w:val="single"/>
        </w:rPr>
        <w:lastRenderedPageBreak/>
        <w:t>Table 1: HSR Baseline Points for Category 1D Beverages, 2 or 2D Foods</w:t>
      </w:r>
      <w:r>
        <w:rPr>
          <w:rFonts w:ascii="Calibri" w:hAnsi="Calibri" w:cs="Calibri"/>
          <w:sz w:val="22"/>
          <w:szCs w:val="22"/>
          <w:u w:val="single"/>
        </w:rPr>
        <w:t>, as per Review Recommendations</w:t>
      </w:r>
    </w:p>
    <w:tbl>
      <w:tblPr>
        <w:tblW w:w="9498" w:type="dxa"/>
        <w:tblInd w:w="-5" w:type="dxa"/>
        <w:tblLook w:val="04A0" w:firstRow="1" w:lastRow="0" w:firstColumn="1" w:lastColumn="0" w:noHBand="0" w:noVBand="1"/>
        <w:tblCaption w:val="Table 1 "/>
        <w:tblDescription w:val="Table 1 shows the range of baseline points achievable for Category 1D, 2 or 2D foods with the Health Star Rating Calculator. A maximum of 11 baseline points are achievable for energy, 25 points for total sugars, 30 points for saturated fat and 30 points for sodium."/>
      </w:tblPr>
      <w:tblGrid>
        <w:gridCol w:w="960"/>
        <w:gridCol w:w="1875"/>
        <w:gridCol w:w="2127"/>
        <w:gridCol w:w="2401"/>
        <w:gridCol w:w="2135"/>
      </w:tblGrid>
      <w:tr w:rsidR="00127208" w:rsidRPr="00A51F6F" w14:paraId="144542F1" w14:textId="77777777" w:rsidTr="00474DDA">
        <w:trPr>
          <w:trHeight w:val="69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72D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HSR baseline points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C4B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energy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content (kJ) per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100 g or 100 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5602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saturated fatty acids (g) per 100 g or 100 mL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5F9F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total sugars (g) per 100 g or 100 mL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8E2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sodium (mg) per 100 g or 100 mL</w:t>
            </w:r>
          </w:p>
        </w:tc>
      </w:tr>
      <w:tr w:rsidR="009A7102" w:rsidRPr="00A51F6F" w14:paraId="69FD1CF5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D0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9B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B6B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</w:t>
            </w:r>
            <w:r>
              <w:rPr>
                <w:rFonts w:ascii="Calibri" w:eastAsia="Times New Roman" w:hAnsi="Calibri" w:cs="Calibri"/>
                <w:lang w:eastAsia="en-AU"/>
              </w:rPr>
              <w:t>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2037" w14:textId="1E776534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≤5.00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975F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≤90</w:t>
            </w:r>
          </w:p>
        </w:tc>
      </w:tr>
      <w:tr w:rsidR="009A7102" w:rsidRPr="00A51F6F" w14:paraId="3EF4D6D6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02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AC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243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8022" w14:textId="6BEB7426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703E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&gt;90</w:t>
            </w:r>
          </w:p>
        </w:tc>
      </w:tr>
      <w:tr w:rsidR="009A7102" w:rsidRPr="00A51F6F" w14:paraId="7A8B8450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A13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94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01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DCE0" w14:textId="53054510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5AE3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&gt;180</w:t>
            </w:r>
          </w:p>
        </w:tc>
      </w:tr>
      <w:tr w:rsidR="009A7102" w:rsidRPr="00A51F6F" w14:paraId="498315E3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6B3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1C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C6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B91F" w14:textId="422EFC0E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&gt;12.8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A496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&gt;270</w:t>
            </w:r>
          </w:p>
        </w:tc>
      </w:tr>
      <w:tr w:rsidR="009A7102" w:rsidRPr="00A51F6F" w14:paraId="4038695D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7F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60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26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FFA5" w14:textId="513B0A20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&gt;16.8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362F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&gt;360</w:t>
            </w:r>
          </w:p>
        </w:tc>
      </w:tr>
      <w:tr w:rsidR="009A7102" w:rsidRPr="00A51F6F" w14:paraId="64A3FC6D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8C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BE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50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74E9" w14:textId="624117B8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&gt;20.7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E08B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&gt;450</w:t>
            </w:r>
          </w:p>
        </w:tc>
      </w:tr>
      <w:tr w:rsidR="009A7102" w:rsidRPr="00A51F6F" w14:paraId="1C3DE62A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9D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08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2D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A2B9" w14:textId="59AE7FCC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&gt;24.6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6449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&gt;540</w:t>
            </w:r>
          </w:p>
        </w:tc>
      </w:tr>
      <w:tr w:rsidR="009A7102" w:rsidRPr="00A51F6F" w14:paraId="658FCB63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A21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51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B53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250F" w14:textId="6F049F40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&gt;28.5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9C5A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&gt;630</w:t>
            </w:r>
          </w:p>
        </w:tc>
      </w:tr>
      <w:tr w:rsidR="009A7102" w:rsidRPr="00A51F6F" w14:paraId="3A7725F2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2A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FE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B0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4FF7" w14:textId="010EADE9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&gt;32.4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8EB3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&gt;720</w:t>
            </w:r>
          </w:p>
        </w:tc>
      </w:tr>
      <w:tr w:rsidR="009A7102" w:rsidRPr="00A51F6F" w14:paraId="4DF9EBC3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23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4D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7E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C4C7" w14:textId="49169D30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&gt;36.3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F1AB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&gt;810</w:t>
            </w:r>
          </w:p>
        </w:tc>
      </w:tr>
      <w:tr w:rsidR="009A7102" w:rsidRPr="00A51F6F" w14:paraId="0E471E34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BF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BB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4C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496" w14:textId="2090C1AE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&gt;40.3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2FB6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&gt;900</w:t>
            </w:r>
          </w:p>
        </w:tc>
      </w:tr>
      <w:tr w:rsidR="009A7102" w:rsidRPr="00A51F6F" w14:paraId="72032762" w14:textId="77777777" w:rsidTr="001532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67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C8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3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&gt;11.2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7282" w14:textId="28FF2606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&gt;44.2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A8BC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&gt;990</w:t>
            </w:r>
          </w:p>
        </w:tc>
      </w:tr>
      <w:tr w:rsidR="009A7102" w:rsidRPr="00A51F6F" w14:paraId="17C2317A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AC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E29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4E9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&gt;12.5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BB63" w14:textId="620931D5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&gt;48.1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9878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&gt;1080</w:t>
            </w:r>
          </w:p>
        </w:tc>
      </w:tr>
      <w:tr w:rsidR="009A7102" w:rsidRPr="00A51F6F" w14:paraId="59589261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CECB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017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84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&gt;13.9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97CE" w14:textId="7453D979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&gt;52.0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9EC4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&gt;1170</w:t>
            </w:r>
          </w:p>
        </w:tc>
      </w:tr>
      <w:tr w:rsidR="009A7102" w:rsidRPr="00A51F6F" w14:paraId="78FE101B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08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3F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C8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&gt;15.5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6665" w14:textId="38563332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&gt;55.9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FADF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&gt;1260</w:t>
            </w:r>
          </w:p>
        </w:tc>
      </w:tr>
      <w:tr w:rsidR="009A7102" w:rsidRPr="00A51F6F" w14:paraId="1DB7A96B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68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5E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CB9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&gt;17.3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F59E" w14:textId="5FB9BEDB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&gt;59.8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6EFC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&gt;1350</w:t>
            </w:r>
          </w:p>
        </w:tc>
      </w:tr>
      <w:tr w:rsidR="009A7102" w:rsidRPr="00A51F6F" w14:paraId="0AC48A54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89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87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02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&gt;19.3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CE02" w14:textId="52789674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&gt;63.8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F227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&gt;1440</w:t>
            </w:r>
          </w:p>
        </w:tc>
      </w:tr>
      <w:tr w:rsidR="009A7102" w:rsidRPr="00A51F6F" w14:paraId="25B0BFFE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8E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64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7C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&gt;21.6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EF40" w14:textId="23B79FB8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&gt;67.7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2CF1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&gt;1530</w:t>
            </w:r>
          </w:p>
        </w:tc>
      </w:tr>
      <w:tr w:rsidR="009A7102" w:rsidRPr="00A51F6F" w14:paraId="7135230D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2DB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96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317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&gt;24.1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2035" w14:textId="32DDBBBC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&gt;71.6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6EC5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&gt;1620</w:t>
            </w:r>
          </w:p>
        </w:tc>
      </w:tr>
      <w:tr w:rsidR="009A7102" w:rsidRPr="00A51F6F" w14:paraId="453E2658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9F5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D2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E1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&gt;26.9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5C6C" w14:textId="350773CA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&gt;75.5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6590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&gt;1710</w:t>
            </w:r>
          </w:p>
        </w:tc>
      </w:tr>
      <w:tr w:rsidR="009A7102" w:rsidRPr="00A51F6F" w14:paraId="44D46BD9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06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2F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2E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1E8" w14:textId="4D960759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&gt;79.4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D0F7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&gt;1800</w:t>
            </w:r>
          </w:p>
        </w:tc>
      </w:tr>
      <w:tr w:rsidR="009A7102" w:rsidRPr="00A51F6F" w14:paraId="339517F4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EB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B0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AC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2768" w14:textId="3DFDD509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&gt;83.3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9A53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&gt;1890</w:t>
            </w:r>
          </w:p>
        </w:tc>
      </w:tr>
      <w:tr w:rsidR="009A7102" w:rsidRPr="00A51F6F" w14:paraId="471D39C2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AF2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7E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260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&gt;37.4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D295" w14:textId="083C0924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&gt;87.3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5127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&gt;1980</w:t>
            </w:r>
          </w:p>
        </w:tc>
      </w:tr>
      <w:tr w:rsidR="009A7102" w:rsidRPr="00A51F6F" w14:paraId="1ED6A696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33B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A6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F0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&gt;41.7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C410" w14:textId="2168DE1F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&gt;91.2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6F75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&gt;2070</w:t>
            </w:r>
          </w:p>
        </w:tc>
      </w:tr>
      <w:tr w:rsidR="009A7102" w:rsidRPr="00A51F6F" w14:paraId="41E25F69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C1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A8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E6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&gt;46.6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07DA" w14:textId="4FED1CDD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&gt;95.1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FAE7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&gt;2160</w:t>
            </w:r>
          </w:p>
        </w:tc>
      </w:tr>
      <w:tr w:rsidR="009A7102" w:rsidRPr="00A51F6F" w14:paraId="415732B8" w14:textId="77777777" w:rsidTr="0015325F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3C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A9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6F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B5CC" w14:textId="030F32E9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&gt;99.0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1D71" w14:textId="77777777" w:rsidR="009A7102" w:rsidRPr="008F4717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&gt;2250</w:t>
            </w:r>
          </w:p>
        </w:tc>
      </w:tr>
      <w:tr w:rsidR="00127208" w:rsidRPr="00A51F6F" w14:paraId="399F074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F4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A5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0B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EC5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7C00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&gt;2340</w:t>
            </w:r>
          </w:p>
        </w:tc>
      </w:tr>
      <w:tr w:rsidR="00127208" w:rsidRPr="00A51F6F" w14:paraId="11EFEF2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11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38E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B3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&gt;64.7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AC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3152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&gt;2430</w:t>
            </w:r>
          </w:p>
        </w:tc>
      </w:tr>
      <w:tr w:rsidR="00127208" w:rsidRPr="00A51F6F" w14:paraId="11CA54E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A4B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27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72B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&gt;72.3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B5C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BBE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&gt;2520</w:t>
            </w:r>
          </w:p>
        </w:tc>
      </w:tr>
      <w:tr w:rsidR="00127208" w:rsidRPr="00A51F6F" w14:paraId="3EC55EF6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73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D9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BA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&gt;80.6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2BF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FAA5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&gt;2610</w:t>
            </w:r>
          </w:p>
        </w:tc>
      </w:tr>
      <w:tr w:rsidR="00127208" w:rsidRPr="00A51F6F" w14:paraId="327C11E4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71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AD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F60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506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5510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&gt;2700</w:t>
            </w:r>
          </w:p>
        </w:tc>
      </w:tr>
    </w:tbl>
    <w:p w14:paraId="5CC731D1" w14:textId="77777777" w:rsidR="0012720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60CEFE88" w14:textId="77777777" w:rsidR="00127208" w:rsidRPr="00304B6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 w:rsidRPr="00304B68">
        <w:rPr>
          <w:rFonts w:ascii="Calibri" w:hAnsi="Calibri" w:cs="Calibri"/>
          <w:sz w:val="22"/>
          <w:szCs w:val="22"/>
          <w:u w:val="single"/>
        </w:rPr>
        <w:lastRenderedPageBreak/>
        <w:t>Table</w:t>
      </w:r>
      <w:r>
        <w:rPr>
          <w:rFonts w:ascii="Calibri" w:hAnsi="Calibri" w:cs="Calibri"/>
          <w:sz w:val="22"/>
          <w:szCs w:val="22"/>
          <w:u w:val="single"/>
        </w:rPr>
        <w:t xml:space="preserve"> 2</w:t>
      </w:r>
      <w:r w:rsidRPr="00304B68">
        <w:rPr>
          <w:rFonts w:ascii="Calibri" w:hAnsi="Calibri" w:cs="Calibri"/>
          <w:sz w:val="22"/>
          <w:szCs w:val="22"/>
          <w:u w:val="single"/>
        </w:rPr>
        <w:t xml:space="preserve">: HSR Baseline Points for Category </w:t>
      </w:r>
      <w:r>
        <w:rPr>
          <w:rFonts w:ascii="Calibri" w:hAnsi="Calibri" w:cs="Calibri"/>
          <w:sz w:val="22"/>
          <w:szCs w:val="22"/>
          <w:u w:val="single"/>
        </w:rPr>
        <w:t>3</w:t>
      </w:r>
      <w:r w:rsidRPr="00304B68">
        <w:rPr>
          <w:rFonts w:ascii="Calibri" w:hAnsi="Calibri" w:cs="Calibri"/>
          <w:sz w:val="22"/>
          <w:szCs w:val="22"/>
          <w:u w:val="single"/>
        </w:rPr>
        <w:t xml:space="preserve"> or </w:t>
      </w:r>
      <w:r>
        <w:rPr>
          <w:rFonts w:ascii="Calibri" w:hAnsi="Calibri" w:cs="Calibri"/>
          <w:sz w:val="22"/>
          <w:szCs w:val="22"/>
          <w:u w:val="single"/>
        </w:rPr>
        <w:t>3</w:t>
      </w:r>
      <w:r w:rsidRPr="00304B68">
        <w:rPr>
          <w:rFonts w:ascii="Calibri" w:hAnsi="Calibri" w:cs="Calibri"/>
          <w:sz w:val="22"/>
          <w:szCs w:val="22"/>
          <w:u w:val="single"/>
        </w:rPr>
        <w:t>D Foods</w:t>
      </w:r>
      <w:r>
        <w:rPr>
          <w:rFonts w:ascii="Calibri" w:hAnsi="Calibri" w:cs="Calibri"/>
          <w:sz w:val="22"/>
          <w:szCs w:val="22"/>
          <w:u w:val="single"/>
        </w:rPr>
        <w:t>, unchanged as a result of Review Recommendations</w:t>
      </w:r>
    </w:p>
    <w:tbl>
      <w:tblPr>
        <w:tblW w:w="9498" w:type="dxa"/>
        <w:tblInd w:w="-5" w:type="dxa"/>
        <w:tblLook w:val="04A0" w:firstRow="1" w:lastRow="0" w:firstColumn="1" w:lastColumn="0" w:noHBand="0" w:noVBand="1"/>
        <w:tblCaption w:val="Table 2"/>
        <w:tblDescription w:val="Table 2 shows the range of baseline points achievable for Category 3 and 3D foods with the Health Star Rating Calculator. A maximum of 11 baseline points are achievable for energy, 10 points for total sugars, 30 points for saturated fat and 30 points for sodium."/>
      </w:tblPr>
      <w:tblGrid>
        <w:gridCol w:w="960"/>
        <w:gridCol w:w="1875"/>
        <w:gridCol w:w="2127"/>
        <w:gridCol w:w="2401"/>
        <w:gridCol w:w="2135"/>
      </w:tblGrid>
      <w:tr w:rsidR="00127208" w:rsidRPr="00A51F6F" w14:paraId="2349A762" w14:textId="77777777" w:rsidTr="00474DDA">
        <w:trPr>
          <w:trHeight w:val="69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EEC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 xml:space="preserve">HSR baseline points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C59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energy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content (kJ) per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100 g or 100 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570B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saturated fatty acids (g) per 100 g or 100 mL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17C3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total sugars (g) per 100 g or 100 mL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7AB8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sodium (mg) per 100 g or 100 mL</w:t>
            </w:r>
          </w:p>
        </w:tc>
      </w:tr>
      <w:tr w:rsidR="00127208" w:rsidRPr="00A51F6F" w14:paraId="07AA75B0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97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34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DF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C0D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B91D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≤90</w:t>
            </w:r>
          </w:p>
        </w:tc>
      </w:tr>
      <w:tr w:rsidR="00127208" w:rsidRPr="00A51F6F" w14:paraId="5716E803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6D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85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73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03A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F3E1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&gt;90</w:t>
            </w:r>
          </w:p>
        </w:tc>
      </w:tr>
      <w:tr w:rsidR="00127208" w:rsidRPr="00A51F6F" w14:paraId="35509F7D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A6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3B0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85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FE7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19E8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&gt;180</w:t>
            </w:r>
          </w:p>
        </w:tc>
      </w:tr>
      <w:tr w:rsidR="00127208" w:rsidRPr="00A51F6F" w14:paraId="41685E0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5FD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3D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E2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93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7D1B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&gt;270</w:t>
            </w:r>
          </w:p>
        </w:tc>
      </w:tr>
      <w:tr w:rsidR="00127208" w:rsidRPr="00A51F6F" w14:paraId="710BE00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D7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6C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E6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4F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&gt;18.0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2061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&gt;360</w:t>
            </w:r>
          </w:p>
        </w:tc>
      </w:tr>
      <w:tr w:rsidR="00127208" w:rsidRPr="00A51F6F" w14:paraId="10824BDB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47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6E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BE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D8F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&gt;22.5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389B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&gt;450</w:t>
            </w:r>
          </w:p>
        </w:tc>
      </w:tr>
      <w:tr w:rsidR="00127208" w:rsidRPr="00A51F6F" w14:paraId="06DB5589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73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DD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11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0B6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&gt;27.0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2B71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&gt;540</w:t>
            </w:r>
          </w:p>
        </w:tc>
      </w:tr>
      <w:tr w:rsidR="00127208" w:rsidRPr="00A51F6F" w14:paraId="7A4187BE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73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BA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16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E6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&gt;31.0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8B02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&gt;630</w:t>
            </w:r>
          </w:p>
        </w:tc>
      </w:tr>
      <w:tr w:rsidR="00127208" w:rsidRPr="00A51F6F" w14:paraId="28D445EF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70D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83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EB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FC3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&gt;36.0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B37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&gt;720</w:t>
            </w:r>
          </w:p>
        </w:tc>
      </w:tr>
      <w:tr w:rsidR="00127208" w:rsidRPr="00A51F6F" w14:paraId="28FC52A8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9E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91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5F5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5C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&gt;40.0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D1CB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&gt;810</w:t>
            </w:r>
          </w:p>
        </w:tc>
      </w:tr>
      <w:tr w:rsidR="00127208" w:rsidRPr="00A51F6F" w14:paraId="2F796B35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EC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BD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F6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E6F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37B7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&gt;900</w:t>
            </w:r>
          </w:p>
        </w:tc>
      </w:tr>
      <w:tr w:rsidR="00127208" w:rsidRPr="00A51F6F" w14:paraId="6E732568" w14:textId="77777777" w:rsidTr="00D74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05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58E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75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85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6D5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&gt;990</w:t>
            </w:r>
          </w:p>
        </w:tc>
      </w:tr>
      <w:tr w:rsidR="00127208" w:rsidRPr="00A51F6F" w14:paraId="2BC1430D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F7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BE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2E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8B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8CC4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&gt;1080</w:t>
            </w:r>
          </w:p>
        </w:tc>
      </w:tr>
      <w:tr w:rsidR="00127208" w:rsidRPr="00A51F6F" w14:paraId="01A92811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95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A4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033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67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D41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&gt;1170</w:t>
            </w:r>
          </w:p>
        </w:tc>
      </w:tr>
      <w:tr w:rsidR="00127208" w:rsidRPr="00A51F6F" w14:paraId="358AC904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B3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D2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03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FC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2A18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&gt;1260</w:t>
            </w:r>
          </w:p>
        </w:tc>
      </w:tr>
      <w:tr w:rsidR="00127208" w:rsidRPr="00A51F6F" w14:paraId="1C7EC474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05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04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01C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EC2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7ADA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&gt;1350</w:t>
            </w:r>
          </w:p>
        </w:tc>
      </w:tr>
      <w:tr w:rsidR="00127208" w:rsidRPr="00A51F6F" w14:paraId="2A8311B1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60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30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C47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D88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D39E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&gt;1440</w:t>
            </w:r>
          </w:p>
        </w:tc>
      </w:tr>
      <w:tr w:rsidR="00127208" w:rsidRPr="00A51F6F" w14:paraId="7B3A2FA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7D1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B6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6D8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1D6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383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&gt;1530</w:t>
            </w:r>
          </w:p>
        </w:tc>
      </w:tr>
      <w:tr w:rsidR="00127208" w:rsidRPr="00A51F6F" w14:paraId="6A97CA55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1E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4B0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418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B28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DB9B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&gt;1620</w:t>
            </w:r>
          </w:p>
        </w:tc>
      </w:tr>
      <w:tr w:rsidR="00127208" w:rsidRPr="00A51F6F" w14:paraId="581FED8D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6F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C84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C92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691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45FD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&gt;1710</w:t>
            </w:r>
          </w:p>
        </w:tc>
      </w:tr>
      <w:tr w:rsidR="00127208" w:rsidRPr="00A51F6F" w14:paraId="4F5F423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109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417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167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B69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6CC9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&gt;1800</w:t>
            </w:r>
          </w:p>
        </w:tc>
      </w:tr>
      <w:tr w:rsidR="00127208" w:rsidRPr="00A51F6F" w14:paraId="21CE6D19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69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A2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E7F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B9F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FA19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&gt;1890</w:t>
            </w:r>
          </w:p>
        </w:tc>
      </w:tr>
      <w:tr w:rsidR="00127208" w:rsidRPr="00A51F6F" w14:paraId="02EEFA76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92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73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115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21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8D3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&gt;1980</w:t>
            </w:r>
          </w:p>
        </w:tc>
      </w:tr>
      <w:tr w:rsidR="00127208" w:rsidRPr="00A51F6F" w14:paraId="753AD44D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52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B3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750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7F6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E8FC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&gt;2070</w:t>
            </w:r>
          </w:p>
        </w:tc>
      </w:tr>
      <w:tr w:rsidR="00127208" w:rsidRPr="00A51F6F" w14:paraId="7B75BAA3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61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FA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601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D0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7949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&gt;2160</w:t>
            </w:r>
          </w:p>
        </w:tc>
      </w:tr>
      <w:tr w:rsidR="00127208" w:rsidRPr="00A51F6F" w14:paraId="607115D0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63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91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FB9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65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F051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&gt;2250</w:t>
            </w:r>
          </w:p>
        </w:tc>
      </w:tr>
      <w:tr w:rsidR="00127208" w:rsidRPr="00A51F6F" w14:paraId="439CC39E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3D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37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2E7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CB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FF3E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&gt;2340</w:t>
            </w:r>
          </w:p>
        </w:tc>
      </w:tr>
      <w:tr w:rsidR="00127208" w:rsidRPr="00A51F6F" w14:paraId="50ADD8E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2E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F5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1E5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4C0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2AAD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&gt;2430</w:t>
            </w:r>
          </w:p>
        </w:tc>
      </w:tr>
      <w:tr w:rsidR="00127208" w:rsidRPr="00A51F6F" w14:paraId="6FBAB658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2C1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44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D1E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C23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70A7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&gt;2520</w:t>
            </w:r>
          </w:p>
        </w:tc>
      </w:tr>
      <w:tr w:rsidR="00127208" w:rsidRPr="00A51F6F" w14:paraId="28918A2F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B9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FC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46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DA1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8163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&gt;2610</w:t>
            </w:r>
          </w:p>
        </w:tc>
      </w:tr>
      <w:tr w:rsidR="00127208" w:rsidRPr="00A51F6F" w14:paraId="6639835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10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67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4A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72B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45C5" w14:textId="77777777" w:rsidR="00127208" w:rsidRPr="008F4717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8F4717">
              <w:rPr>
                <w:rFonts w:ascii="Calibri" w:eastAsia="Times New Roman" w:hAnsi="Calibri" w:cs="Calibri"/>
                <w:lang w:eastAsia="en-AU"/>
              </w:rPr>
              <w:t>&gt;2700</w:t>
            </w:r>
          </w:p>
        </w:tc>
      </w:tr>
    </w:tbl>
    <w:p w14:paraId="477156BC" w14:textId="77777777" w:rsidR="00127208" w:rsidRPr="00A51F6F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</w:rPr>
      </w:pPr>
    </w:p>
    <w:p w14:paraId="62193CDE" w14:textId="77777777" w:rsidR="0012720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7D40F0EE" w14:textId="77777777" w:rsidR="00127208" w:rsidRPr="00304B6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 w:rsidRPr="00304B68">
        <w:rPr>
          <w:rFonts w:ascii="Calibri" w:hAnsi="Calibri" w:cs="Calibri"/>
          <w:sz w:val="22"/>
          <w:szCs w:val="22"/>
          <w:u w:val="single"/>
        </w:rPr>
        <w:lastRenderedPageBreak/>
        <w:t xml:space="preserve">Table </w:t>
      </w:r>
      <w:r>
        <w:rPr>
          <w:rFonts w:ascii="Calibri" w:hAnsi="Calibri" w:cs="Calibri"/>
          <w:sz w:val="22"/>
          <w:szCs w:val="22"/>
          <w:u w:val="single"/>
        </w:rPr>
        <w:t>3</w:t>
      </w:r>
      <w:r w:rsidRPr="00304B68">
        <w:rPr>
          <w:rFonts w:ascii="Calibri" w:hAnsi="Calibri" w:cs="Calibri"/>
          <w:sz w:val="22"/>
          <w:szCs w:val="22"/>
          <w:u w:val="single"/>
        </w:rPr>
        <w:t>: HSR Baseline Points for Category 1D Beverages, 2 or 2D Foods</w:t>
      </w:r>
      <w:r>
        <w:rPr>
          <w:rFonts w:ascii="Calibri" w:hAnsi="Calibri" w:cs="Calibri"/>
          <w:sz w:val="22"/>
          <w:szCs w:val="22"/>
          <w:u w:val="single"/>
        </w:rPr>
        <w:t xml:space="preserve"> – stronger penalty for total sugars and sodium</w:t>
      </w:r>
    </w:p>
    <w:tbl>
      <w:tblPr>
        <w:tblW w:w="9498" w:type="dxa"/>
        <w:tblInd w:w="-5" w:type="dxa"/>
        <w:tblLook w:val="04A0" w:firstRow="1" w:lastRow="0" w:firstColumn="1" w:lastColumn="0" w:noHBand="0" w:noVBand="1"/>
        <w:tblCaption w:val="Table 3"/>
        <w:tblDescription w:val="Table 3 shows the alternative range of baseline points achievable for Category 1D, 2 or 2D foods with the Health Star Rating Calculator. A maximum of 11 baseline points are achievable for energy, 30 points for total sugars, 30 points for saturated fat and 30 points for sodium."/>
      </w:tblPr>
      <w:tblGrid>
        <w:gridCol w:w="960"/>
        <w:gridCol w:w="1875"/>
        <w:gridCol w:w="2127"/>
        <w:gridCol w:w="2401"/>
        <w:gridCol w:w="2135"/>
      </w:tblGrid>
      <w:tr w:rsidR="00127208" w:rsidRPr="00A51F6F" w14:paraId="6D990BBC" w14:textId="77777777" w:rsidTr="00474DDA">
        <w:trPr>
          <w:trHeight w:val="69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3F6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HSR baseline points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49E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energy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content (kJ) per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100 g or 100 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697B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saturated fatty acids (g) per 100 g or 100 mL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637D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total sugars (g) per 100 g or 100 mL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0AE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sodium (mg) per 100 g or 100 mL</w:t>
            </w:r>
          </w:p>
        </w:tc>
      </w:tr>
      <w:tr w:rsidR="009A7102" w:rsidRPr="00A51F6F" w14:paraId="1990A688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1FA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3A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98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FEF5" w14:textId="6B7D5F7B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≤5.00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62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</w:t>
            </w:r>
            <w:r w:rsidRPr="00A51F6F">
              <w:rPr>
                <w:rFonts w:ascii="Calibri" w:eastAsia="Times New Roman" w:hAnsi="Calibri" w:cs="Calibri"/>
                <w:lang w:val="en-GB" w:eastAsia="en-AU"/>
              </w:rPr>
              <w:t>75</w:t>
            </w:r>
          </w:p>
        </w:tc>
      </w:tr>
      <w:tr w:rsidR="009A7102" w:rsidRPr="00A51F6F" w14:paraId="3AC77877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C4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52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3F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282C" w14:textId="720B0B0B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EEB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&gt;75</w:t>
            </w:r>
          </w:p>
        </w:tc>
      </w:tr>
      <w:tr w:rsidR="009A7102" w:rsidRPr="00A51F6F" w14:paraId="3FA73A23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2B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6B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65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8343" w14:textId="7E8E389E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6D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&gt;150</w:t>
            </w:r>
          </w:p>
        </w:tc>
      </w:tr>
      <w:tr w:rsidR="009A7102" w:rsidRPr="00A51F6F" w14:paraId="4DCDA887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FF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0D7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9C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D3C9" w14:textId="0FC1C44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&gt;11.5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FA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&gt;225</w:t>
            </w:r>
          </w:p>
        </w:tc>
      </w:tr>
      <w:tr w:rsidR="009A7102" w:rsidRPr="00A51F6F" w14:paraId="0AAF06CF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43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F1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D9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0FE4" w14:textId="12444863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&gt;14.7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38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&gt;300</w:t>
            </w:r>
          </w:p>
        </w:tc>
      </w:tr>
      <w:tr w:rsidR="009A7102" w:rsidRPr="00A51F6F" w14:paraId="4EADA0F4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D3B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CD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57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6B6F" w14:textId="063E4AF0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&gt;18.0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3C7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&gt;375</w:t>
            </w:r>
          </w:p>
        </w:tc>
      </w:tr>
      <w:tr w:rsidR="009A7102" w:rsidRPr="00A51F6F" w14:paraId="5CDF0B86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BA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04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4D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CAFD" w14:textId="4F21415A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&gt;21.2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3F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&gt;450</w:t>
            </w:r>
          </w:p>
        </w:tc>
      </w:tr>
      <w:tr w:rsidR="009A7102" w:rsidRPr="00A51F6F" w14:paraId="12F85001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033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737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F9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A201" w14:textId="09368474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&gt;24.5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44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&gt;525</w:t>
            </w:r>
          </w:p>
        </w:tc>
      </w:tr>
      <w:tr w:rsidR="009A7102" w:rsidRPr="00A51F6F" w14:paraId="70EB5494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70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80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E7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E87D" w14:textId="65464EFD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&gt;27.7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92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&gt;600</w:t>
            </w:r>
          </w:p>
        </w:tc>
      </w:tr>
      <w:tr w:rsidR="009A7102" w:rsidRPr="00A51F6F" w14:paraId="3194C381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96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79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8E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2838" w14:textId="2615ECBD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&gt;30.9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CA6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&gt;675</w:t>
            </w:r>
          </w:p>
        </w:tc>
      </w:tr>
      <w:tr w:rsidR="009A7102" w:rsidRPr="00A51F6F" w14:paraId="1D40939B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4C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D9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483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35C1" w14:textId="3E297E0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&gt;34.2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A2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&gt;750</w:t>
            </w:r>
          </w:p>
        </w:tc>
      </w:tr>
      <w:tr w:rsidR="009A7102" w:rsidRPr="00A51F6F" w14:paraId="6D04456F" w14:textId="77777777" w:rsidTr="008B42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EE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78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DF8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&gt;11.2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424B" w14:textId="72B7D3D4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&gt;37.4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019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&gt;825</w:t>
            </w:r>
          </w:p>
        </w:tc>
      </w:tr>
      <w:tr w:rsidR="009A7102" w:rsidRPr="00A51F6F" w14:paraId="370F39DE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5C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E73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60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&gt;12.5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A885" w14:textId="568A08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&gt;40.7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3D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&gt;900</w:t>
            </w:r>
          </w:p>
        </w:tc>
      </w:tr>
      <w:tr w:rsidR="009A7102" w:rsidRPr="00A51F6F" w14:paraId="56E1B1EB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8E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65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07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&gt;13.9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D874" w14:textId="57296BAE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&gt;43.9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3B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&gt;975</w:t>
            </w:r>
          </w:p>
        </w:tc>
      </w:tr>
      <w:tr w:rsidR="009A7102" w:rsidRPr="00A51F6F" w14:paraId="542BD1AE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69A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B8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C8B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&gt;15.5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31AD" w14:textId="1C4E8D92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&gt;47.1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AA3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&gt;1050</w:t>
            </w:r>
          </w:p>
        </w:tc>
      </w:tr>
      <w:tr w:rsidR="009A7102" w:rsidRPr="00A51F6F" w14:paraId="6FA02F9A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33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AF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55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&gt;17.3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E9FD" w14:textId="07E05F6A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&gt;50.4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A4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&gt;1125</w:t>
            </w:r>
          </w:p>
        </w:tc>
      </w:tr>
      <w:tr w:rsidR="009A7102" w:rsidRPr="00A51F6F" w14:paraId="72416067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76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9B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A9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&gt;19.3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2E86" w14:textId="6B956F79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&gt;53.6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D53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&gt;1200</w:t>
            </w:r>
          </w:p>
        </w:tc>
      </w:tr>
      <w:tr w:rsidR="009A7102" w:rsidRPr="00A51F6F" w14:paraId="03BBB639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4C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6C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EB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&gt;21.6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4301" w14:textId="2C93A73C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&gt;56.9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A9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&gt;1275</w:t>
            </w:r>
          </w:p>
        </w:tc>
      </w:tr>
      <w:tr w:rsidR="009A7102" w:rsidRPr="00A51F6F" w14:paraId="0392EB12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A2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7E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12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&gt;24.1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3FA7" w14:textId="497FACAC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&gt;60.1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A2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bookmarkStart w:id="1" w:name="_GoBack"/>
            <w:bookmarkEnd w:id="1"/>
            <w:r w:rsidRPr="00A51F6F">
              <w:rPr>
                <w:rFonts w:ascii="Calibri" w:eastAsia="Times New Roman" w:hAnsi="Calibri" w:cs="Calibri"/>
                <w:lang w:val="en-GB" w:eastAsia="en-AU"/>
              </w:rPr>
              <w:t>&gt;1350</w:t>
            </w:r>
          </w:p>
        </w:tc>
      </w:tr>
      <w:tr w:rsidR="009A7102" w:rsidRPr="00A51F6F" w14:paraId="68495519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BE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03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EF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&gt;26.9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0755" w14:textId="018B31C4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&gt;63.4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8E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&gt;1425</w:t>
            </w:r>
          </w:p>
        </w:tc>
      </w:tr>
      <w:tr w:rsidR="009A7102" w:rsidRPr="00A51F6F" w14:paraId="3FE451DC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3D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7A8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A15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635E" w14:textId="3EB79D39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&gt;66.6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23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&gt;1500</w:t>
            </w:r>
          </w:p>
        </w:tc>
      </w:tr>
      <w:tr w:rsidR="009A7102" w:rsidRPr="00A51F6F" w14:paraId="38C8621F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98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99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6A3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DF4A" w14:textId="0EE3A4C2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&gt;69.8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FCF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&gt;1575</w:t>
            </w:r>
          </w:p>
        </w:tc>
      </w:tr>
      <w:tr w:rsidR="009A7102" w:rsidRPr="00A51F6F" w14:paraId="206C28A3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E6B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2F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29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&gt;37.4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2760" w14:textId="4B65A08D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&gt;73.1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80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&gt;1650</w:t>
            </w:r>
          </w:p>
        </w:tc>
      </w:tr>
      <w:tr w:rsidR="009A7102" w:rsidRPr="00A51F6F" w14:paraId="2159DC1D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E1E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AF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99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&gt;41.7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690C" w14:textId="1C0CC10E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&gt;76.3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9B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&gt;1725</w:t>
            </w:r>
          </w:p>
        </w:tc>
      </w:tr>
      <w:tr w:rsidR="009A7102" w:rsidRPr="00A51F6F" w14:paraId="6CE2A0AB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DB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EF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DE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&gt;46.6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3B12" w14:textId="14086B6F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&gt;79.6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E3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&gt;1800</w:t>
            </w:r>
          </w:p>
        </w:tc>
      </w:tr>
      <w:tr w:rsidR="009A7102" w:rsidRPr="00A51F6F" w14:paraId="0E75B045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C4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8E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ED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5429" w14:textId="14C4BCE4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&gt;82.8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99B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&gt;1875</w:t>
            </w:r>
          </w:p>
        </w:tc>
      </w:tr>
      <w:tr w:rsidR="009A7102" w:rsidRPr="00A51F6F" w14:paraId="11F31E01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AEA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78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47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497A" w14:textId="42AFB47D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&gt;86.0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BBC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&gt;1950</w:t>
            </w:r>
          </w:p>
        </w:tc>
      </w:tr>
      <w:tr w:rsidR="009A7102" w:rsidRPr="00A51F6F" w14:paraId="21F82C7F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100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F29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0A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&gt;64.7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B13C" w14:textId="06159776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&gt;89.3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15C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&gt;2025</w:t>
            </w:r>
          </w:p>
        </w:tc>
      </w:tr>
      <w:tr w:rsidR="009A7102" w:rsidRPr="00A51F6F" w14:paraId="4EF0BD14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181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2A2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39B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&gt;72.3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D46E" w14:textId="55EAC3FD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&gt;92.5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D96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&gt;2100</w:t>
            </w:r>
          </w:p>
        </w:tc>
      </w:tr>
      <w:tr w:rsidR="009A7102" w:rsidRPr="00A51F6F" w14:paraId="0E975A60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AD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4407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83A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&gt;80.6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7A77" w14:textId="4A15C694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&gt;95.8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DFF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&gt;2175</w:t>
            </w:r>
          </w:p>
        </w:tc>
      </w:tr>
      <w:tr w:rsidR="009A7102" w:rsidRPr="00A51F6F" w14:paraId="6CCC41DE" w14:textId="77777777" w:rsidTr="008B4284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A55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754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34D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605" w14:textId="200625D0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&gt;99.0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EBC" w14:textId="77777777" w:rsidR="009A7102" w:rsidRPr="00A51F6F" w:rsidRDefault="009A7102" w:rsidP="009A7102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&gt;2250</w:t>
            </w:r>
          </w:p>
        </w:tc>
      </w:tr>
    </w:tbl>
    <w:p w14:paraId="7307DE1A" w14:textId="77777777" w:rsidR="0012720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</w:p>
    <w:p w14:paraId="0FE08069" w14:textId="77777777" w:rsidR="0012720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32AB0474" w14:textId="77777777" w:rsidR="00127208" w:rsidRPr="00304B6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 w:rsidRPr="00304B68">
        <w:rPr>
          <w:rFonts w:ascii="Calibri" w:hAnsi="Calibri" w:cs="Calibri"/>
          <w:sz w:val="22"/>
          <w:szCs w:val="22"/>
          <w:u w:val="single"/>
        </w:rPr>
        <w:lastRenderedPageBreak/>
        <w:t xml:space="preserve">Table </w:t>
      </w:r>
      <w:r>
        <w:rPr>
          <w:rFonts w:ascii="Calibri" w:hAnsi="Calibri" w:cs="Calibri"/>
          <w:sz w:val="22"/>
          <w:szCs w:val="22"/>
          <w:u w:val="single"/>
        </w:rPr>
        <w:t>4</w:t>
      </w:r>
      <w:r w:rsidRPr="00304B68">
        <w:rPr>
          <w:rFonts w:ascii="Calibri" w:hAnsi="Calibri" w:cs="Calibri"/>
          <w:sz w:val="22"/>
          <w:szCs w:val="22"/>
          <w:u w:val="single"/>
        </w:rPr>
        <w:t>: HSR Baseline Points for Category 3 or 3D Foods</w:t>
      </w:r>
      <w:r>
        <w:rPr>
          <w:rFonts w:ascii="Calibri" w:hAnsi="Calibri" w:cs="Calibri"/>
          <w:sz w:val="22"/>
          <w:szCs w:val="22"/>
          <w:u w:val="single"/>
        </w:rPr>
        <w:t xml:space="preserve"> – stronger penalty for sodium</w:t>
      </w:r>
    </w:p>
    <w:tbl>
      <w:tblPr>
        <w:tblW w:w="9498" w:type="dxa"/>
        <w:tblInd w:w="-5" w:type="dxa"/>
        <w:tblLook w:val="04A0" w:firstRow="1" w:lastRow="0" w:firstColumn="1" w:lastColumn="0" w:noHBand="0" w:noVBand="1"/>
        <w:tblCaption w:val="Table 4"/>
        <w:tblDescription w:val="Table 4 shows the alternative range of baseline points achievable for Category 3 and 3D foods with the Health Star Rating Calculator. A maximum of 11 baseline points are achievable for energy, 10 points for total sugars, 30 points for saturated fat and 30 points for sodium."/>
      </w:tblPr>
      <w:tblGrid>
        <w:gridCol w:w="960"/>
        <w:gridCol w:w="1875"/>
        <w:gridCol w:w="2127"/>
        <w:gridCol w:w="2401"/>
        <w:gridCol w:w="2135"/>
      </w:tblGrid>
      <w:tr w:rsidR="00127208" w:rsidRPr="00A51F6F" w14:paraId="37E61D7E" w14:textId="77777777" w:rsidTr="00474DDA">
        <w:trPr>
          <w:trHeight w:val="69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47B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 xml:space="preserve">HSR baseline points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151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energy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content (kJ) per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100 g or 100 mL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3A13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saturated fatty acids (g) per 100 g or 100 mL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C93D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total sugars (g) per 100 g or 100 mL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F6F0" w14:textId="77777777" w:rsidR="00127208" w:rsidRPr="00A51F6F" w:rsidRDefault="00127208" w:rsidP="00D74D4D">
            <w:pPr>
              <w:spacing w:before="120" w:after="12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sodium (mg) per 100 g or 100 mL</w:t>
            </w:r>
          </w:p>
        </w:tc>
      </w:tr>
      <w:tr w:rsidR="00127208" w:rsidRPr="00A51F6F" w14:paraId="292EABCA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4F7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9F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F4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81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A6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</w:t>
            </w:r>
            <w:r w:rsidRPr="00A51F6F">
              <w:rPr>
                <w:rFonts w:ascii="Calibri" w:eastAsia="Times New Roman" w:hAnsi="Calibri" w:cs="Calibri"/>
                <w:lang w:val="en-GB" w:eastAsia="en-AU"/>
              </w:rPr>
              <w:t>75</w:t>
            </w:r>
          </w:p>
        </w:tc>
      </w:tr>
      <w:tr w:rsidR="00127208" w:rsidRPr="00A51F6F" w14:paraId="0D263441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21F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32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BE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E2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A0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&gt;75</w:t>
            </w:r>
          </w:p>
        </w:tc>
      </w:tr>
      <w:tr w:rsidR="00127208" w:rsidRPr="00A51F6F" w14:paraId="27164875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8F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9F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54A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1C3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DB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&gt;150</w:t>
            </w:r>
          </w:p>
        </w:tc>
      </w:tr>
      <w:tr w:rsidR="00127208" w:rsidRPr="00A51F6F" w14:paraId="17996F48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E7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3C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44A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3E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34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&gt;225</w:t>
            </w:r>
          </w:p>
        </w:tc>
      </w:tr>
      <w:tr w:rsidR="00127208" w:rsidRPr="00A51F6F" w14:paraId="2FAA6FCA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D16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73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18F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0C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&gt;18.0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AC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&gt;300</w:t>
            </w:r>
          </w:p>
        </w:tc>
      </w:tr>
      <w:tr w:rsidR="00127208" w:rsidRPr="00A51F6F" w14:paraId="7D0251A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D6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A5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30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E66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&gt;22.5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D8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&gt;375</w:t>
            </w:r>
          </w:p>
        </w:tc>
      </w:tr>
      <w:tr w:rsidR="00127208" w:rsidRPr="00A51F6F" w14:paraId="3F62907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251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1D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96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A68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&gt;27.0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B7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&gt;450</w:t>
            </w:r>
          </w:p>
        </w:tc>
      </w:tr>
      <w:tr w:rsidR="00127208" w:rsidRPr="00A51F6F" w14:paraId="47FA5098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2C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81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A1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9A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&gt;31.0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F7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&gt;525</w:t>
            </w:r>
          </w:p>
        </w:tc>
      </w:tr>
      <w:tr w:rsidR="00127208" w:rsidRPr="00A51F6F" w14:paraId="0D27DAA7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FA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4E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D5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806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&gt;36.0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1E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&gt;600</w:t>
            </w:r>
          </w:p>
        </w:tc>
      </w:tr>
      <w:tr w:rsidR="00127208" w:rsidRPr="00A51F6F" w14:paraId="32621C2B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0D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CA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17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71D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&gt;40.0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2E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&gt;675</w:t>
            </w:r>
          </w:p>
        </w:tc>
      </w:tr>
      <w:tr w:rsidR="00127208" w:rsidRPr="00A51F6F" w14:paraId="35D1BB4B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710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6A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E3E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CF7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&gt;45.0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64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&gt;750</w:t>
            </w:r>
          </w:p>
        </w:tc>
      </w:tr>
      <w:tr w:rsidR="00127208" w:rsidRPr="00A51F6F" w14:paraId="77CAA81E" w14:textId="77777777" w:rsidTr="00D74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57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CB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30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86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5B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&gt;825</w:t>
            </w:r>
          </w:p>
        </w:tc>
      </w:tr>
      <w:tr w:rsidR="00127208" w:rsidRPr="00A51F6F" w14:paraId="7325435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F2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FE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9B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638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40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&gt;900</w:t>
            </w:r>
          </w:p>
        </w:tc>
      </w:tr>
      <w:tr w:rsidR="00127208" w:rsidRPr="00A51F6F" w14:paraId="7F1925AF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0C5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ED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23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 &gt;13.0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D7A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E3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&gt;975</w:t>
            </w:r>
          </w:p>
        </w:tc>
      </w:tr>
      <w:tr w:rsidR="00127208" w:rsidRPr="00A51F6F" w14:paraId="143035DA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56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6F5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5D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FBC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21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&gt;1050</w:t>
            </w:r>
          </w:p>
        </w:tc>
      </w:tr>
      <w:tr w:rsidR="00127208" w:rsidRPr="00A51F6F" w14:paraId="0113A584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AB9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69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AB8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8A3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1C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&gt;1125</w:t>
            </w:r>
          </w:p>
        </w:tc>
      </w:tr>
      <w:tr w:rsidR="00127208" w:rsidRPr="00A51F6F" w14:paraId="61F19BF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85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51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55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E63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37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&gt;1200</w:t>
            </w:r>
          </w:p>
        </w:tc>
      </w:tr>
      <w:tr w:rsidR="00127208" w:rsidRPr="00A51F6F" w14:paraId="4F71A953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0F0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7E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571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EF4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CD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&gt;1275</w:t>
            </w:r>
          </w:p>
        </w:tc>
      </w:tr>
      <w:tr w:rsidR="00127208" w:rsidRPr="00A51F6F" w14:paraId="4C6E4D09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57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085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03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4CD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63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&gt;1350</w:t>
            </w:r>
          </w:p>
        </w:tc>
      </w:tr>
      <w:tr w:rsidR="00127208" w:rsidRPr="00A51F6F" w14:paraId="3AD1E0A4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2B6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10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21D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265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34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&gt;1425</w:t>
            </w:r>
          </w:p>
        </w:tc>
      </w:tr>
      <w:tr w:rsidR="00127208" w:rsidRPr="00A51F6F" w14:paraId="0F491878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F7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AB9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E53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0F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56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&gt;1500</w:t>
            </w:r>
          </w:p>
        </w:tc>
      </w:tr>
      <w:tr w:rsidR="00127208" w:rsidRPr="00A51F6F" w14:paraId="5E6B2C3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AF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687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465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&gt;21.0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B08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9E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&gt;1575</w:t>
            </w:r>
          </w:p>
        </w:tc>
      </w:tr>
      <w:tr w:rsidR="00127208" w:rsidRPr="00A51F6F" w14:paraId="72580762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F4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62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08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&gt;22.0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509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1AE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&gt;1650</w:t>
            </w:r>
          </w:p>
        </w:tc>
      </w:tr>
      <w:tr w:rsidR="00127208" w:rsidRPr="00A51F6F" w14:paraId="4C4677B8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C2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78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11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&gt;23.0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027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D5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&gt;1725</w:t>
            </w:r>
          </w:p>
        </w:tc>
      </w:tr>
      <w:tr w:rsidR="00127208" w:rsidRPr="00A51F6F" w14:paraId="1A794460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D0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D1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C68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&gt;24.0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86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8C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&gt;1800</w:t>
            </w:r>
          </w:p>
        </w:tc>
      </w:tr>
      <w:tr w:rsidR="00127208" w:rsidRPr="00A51F6F" w14:paraId="4B88AD13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E36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52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070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&gt;25.0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231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56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&gt;1875</w:t>
            </w:r>
          </w:p>
        </w:tc>
      </w:tr>
      <w:tr w:rsidR="00127208" w:rsidRPr="00A51F6F" w14:paraId="3FDEB854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E9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91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78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&gt;26.0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96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7C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&gt;1950</w:t>
            </w:r>
          </w:p>
        </w:tc>
      </w:tr>
      <w:tr w:rsidR="00127208" w:rsidRPr="00A51F6F" w14:paraId="5DA9D193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4D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E5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FC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&gt;27.0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48A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20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&gt;2025</w:t>
            </w:r>
          </w:p>
        </w:tc>
      </w:tr>
      <w:tr w:rsidR="00127208" w:rsidRPr="00A51F6F" w14:paraId="46BD2CE7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0F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1D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A3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&gt;28.0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059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36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&gt;2100</w:t>
            </w:r>
          </w:p>
        </w:tc>
      </w:tr>
      <w:tr w:rsidR="00127208" w:rsidRPr="00A51F6F" w14:paraId="7E392B6C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31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F0A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5C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&gt;29.0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47F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4B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&gt;2175</w:t>
            </w:r>
          </w:p>
        </w:tc>
      </w:tr>
      <w:tr w:rsidR="00127208" w:rsidRPr="00A51F6F" w14:paraId="41FBF11D" w14:textId="77777777" w:rsidTr="00D74D4D">
        <w:trPr>
          <w:trHeight w:val="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5D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03B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05C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&gt;30.0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7B8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3C1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val="en-GB" w:eastAsia="en-AU"/>
              </w:rPr>
              <w:t>&gt;2250</w:t>
            </w:r>
          </w:p>
        </w:tc>
      </w:tr>
    </w:tbl>
    <w:p w14:paraId="795DB16F" w14:textId="77777777" w:rsidR="00127208" w:rsidRPr="00A51F6F" w:rsidRDefault="00127208" w:rsidP="0012720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alibri" w:hAnsi="Calibri" w:cs="Calibri"/>
          <w:sz w:val="22"/>
          <w:szCs w:val="22"/>
        </w:rPr>
      </w:pPr>
    </w:p>
    <w:p w14:paraId="1A6CEF9B" w14:textId="77777777" w:rsidR="00127208" w:rsidRPr="00A51F6F" w:rsidRDefault="00127208" w:rsidP="00127208">
      <w:pPr>
        <w:pStyle w:val="NormalWeb"/>
        <w:shd w:val="clear" w:color="auto" w:fill="FFFFFF"/>
        <w:spacing w:before="0" w:beforeAutospacing="0" w:after="60" w:afterAutospacing="0" w:line="300" w:lineRule="atLeast"/>
        <w:rPr>
          <w:rFonts w:ascii="Calibri" w:hAnsi="Calibri" w:cs="Calibri"/>
          <w:sz w:val="22"/>
          <w:szCs w:val="22"/>
        </w:rPr>
      </w:pPr>
      <w:r w:rsidRPr="00A51F6F">
        <w:rPr>
          <w:rFonts w:ascii="Calibri" w:hAnsi="Calibri" w:cs="Calibri"/>
          <w:sz w:val="22"/>
          <w:szCs w:val="22"/>
        </w:rPr>
        <w:br w:type="page"/>
      </w:r>
    </w:p>
    <w:p w14:paraId="6030BF95" w14:textId="77777777" w:rsidR="00127208" w:rsidRPr="00304B68" w:rsidRDefault="00127208" w:rsidP="00127208">
      <w:pPr>
        <w:pStyle w:val="NormalWeb"/>
        <w:shd w:val="clear" w:color="auto" w:fill="FFFFFF"/>
        <w:spacing w:before="240" w:beforeAutospacing="0" w:after="120" w:afterAutospacing="0" w:line="300" w:lineRule="atLeast"/>
        <w:rPr>
          <w:rFonts w:ascii="Calibri" w:hAnsi="Calibri" w:cs="Calibri"/>
          <w:sz w:val="22"/>
          <w:szCs w:val="22"/>
          <w:u w:val="single"/>
        </w:rPr>
      </w:pPr>
      <w:r w:rsidRPr="00304B68">
        <w:rPr>
          <w:rFonts w:ascii="Calibri" w:hAnsi="Calibri" w:cs="Calibri"/>
          <w:sz w:val="22"/>
          <w:szCs w:val="22"/>
          <w:u w:val="single"/>
        </w:rPr>
        <w:lastRenderedPageBreak/>
        <w:t xml:space="preserve">Table </w:t>
      </w:r>
      <w:r>
        <w:rPr>
          <w:rFonts w:ascii="Calibri" w:hAnsi="Calibri" w:cs="Calibri"/>
          <w:sz w:val="22"/>
          <w:szCs w:val="22"/>
          <w:u w:val="single"/>
        </w:rPr>
        <w:t>5</w:t>
      </w:r>
      <w:r w:rsidRPr="00304B68">
        <w:rPr>
          <w:rFonts w:ascii="Calibri" w:hAnsi="Calibri" w:cs="Calibri"/>
          <w:sz w:val="22"/>
          <w:szCs w:val="22"/>
          <w:u w:val="single"/>
        </w:rPr>
        <w:t>: HSR Baseline and Modifying Points for Category 1 Beverages (non-dairy)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5"/>
        <w:tblDescription w:val="Table 5 shows the range of baseline and modifying points achievable for Category 1 beverages under the Health Star Rating Calculator. A maximum of 10 baseline points are achievable for energy, 10 baseline points for total sugars, and 10 modifying points for fruit and vegetable content."/>
      </w:tblPr>
      <w:tblGrid>
        <w:gridCol w:w="1134"/>
        <w:gridCol w:w="1985"/>
        <w:gridCol w:w="1984"/>
        <w:gridCol w:w="426"/>
        <w:gridCol w:w="1984"/>
        <w:gridCol w:w="1985"/>
      </w:tblGrid>
      <w:tr w:rsidR="00127208" w:rsidRPr="00A51F6F" w14:paraId="2DF33620" w14:textId="77777777" w:rsidTr="00474DDA">
        <w:trPr>
          <w:trHeight w:val="699"/>
          <w:tblHeader/>
        </w:trPr>
        <w:tc>
          <w:tcPr>
            <w:tcW w:w="1134" w:type="dxa"/>
            <w:shd w:val="clear" w:color="auto" w:fill="auto"/>
            <w:vAlign w:val="center"/>
            <w:hideMark/>
          </w:tcPr>
          <w:p w14:paraId="4932B2C3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HSR baseline points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00B171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energy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content (kJ) per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100 mL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40448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Average total sugars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content (g) per</w:t>
            </w:r>
            <w:r w:rsidRPr="00A51F6F">
              <w:rPr>
                <w:rFonts w:ascii="Calibri" w:eastAsia="Times New Roman" w:hAnsi="Calibri" w:cs="Calibri"/>
                <w:lang w:eastAsia="en-AU"/>
              </w:rPr>
              <w:br/>
              <w:t>100 mL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1BE5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34BDC95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HSR modifying points</w:t>
            </w:r>
          </w:p>
        </w:tc>
        <w:tc>
          <w:tcPr>
            <w:tcW w:w="1985" w:type="dxa"/>
            <w:shd w:val="clear" w:color="auto" w:fill="auto"/>
          </w:tcPr>
          <w:p w14:paraId="505A2967" w14:textId="77777777" w:rsidR="00127208" w:rsidRPr="00A51F6F" w:rsidRDefault="00127208" w:rsidP="00D74D4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Fruit and Vegetable content (%)</w:t>
            </w:r>
          </w:p>
        </w:tc>
      </w:tr>
      <w:tr w:rsidR="00127208" w:rsidRPr="00A51F6F" w14:paraId="29E393F3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6703E1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0A073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≤1.1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3982E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≤0.1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F66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6912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3B66C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&lt;25</w:t>
            </w:r>
          </w:p>
        </w:tc>
      </w:tr>
      <w:tr w:rsidR="00127208" w:rsidRPr="00A51F6F" w14:paraId="1EFA8FA9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AAFA41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363BB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&gt;1.1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E2BB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&gt;0.1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F902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8FF8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7ED69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≥25</w:t>
            </w:r>
          </w:p>
        </w:tc>
      </w:tr>
      <w:tr w:rsidR="00127208" w:rsidRPr="00A51F6F" w14:paraId="4BE6DF7C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D65FA1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38514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39DA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&gt;1.6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459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08CD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08D52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≥33</w:t>
            </w:r>
          </w:p>
        </w:tc>
      </w:tr>
      <w:tr w:rsidR="00127208" w:rsidRPr="00A51F6F" w14:paraId="7A96403C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318847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9EC31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242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&gt;3.1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3F0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157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9491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≥41</w:t>
            </w:r>
          </w:p>
        </w:tc>
      </w:tr>
      <w:tr w:rsidR="00127208" w:rsidRPr="00A51F6F" w14:paraId="4E28ABEA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12B3D2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6B91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7AE2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&gt;4.6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0DF3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11587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3CB3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≥49</w:t>
            </w:r>
          </w:p>
        </w:tc>
      </w:tr>
      <w:tr w:rsidR="00127208" w:rsidRPr="00A51F6F" w14:paraId="76B96C17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958183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682A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FE84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&gt;6.1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E1BC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C2EB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89CF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≥57</w:t>
            </w:r>
          </w:p>
        </w:tc>
      </w:tr>
      <w:tr w:rsidR="00127208" w:rsidRPr="00A51F6F" w14:paraId="3365EF5C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274A47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D5671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056E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&gt;7.6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110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0C7A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D74B0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≥65</w:t>
            </w:r>
          </w:p>
        </w:tc>
      </w:tr>
      <w:tr w:rsidR="00127208" w:rsidRPr="00A51F6F" w14:paraId="12B476E4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89C6F8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F05A6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&gt;181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8A452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&gt;9.1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4B0A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A193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51F75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≥73</w:t>
            </w:r>
          </w:p>
        </w:tc>
      </w:tr>
      <w:tr w:rsidR="00127208" w:rsidRPr="00A51F6F" w14:paraId="1BD1194E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041C2D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BE2C1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6F89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&gt;10.6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1AC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9D7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54E14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≥81</w:t>
            </w:r>
          </w:p>
        </w:tc>
      </w:tr>
      <w:tr w:rsidR="00127208" w:rsidRPr="00A51F6F" w14:paraId="409D1F33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FC4761D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419E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&gt;241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21420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&gt;12.1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D06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B371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D8ED3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≥89</w:t>
            </w:r>
          </w:p>
        </w:tc>
      </w:tr>
      <w:tr w:rsidR="00127208" w:rsidRPr="00A51F6F" w14:paraId="6DF2E197" w14:textId="77777777" w:rsidTr="00D74D4D">
        <w:trPr>
          <w:trHeight w:val="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6C2CC9B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0316C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&gt;271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4D148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&gt;13.6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D70DA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F2FC9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934FF" w14:textId="77777777" w:rsidR="00127208" w:rsidRPr="00A51F6F" w:rsidRDefault="00127208" w:rsidP="00D74D4D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A51F6F">
              <w:rPr>
                <w:rFonts w:ascii="Calibri" w:eastAsia="Times New Roman" w:hAnsi="Calibri" w:cs="Calibri"/>
                <w:lang w:eastAsia="en-AU"/>
              </w:rPr>
              <w:t>≥96</w:t>
            </w:r>
          </w:p>
        </w:tc>
      </w:tr>
    </w:tbl>
    <w:p w14:paraId="19C55E96" w14:textId="77777777" w:rsidR="00127208" w:rsidRPr="00304B68" w:rsidRDefault="00127208" w:rsidP="00127208">
      <w:pPr>
        <w:spacing w:before="240" w:after="120"/>
        <w:rPr>
          <w:rFonts w:ascii="Calibri" w:hAnsi="Calibri" w:cs="Calibri"/>
          <w:u w:val="single"/>
        </w:rPr>
      </w:pPr>
      <w:r w:rsidRPr="00304B68">
        <w:rPr>
          <w:rFonts w:ascii="Calibri" w:hAnsi="Calibri" w:cs="Calibri"/>
          <w:u w:val="single"/>
        </w:rPr>
        <w:t xml:space="preserve">Table </w:t>
      </w:r>
      <w:r>
        <w:rPr>
          <w:rFonts w:ascii="Calibri" w:hAnsi="Calibri" w:cs="Calibri"/>
          <w:u w:val="single"/>
        </w:rPr>
        <w:t>6</w:t>
      </w:r>
      <w:r w:rsidRPr="00304B68">
        <w:rPr>
          <w:rFonts w:ascii="Calibri" w:hAnsi="Calibri" w:cs="Calibri"/>
          <w:u w:val="single"/>
        </w:rPr>
        <w:t>: Assignment of a rating to product based on the final HSR score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6"/>
        <w:tblDescription w:val="Table 6 shows the final Health Star Rating Calculator scores that are used to assign Health Star Ratings across the 6 different food product categories.&#10;"/>
      </w:tblPr>
      <w:tblGrid>
        <w:gridCol w:w="1055"/>
        <w:gridCol w:w="1244"/>
        <w:gridCol w:w="1354"/>
        <w:gridCol w:w="1216"/>
        <w:gridCol w:w="1327"/>
        <w:gridCol w:w="1217"/>
        <w:gridCol w:w="1647"/>
      </w:tblGrid>
      <w:tr w:rsidR="00127208" w:rsidRPr="00A51F6F" w14:paraId="52EF3F3D" w14:textId="77777777" w:rsidTr="00474DDA">
        <w:trPr>
          <w:tblHeader/>
        </w:trPr>
        <w:tc>
          <w:tcPr>
            <w:tcW w:w="1129" w:type="dxa"/>
          </w:tcPr>
          <w:p w14:paraId="43CA565E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Health Star Rating</w:t>
            </w:r>
          </w:p>
        </w:tc>
        <w:tc>
          <w:tcPr>
            <w:tcW w:w="1276" w:type="dxa"/>
          </w:tcPr>
          <w:p w14:paraId="44601EA1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Category 1</w:t>
            </w:r>
          </w:p>
          <w:p w14:paraId="3683CF18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Non-Dairy Beverages</w:t>
            </w:r>
          </w:p>
        </w:tc>
        <w:tc>
          <w:tcPr>
            <w:tcW w:w="1418" w:type="dxa"/>
          </w:tcPr>
          <w:p w14:paraId="79ACA5EE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Category 1D</w:t>
            </w:r>
          </w:p>
          <w:p w14:paraId="6F668FF9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Dairy Beverages</w:t>
            </w:r>
          </w:p>
        </w:tc>
        <w:tc>
          <w:tcPr>
            <w:tcW w:w="1275" w:type="dxa"/>
          </w:tcPr>
          <w:p w14:paraId="4CAE2EAE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Category 2</w:t>
            </w:r>
          </w:p>
          <w:p w14:paraId="5141A05A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Non-dairy Foods</w:t>
            </w:r>
          </w:p>
        </w:tc>
        <w:tc>
          <w:tcPr>
            <w:tcW w:w="1418" w:type="dxa"/>
          </w:tcPr>
          <w:p w14:paraId="5DB1800C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Category 2D</w:t>
            </w:r>
          </w:p>
          <w:p w14:paraId="7D8A4703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Dairy Foods</w:t>
            </w:r>
          </w:p>
        </w:tc>
        <w:tc>
          <w:tcPr>
            <w:tcW w:w="1276" w:type="dxa"/>
          </w:tcPr>
          <w:p w14:paraId="3CD34B8E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Category 3</w:t>
            </w:r>
          </w:p>
          <w:p w14:paraId="11065E08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Oils and Spreads</w:t>
            </w:r>
          </w:p>
        </w:tc>
        <w:tc>
          <w:tcPr>
            <w:tcW w:w="1701" w:type="dxa"/>
          </w:tcPr>
          <w:p w14:paraId="3C520B69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Category 3D</w:t>
            </w:r>
          </w:p>
          <w:p w14:paraId="328C7EF5" w14:textId="77777777" w:rsidR="00127208" w:rsidRPr="00A51F6F" w:rsidRDefault="00127208" w:rsidP="00D74D4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Cheese with calcium content &gt;320mg/100g</w:t>
            </w:r>
          </w:p>
        </w:tc>
      </w:tr>
      <w:tr w:rsidR="00127208" w:rsidRPr="00A51F6F" w14:paraId="6EF9F381" w14:textId="77777777" w:rsidTr="00D74D4D">
        <w:tc>
          <w:tcPr>
            <w:tcW w:w="1129" w:type="dxa"/>
          </w:tcPr>
          <w:p w14:paraId="3F59F6E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960E8E8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Water</w:t>
            </w:r>
          </w:p>
        </w:tc>
        <w:tc>
          <w:tcPr>
            <w:tcW w:w="1418" w:type="dxa"/>
          </w:tcPr>
          <w:p w14:paraId="15D3FDF3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≤ -2</w:t>
            </w:r>
          </w:p>
        </w:tc>
        <w:tc>
          <w:tcPr>
            <w:tcW w:w="1275" w:type="dxa"/>
          </w:tcPr>
          <w:p w14:paraId="00C21BE3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≤ -11</w:t>
            </w:r>
          </w:p>
        </w:tc>
        <w:tc>
          <w:tcPr>
            <w:tcW w:w="1418" w:type="dxa"/>
          </w:tcPr>
          <w:p w14:paraId="31B4875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≤ -2</w:t>
            </w:r>
          </w:p>
        </w:tc>
        <w:tc>
          <w:tcPr>
            <w:tcW w:w="1276" w:type="dxa"/>
          </w:tcPr>
          <w:p w14:paraId="75B7FC93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≤ 13</w:t>
            </w:r>
          </w:p>
        </w:tc>
        <w:tc>
          <w:tcPr>
            <w:tcW w:w="1701" w:type="dxa"/>
          </w:tcPr>
          <w:p w14:paraId="2E618A0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≤ 24</w:t>
            </w:r>
          </w:p>
        </w:tc>
      </w:tr>
      <w:tr w:rsidR="00127208" w:rsidRPr="00A51F6F" w14:paraId="45D2DBD9" w14:textId="77777777" w:rsidTr="00D74D4D">
        <w:tc>
          <w:tcPr>
            <w:tcW w:w="1129" w:type="dxa"/>
            <w:vAlign w:val="center"/>
          </w:tcPr>
          <w:p w14:paraId="05FF9374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4 ½</w:t>
            </w:r>
          </w:p>
        </w:tc>
        <w:tc>
          <w:tcPr>
            <w:tcW w:w="1276" w:type="dxa"/>
          </w:tcPr>
          <w:p w14:paraId="38C878B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Flavoured water</w:t>
            </w:r>
          </w:p>
        </w:tc>
        <w:tc>
          <w:tcPr>
            <w:tcW w:w="1418" w:type="dxa"/>
            <w:vAlign w:val="center"/>
          </w:tcPr>
          <w:p w14:paraId="7DCC11CB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-1</w:t>
            </w:r>
          </w:p>
        </w:tc>
        <w:tc>
          <w:tcPr>
            <w:tcW w:w="1275" w:type="dxa"/>
            <w:vAlign w:val="center"/>
          </w:tcPr>
          <w:p w14:paraId="18D3889E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-10 – -7</w:t>
            </w:r>
          </w:p>
        </w:tc>
        <w:tc>
          <w:tcPr>
            <w:tcW w:w="1418" w:type="dxa"/>
            <w:vAlign w:val="center"/>
          </w:tcPr>
          <w:p w14:paraId="062CD03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-1 – 0</w:t>
            </w:r>
          </w:p>
        </w:tc>
        <w:tc>
          <w:tcPr>
            <w:tcW w:w="1276" w:type="dxa"/>
            <w:vAlign w:val="center"/>
          </w:tcPr>
          <w:p w14:paraId="003CBE6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14 – 16</w:t>
            </w:r>
          </w:p>
        </w:tc>
        <w:tc>
          <w:tcPr>
            <w:tcW w:w="1701" w:type="dxa"/>
            <w:vAlign w:val="center"/>
          </w:tcPr>
          <w:p w14:paraId="35602E0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25 – 26</w:t>
            </w:r>
          </w:p>
        </w:tc>
      </w:tr>
      <w:tr w:rsidR="00127208" w:rsidRPr="00A51F6F" w14:paraId="2EA1CE21" w14:textId="77777777" w:rsidTr="00D74D4D">
        <w:tc>
          <w:tcPr>
            <w:tcW w:w="1129" w:type="dxa"/>
          </w:tcPr>
          <w:p w14:paraId="4548EE1F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9E3F062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889A043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32D6212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-6 – -2</w:t>
            </w:r>
          </w:p>
        </w:tc>
        <w:tc>
          <w:tcPr>
            <w:tcW w:w="1418" w:type="dxa"/>
          </w:tcPr>
          <w:p w14:paraId="5BC39855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 – 2</w:t>
            </w:r>
          </w:p>
        </w:tc>
        <w:tc>
          <w:tcPr>
            <w:tcW w:w="1276" w:type="dxa"/>
          </w:tcPr>
          <w:p w14:paraId="79B7DEA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17 – 20</w:t>
            </w:r>
          </w:p>
        </w:tc>
        <w:tc>
          <w:tcPr>
            <w:tcW w:w="1701" w:type="dxa"/>
          </w:tcPr>
          <w:p w14:paraId="1DE67EF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27 – 28</w:t>
            </w:r>
          </w:p>
        </w:tc>
      </w:tr>
      <w:tr w:rsidR="00127208" w:rsidRPr="00A51F6F" w14:paraId="7C06ACEB" w14:textId="77777777" w:rsidTr="00D74D4D">
        <w:tc>
          <w:tcPr>
            <w:tcW w:w="1129" w:type="dxa"/>
          </w:tcPr>
          <w:p w14:paraId="106DA042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3 ½</w:t>
            </w:r>
          </w:p>
        </w:tc>
        <w:tc>
          <w:tcPr>
            <w:tcW w:w="1276" w:type="dxa"/>
          </w:tcPr>
          <w:p w14:paraId="58A9B667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1C770A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B38707B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-1 – 2</w:t>
            </w:r>
          </w:p>
        </w:tc>
        <w:tc>
          <w:tcPr>
            <w:tcW w:w="1418" w:type="dxa"/>
          </w:tcPr>
          <w:p w14:paraId="1F400E08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767103C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21 – 23</w:t>
            </w:r>
          </w:p>
        </w:tc>
        <w:tc>
          <w:tcPr>
            <w:tcW w:w="1701" w:type="dxa"/>
          </w:tcPr>
          <w:p w14:paraId="47E6CB00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29 – 30</w:t>
            </w:r>
          </w:p>
        </w:tc>
      </w:tr>
      <w:tr w:rsidR="00127208" w:rsidRPr="00A51F6F" w14:paraId="259BADF9" w14:textId="77777777" w:rsidTr="00D74D4D">
        <w:tc>
          <w:tcPr>
            <w:tcW w:w="1129" w:type="dxa"/>
          </w:tcPr>
          <w:p w14:paraId="27249F1F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42F92388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 – 3</w:t>
            </w:r>
          </w:p>
        </w:tc>
        <w:tc>
          <w:tcPr>
            <w:tcW w:w="1418" w:type="dxa"/>
          </w:tcPr>
          <w:p w14:paraId="6AD4E5E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483E1E7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 – 6</w:t>
            </w:r>
          </w:p>
        </w:tc>
        <w:tc>
          <w:tcPr>
            <w:tcW w:w="1418" w:type="dxa"/>
          </w:tcPr>
          <w:p w14:paraId="527E0374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4 – 5</w:t>
            </w:r>
          </w:p>
        </w:tc>
        <w:tc>
          <w:tcPr>
            <w:tcW w:w="1276" w:type="dxa"/>
          </w:tcPr>
          <w:p w14:paraId="47575D3F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24 – 27</w:t>
            </w:r>
          </w:p>
        </w:tc>
        <w:tc>
          <w:tcPr>
            <w:tcW w:w="1701" w:type="dxa"/>
          </w:tcPr>
          <w:p w14:paraId="7DA10722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127208" w:rsidRPr="00A51F6F" w14:paraId="4C7B67D8" w14:textId="77777777" w:rsidTr="00D74D4D">
        <w:tc>
          <w:tcPr>
            <w:tcW w:w="1129" w:type="dxa"/>
          </w:tcPr>
          <w:p w14:paraId="606DDE6E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2 ½</w:t>
            </w:r>
          </w:p>
        </w:tc>
        <w:tc>
          <w:tcPr>
            <w:tcW w:w="1276" w:type="dxa"/>
          </w:tcPr>
          <w:p w14:paraId="71FB0BE8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4 – 5</w:t>
            </w:r>
          </w:p>
        </w:tc>
        <w:tc>
          <w:tcPr>
            <w:tcW w:w="1418" w:type="dxa"/>
          </w:tcPr>
          <w:p w14:paraId="4704BD57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BE08867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7 – 11</w:t>
            </w:r>
          </w:p>
        </w:tc>
        <w:tc>
          <w:tcPr>
            <w:tcW w:w="1418" w:type="dxa"/>
          </w:tcPr>
          <w:p w14:paraId="0FDD8A13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6 – 7</w:t>
            </w:r>
          </w:p>
        </w:tc>
        <w:tc>
          <w:tcPr>
            <w:tcW w:w="1276" w:type="dxa"/>
          </w:tcPr>
          <w:p w14:paraId="4106A64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28 – 30</w:t>
            </w:r>
          </w:p>
        </w:tc>
        <w:tc>
          <w:tcPr>
            <w:tcW w:w="1701" w:type="dxa"/>
          </w:tcPr>
          <w:p w14:paraId="37261EE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32 – 33</w:t>
            </w:r>
          </w:p>
        </w:tc>
      </w:tr>
      <w:tr w:rsidR="00127208" w:rsidRPr="00A51F6F" w14:paraId="36D556F6" w14:textId="77777777" w:rsidTr="00D74D4D">
        <w:tc>
          <w:tcPr>
            <w:tcW w:w="1129" w:type="dxa"/>
          </w:tcPr>
          <w:p w14:paraId="354B959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FB6D70A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6 – 7</w:t>
            </w:r>
          </w:p>
        </w:tc>
        <w:tc>
          <w:tcPr>
            <w:tcW w:w="1418" w:type="dxa"/>
          </w:tcPr>
          <w:p w14:paraId="146466EA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ACCCF0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12 – 15</w:t>
            </w:r>
          </w:p>
        </w:tc>
        <w:tc>
          <w:tcPr>
            <w:tcW w:w="1418" w:type="dxa"/>
          </w:tcPr>
          <w:p w14:paraId="4E2F76AB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DE85544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31 – 34</w:t>
            </w:r>
          </w:p>
        </w:tc>
        <w:tc>
          <w:tcPr>
            <w:tcW w:w="1701" w:type="dxa"/>
          </w:tcPr>
          <w:p w14:paraId="251BCEB2" w14:textId="43DF46C8" w:rsidR="00127208" w:rsidRPr="00A51F6F" w:rsidRDefault="002E3044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127208" w:rsidRPr="00A51F6F">
              <w:rPr>
                <w:rFonts w:ascii="Calibri" w:hAnsi="Calibri" w:cs="Calibri"/>
                <w:sz w:val="22"/>
                <w:szCs w:val="22"/>
              </w:rPr>
              <w:t>4 – 35</w:t>
            </w:r>
          </w:p>
        </w:tc>
      </w:tr>
      <w:tr w:rsidR="00127208" w:rsidRPr="00A51F6F" w14:paraId="3091ACB8" w14:textId="77777777" w:rsidTr="00D74D4D">
        <w:tc>
          <w:tcPr>
            <w:tcW w:w="1129" w:type="dxa"/>
          </w:tcPr>
          <w:p w14:paraId="3175DC1B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1 ½</w:t>
            </w:r>
          </w:p>
        </w:tc>
        <w:tc>
          <w:tcPr>
            <w:tcW w:w="1276" w:type="dxa"/>
          </w:tcPr>
          <w:p w14:paraId="1189CF4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8 – 9</w:t>
            </w:r>
          </w:p>
        </w:tc>
        <w:tc>
          <w:tcPr>
            <w:tcW w:w="1418" w:type="dxa"/>
          </w:tcPr>
          <w:p w14:paraId="6EE0A31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ADE79B6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16 – 20</w:t>
            </w:r>
          </w:p>
        </w:tc>
        <w:tc>
          <w:tcPr>
            <w:tcW w:w="1418" w:type="dxa"/>
          </w:tcPr>
          <w:p w14:paraId="03EFFD6F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9 – 10</w:t>
            </w:r>
          </w:p>
        </w:tc>
        <w:tc>
          <w:tcPr>
            <w:tcW w:w="1276" w:type="dxa"/>
          </w:tcPr>
          <w:p w14:paraId="28DA354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35 – 37</w:t>
            </w:r>
          </w:p>
        </w:tc>
        <w:tc>
          <w:tcPr>
            <w:tcW w:w="1701" w:type="dxa"/>
          </w:tcPr>
          <w:p w14:paraId="563B0091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36 – 37</w:t>
            </w:r>
          </w:p>
        </w:tc>
      </w:tr>
      <w:tr w:rsidR="00127208" w:rsidRPr="00A51F6F" w14:paraId="30A35382" w14:textId="77777777" w:rsidTr="00D74D4D">
        <w:tc>
          <w:tcPr>
            <w:tcW w:w="1129" w:type="dxa"/>
          </w:tcPr>
          <w:p w14:paraId="5F9BD3DA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81B3732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10 – 11</w:t>
            </w:r>
          </w:p>
        </w:tc>
        <w:tc>
          <w:tcPr>
            <w:tcW w:w="1418" w:type="dxa"/>
          </w:tcPr>
          <w:p w14:paraId="472173AC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695F66B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21 – 24</w:t>
            </w:r>
          </w:p>
        </w:tc>
        <w:tc>
          <w:tcPr>
            <w:tcW w:w="1418" w:type="dxa"/>
          </w:tcPr>
          <w:p w14:paraId="0BF4ADD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11 – 12</w:t>
            </w:r>
          </w:p>
        </w:tc>
        <w:tc>
          <w:tcPr>
            <w:tcW w:w="1276" w:type="dxa"/>
          </w:tcPr>
          <w:p w14:paraId="44BEA4EB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38 – 41</w:t>
            </w:r>
          </w:p>
        </w:tc>
        <w:tc>
          <w:tcPr>
            <w:tcW w:w="1701" w:type="dxa"/>
          </w:tcPr>
          <w:p w14:paraId="60C9969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hAnsi="Calibri" w:cs="Calibri"/>
                <w:sz w:val="22"/>
                <w:szCs w:val="22"/>
              </w:rPr>
              <w:t>38 – 39</w:t>
            </w:r>
          </w:p>
        </w:tc>
      </w:tr>
      <w:tr w:rsidR="00127208" w:rsidRPr="00A51F6F" w14:paraId="62114F56" w14:textId="77777777" w:rsidTr="00D74D4D">
        <w:tc>
          <w:tcPr>
            <w:tcW w:w="1129" w:type="dxa"/>
          </w:tcPr>
          <w:p w14:paraId="04C77999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1F6F">
              <w:rPr>
                <w:rFonts w:ascii="Calibri" w:hAnsi="Calibri" w:cs="Calibri"/>
                <w:b/>
                <w:sz w:val="22"/>
                <w:szCs w:val="22"/>
              </w:rPr>
              <w:t>½</w:t>
            </w:r>
          </w:p>
        </w:tc>
        <w:tc>
          <w:tcPr>
            <w:tcW w:w="1276" w:type="dxa"/>
          </w:tcPr>
          <w:p w14:paraId="73908E1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≥12</w:t>
            </w:r>
          </w:p>
        </w:tc>
        <w:tc>
          <w:tcPr>
            <w:tcW w:w="1418" w:type="dxa"/>
          </w:tcPr>
          <w:p w14:paraId="0BA8DCD5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≥</w:t>
            </w:r>
            <w:r w:rsidRPr="00A51F6F">
              <w:rPr>
                <w:rFonts w:ascii="Calibri" w:eastAsia="Times New Roman" w:hAnsi="Calibri" w:cs="Calibri"/>
                <w:b/>
                <w:sz w:val="22"/>
                <w:szCs w:val="22"/>
                <w:lang w:eastAsia="en-AU"/>
              </w:rPr>
              <w:t xml:space="preserve"> </w:t>
            </w: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275" w:type="dxa"/>
          </w:tcPr>
          <w:p w14:paraId="682C993D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≥25</w:t>
            </w:r>
          </w:p>
        </w:tc>
        <w:tc>
          <w:tcPr>
            <w:tcW w:w="1418" w:type="dxa"/>
          </w:tcPr>
          <w:p w14:paraId="11FFAC67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≥13</w:t>
            </w:r>
          </w:p>
        </w:tc>
        <w:tc>
          <w:tcPr>
            <w:tcW w:w="1276" w:type="dxa"/>
          </w:tcPr>
          <w:p w14:paraId="1885ACD5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≥42</w:t>
            </w:r>
          </w:p>
        </w:tc>
        <w:tc>
          <w:tcPr>
            <w:tcW w:w="1701" w:type="dxa"/>
          </w:tcPr>
          <w:p w14:paraId="5B4430CF" w14:textId="77777777" w:rsidR="00127208" w:rsidRPr="00A51F6F" w:rsidRDefault="00127208" w:rsidP="00D74D4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1F6F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≥40</w:t>
            </w:r>
          </w:p>
        </w:tc>
      </w:tr>
    </w:tbl>
    <w:p w14:paraId="4D1D83C9" w14:textId="77777777" w:rsidR="00127208" w:rsidRDefault="00127208" w:rsidP="00127208">
      <w:pPr>
        <w:spacing w:before="240" w:after="12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Table 7: </w:t>
      </w:r>
      <w:r w:rsidRPr="00304B68">
        <w:rPr>
          <w:rFonts w:ascii="Calibri" w:hAnsi="Calibri" w:cs="Calibri"/>
          <w:u w:val="single"/>
        </w:rPr>
        <w:t>HSR Category 2</w:t>
      </w:r>
      <w:r>
        <w:rPr>
          <w:rFonts w:ascii="Calibri" w:hAnsi="Calibri" w:cs="Calibri"/>
          <w:u w:val="single"/>
        </w:rPr>
        <w:t xml:space="preserve"> - redefined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7"/>
        <w:tblDescription w:val="Table 7 describes the products that fall into Category 2D"/>
      </w:tblPr>
      <w:tblGrid>
        <w:gridCol w:w="9060"/>
      </w:tblGrid>
      <w:tr w:rsidR="00127208" w14:paraId="70B2D79B" w14:textId="77777777" w:rsidTr="00474DDA">
        <w:trPr>
          <w:tblHeader/>
        </w:trPr>
        <w:tc>
          <w:tcPr>
            <w:tcW w:w="9628" w:type="dxa"/>
          </w:tcPr>
          <w:p w14:paraId="0055A54B" w14:textId="77777777" w:rsidR="00127208" w:rsidRPr="00591F79" w:rsidRDefault="00127208" w:rsidP="00D74D4D">
            <w:pPr>
              <w:spacing w:after="120"/>
              <w:rPr>
                <w:rFonts w:ascii="Calibri" w:hAnsi="Calibri" w:cs="Calibri"/>
              </w:rPr>
            </w:pPr>
            <w:r w:rsidRPr="00304B68">
              <w:rPr>
                <w:rFonts w:ascii="Calibri" w:hAnsi="Calibri" w:cs="Calibri"/>
              </w:rPr>
              <w:t>Category 2D to include all ‘</w:t>
            </w:r>
            <w:proofErr w:type="spellStart"/>
            <w:r w:rsidRPr="00304B68">
              <w:rPr>
                <w:rFonts w:ascii="Calibri" w:hAnsi="Calibri" w:cs="Calibri"/>
              </w:rPr>
              <w:t>spoonable</w:t>
            </w:r>
            <w:proofErr w:type="spellEnd"/>
            <w:r w:rsidRPr="00304B68">
              <w:rPr>
                <w:rFonts w:ascii="Calibri" w:hAnsi="Calibri" w:cs="Calibri"/>
              </w:rPr>
              <w:t xml:space="preserve">’ dairy foods that contain </w:t>
            </w:r>
            <w:r w:rsidRPr="00304B68">
              <w:rPr>
                <w:rFonts w:ascii="Calibri" w:eastAsia="Times New Roman" w:hAnsi="Calibri" w:cs="Calibri"/>
                <w:lang w:eastAsia="en-AU"/>
              </w:rPr>
              <w:t>≥</w:t>
            </w:r>
            <w:r>
              <w:rPr>
                <w:rFonts w:ascii="Calibri" w:hAnsi="Calibri" w:cs="Calibri"/>
              </w:rPr>
              <w:t>75% dairy ingredients.</w:t>
            </w:r>
          </w:p>
        </w:tc>
      </w:tr>
      <w:tr w:rsidR="00127208" w14:paraId="41D29359" w14:textId="77777777" w:rsidTr="00D74D4D">
        <w:tc>
          <w:tcPr>
            <w:tcW w:w="9628" w:type="dxa"/>
          </w:tcPr>
          <w:p w14:paraId="18063958" w14:textId="4FB9FEB1" w:rsidR="00127208" w:rsidRPr="00591F79" w:rsidRDefault="00127208" w:rsidP="00D74D4D">
            <w:pPr>
              <w:spacing w:after="120"/>
              <w:rPr>
                <w:rFonts w:ascii="Calibri" w:hAnsi="Calibri" w:cs="Calibri"/>
              </w:rPr>
            </w:pPr>
            <w:r w:rsidRPr="00304B68">
              <w:rPr>
                <w:rFonts w:ascii="Calibri" w:hAnsi="Calibri" w:cs="Calibri"/>
              </w:rPr>
              <w:t>Including: yoghurts, custards, evaporated milks, dairy-based desserts (mousses, crème caramels, panna cottas) cream cheeses, creams, sour cream</w:t>
            </w:r>
            <w:r>
              <w:rPr>
                <w:rFonts w:ascii="Calibri" w:hAnsi="Calibri" w:cs="Calibri"/>
              </w:rPr>
              <w:t>s, crème fraiche and mascarpone</w:t>
            </w:r>
            <w:r w:rsidR="009E1747">
              <w:rPr>
                <w:rFonts w:ascii="Calibri" w:hAnsi="Calibri" w:cs="Calibri"/>
              </w:rPr>
              <w:t>.</w:t>
            </w:r>
          </w:p>
        </w:tc>
      </w:tr>
      <w:tr w:rsidR="00127208" w14:paraId="2B1447D1" w14:textId="77777777" w:rsidTr="00D74D4D">
        <w:tc>
          <w:tcPr>
            <w:tcW w:w="9628" w:type="dxa"/>
          </w:tcPr>
          <w:p w14:paraId="466BA7E1" w14:textId="77777777" w:rsidR="00127208" w:rsidRPr="00591F79" w:rsidRDefault="00127208" w:rsidP="00D74D4D">
            <w:pPr>
              <w:spacing w:after="120"/>
              <w:rPr>
                <w:rFonts w:ascii="Calibri" w:hAnsi="Calibri" w:cs="Calibri"/>
              </w:rPr>
            </w:pPr>
            <w:r w:rsidRPr="00304B68">
              <w:rPr>
                <w:rFonts w:ascii="Calibri" w:hAnsi="Calibri" w:cs="Calibri"/>
              </w:rPr>
              <w:t>Excluding: ice creams, gelatos and other dairy-based ice c</w:t>
            </w:r>
            <w:r>
              <w:rPr>
                <w:rFonts w:ascii="Calibri" w:hAnsi="Calibri" w:cs="Calibri"/>
              </w:rPr>
              <w:t>onfections and condensed milks.</w:t>
            </w:r>
          </w:p>
        </w:tc>
      </w:tr>
    </w:tbl>
    <w:p w14:paraId="4413F80A" w14:textId="77777777" w:rsidR="000B6342" w:rsidRPr="00FA04F5" w:rsidRDefault="000B6342" w:rsidP="00556C1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4D1F6CAD" w14:textId="77777777" w:rsidR="000F5FA2" w:rsidRPr="00411EF1" w:rsidRDefault="000F5FA2" w:rsidP="00411EF1">
      <w:pPr>
        <w:spacing w:after="120"/>
        <w:rPr>
          <w:b/>
          <w:bCs/>
        </w:rPr>
      </w:pPr>
    </w:p>
    <w:sectPr w:rsidR="000F5FA2" w:rsidRPr="00411EF1" w:rsidSect="007F7756">
      <w:pgSz w:w="11906" w:h="17338"/>
      <w:pgMar w:top="1134" w:right="1418" w:bottom="1134" w:left="1418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E8F45" w16cid:durableId="2263EB2D"/>
  <w16cid:commentId w16cid:paraId="29C21247" w16cid:durableId="2263EA4A"/>
  <w16cid:commentId w16cid:paraId="13911D43" w16cid:durableId="2263E841"/>
  <w16cid:commentId w16cid:paraId="201F87D8" w16cid:durableId="2263EBFF"/>
  <w16cid:commentId w16cid:paraId="57453DF3" w16cid:durableId="22600680"/>
  <w16cid:commentId w16cid:paraId="0857F97D" w16cid:durableId="2263EA7F"/>
  <w16cid:commentId w16cid:paraId="181C607D" w16cid:durableId="2263EC1D"/>
  <w16cid:commentId w16cid:paraId="1C9887B0" w16cid:durableId="22600B3A"/>
  <w16cid:commentId w16cid:paraId="5FF63D4A" w16cid:durableId="2263ECD9"/>
  <w16cid:commentId w16cid:paraId="66AB2006" w16cid:durableId="2263E842"/>
  <w16cid:commentId w16cid:paraId="463C8C03" w16cid:durableId="22600EF2"/>
  <w16cid:commentId w16cid:paraId="332799DF" w16cid:durableId="2263ED41"/>
  <w16cid:commentId w16cid:paraId="1E99E4A2" w16cid:durableId="22601273"/>
  <w16cid:commentId w16cid:paraId="799FD105" w16cid:durableId="226014A8"/>
  <w16cid:commentId w16cid:paraId="48B2041E" w16cid:durableId="2263F34B"/>
  <w16cid:commentId w16cid:paraId="07218C70" w16cid:durableId="2263F292"/>
  <w16cid:commentId w16cid:paraId="0B35A6A0" w16cid:durableId="22601469"/>
  <w16cid:commentId w16cid:paraId="42B128DC" w16cid:durableId="2263F355"/>
  <w16cid:commentId w16cid:paraId="0E6A82ED" w16cid:durableId="2263E843"/>
  <w16cid:commentId w16cid:paraId="0CC637B7" w16cid:durableId="226015DF"/>
  <w16cid:commentId w16cid:paraId="3B0574C6" w16cid:durableId="2263F3DC"/>
  <w16cid:commentId w16cid:paraId="53F3D8DE" w16cid:durableId="2263F79A"/>
  <w16cid:commentId w16cid:paraId="2B126E3B" w16cid:durableId="2263F7E5"/>
  <w16cid:commentId w16cid:paraId="59C4049F" w16cid:durableId="2263F5DB"/>
  <w16cid:commentId w16cid:paraId="2E62989A" w16cid:durableId="2263E844"/>
  <w16cid:commentId w16cid:paraId="193325E4" w16cid:durableId="2263F655"/>
  <w16cid:commentId w16cid:paraId="08064CD6" w16cid:durableId="225F9C37"/>
  <w16cid:commentId w16cid:paraId="799236C1" w16cid:durableId="226016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E2FA" w14:textId="77777777" w:rsidR="002E3044" w:rsidRDefault="002E3044" w:rsidP="00CB71EC">
      <w:pPr>
        <w:spacing w:after="0" w:line="240" w:lineRule="auto"/>
      </w:pPr>
      <w:r>
        <w:separator/>
      </w:r>
    </w:p>
  </w:endnote>
  <w:endnote w:type="continuationSeparator" w:id="0">
    <w:p w14:paraId="181AD9E1" w14:textId="77777777" w:rsidR="002E3044" w:rsidRDefault="002E3044" w:rsidP="00CB71EC">
      <w:pPr>
        <w:spacing w:after="0" w:line="240" w:lineRule="auto"/>
      </w:pPr>
      <w:r>
        <w:continuationSeparator/>
      </w:r>
    </w:p>
  </w:endnote>
  <w:endnote w:type="continuationNotice" w:id="1">
    <w:p w14:paraId="054B4D96" w14:textId="77777777" w:rsidR="002E3044" w:rsidRDefault="002E3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C550" w14:textId="77777777" w:rsidR="002E3044" w:rsidRDefault="002E3044" w:rsidP="00CB71EC">
      <w:pPr>
        <w:spacing w:after="0" w:line="240" w:lineRule="auto"/>
      </w:pPr>
      <w:r>
        <w:separator/>
      </w:r>
    </w:p>
  </w:footnote>
  <w:footnote w:type="continuationSeparator" w:id="0">
    <w:p w14:paraId="587E3499" w14:textId="77777777" w:rsidR="002E3044" w:rsidRDefault="002E3044" w:rsidP="00CB71EC">
      <w:pPr>
        <w:spacing w:after="0" w:line="240" w:lineRule="auto"/>
      </w:pPr>
      <w:r>
        <w:continuationSeparator/>
      </w:r>
    </w:p>
  </w:footnote>
  <w:footnote w:type="continuationNotice" w:id="1">
    <w:p w14:paraId="3E76ADFD" w14:textId="77777777" w:rsidR="002E3044" w:rsidRDefault="002E3044">
      <w:pPr>
        <w:spacing w:after="0" w:line="240" w:lineRule="auto"/>
      </w:pPr>
    </w:p>
  </w:footnote>
  <w:footnote w:id="2">
    <w:p w14:paraId="19015282" w14:textId="77777777" w:rsidR="002E3044" w:rsidRDefault="002E3044">
      <w:pPr>
        <w:pStyle w:val="FootnoteText"/>
      </w:pPr>
      <w:r>
        <w:rPr>
          <w:rStyle w:val="FootnoteReference"/>
        </w:rPr>
        <w:footnoteRef/>
      </w:r>
      <w:r>
        <w:t xml:space="preserve"> Draft definition being proposed to the Forum</w:t>
      </w:r>
    </w:p>
  </w:footnote>
  <w:footnote w:id="3">
    <w:p w14:paraId="62C6FA6D" w14:textId="77777777" w:rsidR="002E3044" w:rsidRDefault="002E3044" w:rsidP="001F6BCD">
      <w:pPr>
        <w:pStyle w:val="FootnoteText"/>
      </w:pPr>
      <w:r>
        <w:rPr>
          <w:rStyle w:val="FootnoteReference"/>
        </w:rPr>
        <w:footnoteRef/>
      </w:r>
      <w:r>
        <w:t xml:space="preserve"> Draft definition being proposed to the Forum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0C4"/>
    <w:multiLevelType w:val="hybridMultilevel"/>
    <w:tmpl w:val="8D9AC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513"/>
    <w:multiLevelType w:val="hybridMultilevel"/>
    <w:tmpl w:val="39C235B0"/>
    <w:lvl w:ilvl="0" w:tplc="2D96185E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98C3CCA"/>
    <w:multiLevelType w:val="hybridMultilevel"/>
    <w:tmpl w:val="B7F6E25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C7CEA"/>
    <w:multiLevelType w:val="hybridMultilevel"/>
    <w:tmpl w:val="E5DA762A"/>
    <w:lvl w:ilvl="0" w:tplc="0C09000F">
      <w:start w:val="1"/>
      <w:numFmt w:val="decimal"/>
      <w:lvlText w:val="%1."/>
      <w:lvlJc w:val="left"/>
      <w:pPr>
        <w:ind w:left="9433" w:hanging="360"/>
      </w:pPr>
    </w:lvl>
    <w:lvl w:ilvl="1" w:tplc="0C090019" w:tentative="1">
      <w:start w:val="1"/>
      <w:numFmt w:val="lowerLetter"/>
      <w:lvlText w:val="%2."/>
      <w:lvlJc w:val="left"/>
      <w:pPr>
        <w:ind w:left="10153" w:hanging="360"/>
      </w:pPr>
    </w:lvl>
    <w:lvl w:ilvl="2" w:tplc="0C09001B" w:tentative="1">
      <w:start w:val="1"/>
      <w:numFmt w:val="lowerRoman"/>
      <w:lvlText w:val="%3."/>
      <w:lvlJc w:val="right"/>
      <w:pPr>
        <w:ind w:left="10873" w:hanging="180"/>
      </w:pPr>
    </w:lvl>
    <w:lvl w:ilvl="3" w:tplc="0C09000F" w:tentative="1">
      <w:start w:val="1"/>
      <w:numFmt w:val="decimal"/>
      <w:lvlText w:val="%4."/>
      <w:lvlJc w:val="left"/>
      <w:pPr>
        <w:ind w:left="11593" w:hanging="360"/>
      </w:pPr>
    </w:lvl>
    <w:lvl w:ilvl="4" w:tplc="0C090019" w:tentative="1">
      <w:start w:val="1"/>
      <w:numFmt w:val="lowerLetter"/>
      <w:lvlText w:val="%5."/>
      <w:lvlJc w:val="left"/>
      <w:pPr>
        <w:ind w:left="12313" w:hanging="360"/>
      </w:pPr>
    </w:lvl>
    <w:lvl w:ilvl="5" w:tplc="0C09001B" w:tentative="1">
      <w:start w:val="1"/>
      <w:numFmt w:val="lowerRoman"/>
      <w:lvlText w:val="%6."/>
      <w:lvlJc w:val="right"/>
      <w:pPr>
        <w:ind w:left="13033" w:hanging="180"/>
      </w:pPr>
    </w:lvl>
    <w:lvl w:ilvl="6" w:tplc="0C09000F" w:tentative="1">
      <w:start w:val="1"/>
      <w:numFmt w:val="decimal"/>
      <w:lvlText w:val="%7."/>
      <w:lvlJc w:val="left"/>
      <w:pPr>
        <w:ind w:left="13753" w:hanging="360"/>
      </w:pPr>
    </w:lvl>
    <w:lvl w:ilvl="7" w:tplc="0C090019" w:tentative="1">
      <w:start w:val="1"/>
      <w:numFmt w:val="lowerLetter"/>
      <w:lvlText w:val="%8."/>
      <w:lvlJc w:val="left"/>
      <w:pPr>
        <w:ind w:left="14473" w:hanging="360"/>
      </w:pPr>
    </w:lvl>
    <w:lvl w:ilvl="8" w:tplc="0C0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 w15:restartNumberingAfterBreak="0">
    <w:nsid w:val="2D5E1E39"/>
    <w:multiLevelType w:val="hybridMultilevel"/>
    <w:tmpl w:val="66681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413A"/>
    <w:multiLevelType w:val="hybridMultilevel"/>
    <w:tmpl w:val="2BCA27B8"/>
    <w:lvl w:ilvl="0" w:tplc="E3363B9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214B"/>
    <w:multiLevelType w:val="hybridMultilevel"/>
    <w:tmpl w:val="D86054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E1B"/>
    <w:multiLevelType w:val="hybridMultilevel"/>
    <w:tmpl w:val="D73258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67DA"/>
    <w:multiLevelType w:val="hybridMultilevel"/>
    <w:tmpl w:val="A2FC2C08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739F3"/>
    <w:multiLevelType w:val="hybridMultilevel"/>
    <w:tmpl w:val="9F24B91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54B"/>
    <w:multiLevelType w:val="hybridMultilevel"/>
    <w:tmpl w:val="1FF0881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3F25"/>
    <w:multiLevelType w:val="hybridMultilevel"/>
    <w:tmpl w:val="6B926018"/>
    <w:lvl w:ilvl="0" w:tplc="BB30B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1DA8"/>
    <w:multiLevelType w:val="hybridMultilevel"/>
    <w:tmpl w:val="DB829D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6BD4A86"/>
    <w:multiLevelType w:val="multilevel"/>
    <w:tmpl w:val="5A62FF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42198"/>
    <w:multiLevelType w:val="hybridMultilevel"/>
    <w:tmpl w:val="1792BD34"/>
    <w:lvl w:ilvl="0" w:tplc="C5C47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B69CE"/>
    <w:multiLevelType w:val="hybridMultilevel"/>
    <w:tmpl w:val="9246F0D2"/>
    <w:lvl w:ilvl="0" w:tplc="2D96185E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5867"/>
    <w:multiLevelType w:val="hybridMultilevel"/>
    <w:tmpl w:val="6B1442F4"/>
    <w:lvl w:ilvl="0" w:tplc="14C63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730B3"/>
    <w:multiLevelType w:val="hybridMultilevel"/>
    <w:tmpl w:val="EC3A2A88"/>
    <w:lvl w:ilvl="0" w:tplc="390C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11AB"/>
    <w:multiLevelType w:val="hybridMultilevel"/>
    <w:tmpl w:val="17FA4158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E46F5"/>
    <w:multiLevelType w:val="hybridMultilevel"/>
    <w:tmpl w:val="F7F8862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F422ED"/>
    <w:multiLevelType w:val="hybridMultilevel"/>
    <w:tmpl w:val="0DC6A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1A25"/>
    <w:multiLevelType w:val="hybridMultilevel"/>
    <w:tmpl w:val="090C8DA0"/>
    <w:lvl w:ilvl="0" w:tplc="99247C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372CF"/>
    <w:multiLevelType w:val="hybridMultilevel"/>
    <w:tmpl w:val="281E78E0"/>
    <w:lvl w:ilvl="0" w:tplc="CA362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16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E"/>
    <w:rsid w:val="0001435F"/>
    <w:rsid w:val="0001626E"/>
    <w:rsid w:val="0002363A"/>
    <w:rsid w:val="00027312"/>
    <w:rsid w:val="00030098"/>
    <w:rsid w:val="000563E9"/>
    <w:rsid w:val="00077704"/>
    <w:rsid w:val="000A3BF5"/>
    <w:rsid w:val="000B0061"/>
    <w:rsid w:val="000B37A5"/>
    <w:rsid w:val="000B6342"/>
    <w:rsid w:val="000D1EC8"/>
    <w:rsid w:val="000E0190"/>
    <w:rsid w:val="000E254B"/>
    <w:rsid w:val="000E5A90"/>
    <w:rsid w:val="000F5DC3"/>
    <w:rsid w:val="000F5FA2"/>
    <w:rsid w:val="00101537"/>
    <w:rsid w:val="00112E83"/>
    <w:rsid w:val="00120545"/>
    <w:rsid w:val="00127208"/>
    <w:rsid w:val="0014011B"/>
    <w:rsid w:val="00152E3C"/>
    <w:rsid w:val="001541C5"/>
    <w:rsid w:val="001557BD"/>
    <w:rsid w:val="001572D5"/>
    <w:rsid w:val="00161680"/>
    <w:rsid w:val="00167960"/>
    <w:rsid w:val="00170BA2"/>
    <w:rsid w:val="001731F4"/>
    <w:rsid w:val="00177CEA"/>
    <w:rsid w:val="00182ED2"/>
    <w:rsid w:val="00187A01"/>
    <w:rsid w:val="00192F85"/>
    <w:rsid w:val="001A1F7A"/>
    <w:rsid w:val="001A734C"/>
    <w:rsid w:val="001B3898"/>
    <w:rsid w:val="001B6568"/>
    <w:rsid w:val="001B7442"/>
    <w:rsid w:val="001B7A2D"/>
    <w:rsid w:val="001C2766"/>
    <w:rsid w:val="001E69D0"/>
    <w:rsid w:val="001E6F99"/>
    <w:rsid w:val="001F6BCD"/>
    <w:rsid w:val="00214339"/>
    <w:rsid w:val="00221B08"/>
    <w:rsid w:val="0026411E"/>
    <w:rsid w:val="002720BF"/>
    <w:rsid w:val="002D6499"/>
    <w:rsid w:val="002E2C00"/>
    <w:rsid w:val="002E3044"/>
    <w:rsid w:val="002F6ADE"/>
    <w:rsid w:val="00313E44"/>
    <w:rsid w:val="00320C4B"/>
    <w:rsid w:val="0035603F"/>
    <w:rsid w:val="00360E05"/>
    <w:rsid w:val="003664B1"/>
    <w:rsid w:val="003753CD"/>
    <w:rsid w:val="00385561"/>
    <w:rsid w:val="0039776F"/>
    <w:rsid w:val="003B2BED"/>
    <w:rsid w:val="003D42EF"/>
    <w:rsid w:val="0040532E"/>
    <w:rsid w:val="004057AA"/>
    <w:rsid w:val="00411EF1"/>
    <w:rsid w:val="00425AC0"/>
    <w:rsid w:val="00427451"/>
    <w:rsid w:val="00435092"/>
    <w:rsid w:val="00440937"/>
    <w:rsid w:val="00474DDA"/>
    <w:rsid w:val="004874D3"/>
    <w:rsid w:val="004A20F1"/>
    <w:rsid w:val="004A650F"/>
    <w:rsid w:val="004D369F"/>
    <w:rsid w:val="004E59EB"/>
    <w:rsid w:val="004F088A"/>
    <w:rsid w:val="00504744"/>
    <w:rsid w:val="00533830"/>
    <w:rsid w:val="005374C7"/>
    <w:rsid w:val="00556C12"/>
    <w:rsid w:val="00581450"/>
    <w:rsid w:val="00594CC7"/>
    <w:rsid w:val="005A0606"/>
    <w:rsid w:val="005A2A45"/>
    <w:rsid w:val="005A3112"/>
    <w:rsid w:val="005A7797"/>
    <w:rsid w:val="005D56DF"/>
    <w:rsid w:val="005E7B61"/>
    <w:rsid w:val="0062220F"/>
    <w:rsid w:val="00642A36"/>
    <w:rsid w:val="00642D33"/>
    <w:rsid w:val="006466E6"/>
    <w:rsid w:val="0065753C"/>
    <w:rsid w:val="00657EFC"/>
    <w:rsid w:val="00670034"/>
    <w:rsid w:val="006778E8"/>
    <w:rsid w:val="00697EC9"/>
    <w:rsid w:val="006B264D"/>
    <w:rsid w:val="006C2359"/>
    <w:rsid w:val="00714B35"/>
    <w:rsid w:val="0073267E"/>
    <w:rsid w:val="00751954"/>
    <w:rsid w:val="007561C3"/>
    <w:rsid w:val="00771BAB"/>
    <w:rsid w:val="00771DB0"/>
    <w:rsid w:val="007800BB"/>
    <w:rsid w:val="0078093C"/>
    <w:rsid w:val="007D635F"/>
    <w:rsid w:val="007E66FF"/>
    <w:rsid w:val="007F7756"/>
    <w:rsid w:val="00835CB4"/>
    <w:rsid w:val="00850760"/>
    <w:rsid w:val="00855338"/>
    <w:rsid w:val="0085758E"/>
    <w:rsid w:val="00880901"/>
    <w:rsid w:val="00882038"/>
    <w:rsid w:val="008A38B6"/>
    <w:rsid w:val="008A54FA"/>
    <w:rsid w:val="008C2BA9"/>
    <w:rsid w:val="008C4137"/>
    <w:rsid w:val="008E2E14"/>
    <w:rsid w:val="008E2E36"/>
    <w:rsid w:val="0092457A"/>
    <w:rsid w:val="0092608D"/>
    <w:rsid w:val="009302DD"/>
    <w:rsid w:val="00934EF2"/>
    <w:rsid w:val="0095068D"/>
    <w:rsid w:val="0095151E"/>
    <w:rsid w:val="00955C99"/>
    <w:rsid w:val="00993754"/>
    <w:rsid w:val="009A2DF5"/>
    <w:rsid w:val="009A7102"/>
    <w:rsid w:val="009B250E"/>
    <w:rsid w:val="009D1E80"/>
    <w:rsid w:val="009E1747"/>
    <w:rsid w:val="009F31D8"/>
    <w:rsid w:val="009F5C6B"/>
    <w:rsid w:val="00A23D96"/>
    <w:rsid w:val="00A341C5"/>
    <w:rsid w:val="00A415A8"/>
    <w:rsid w:val="00A461F0"/>
    <w:rsid w:val="00A67C23"/>
    <w:rsid w:val="00A770ED"/>
    <w:rsid w:val="00A8698F"/>
    <w:rsid w:val="00A87D30"/>
    <w:rsid w:val="00A9649A"/>
    <w:rsid w:val="00AA2F71"/>
    <w:rsid w:val="00AB5C54"/>
    <w:rsid w:val="00AC39AF"/>
    <w:rsid w:val="00AF2526"/>
    <w:rsid w:val="00B009B3"/>
    <w:rsid w:val="00B0202C"/>
    <w:rsid w:val="00B2332A"/>
    <w:rsid w:val="00B239AE"/>
    <w:rsid w:val="00B24009"/>
    <w:rsid w:val="00B26DFD"/>
    <w:rsid w:val="00B2736F"/>
    <w:rsid w:val="00B34F6F"/>
    <w:rsid w:val="00B53B74"/>
    <w:rsid w:val="00B569EA"/>
    <w:rsid w:val="00B67745"/>
    <w:rsid w:val="00BC08C0"/>
    <w:rsid w:val="00BC5876"/>
    <w:rsid w:val="00C03BEC"/>
    <w:rsid w:val="00C06C71"/>
    <w:rsid w:val="00C160F9"/>
    <w:rsid w:val="00C27254"/>
    <w:rsid w:val="00C30C01"/>
    <w:rsid w:val="00C3382A"/>
    <w:rsid w:val="00C40ADE"/>
    <w:rsid w:val="00CA1053"/>
    <w:rsid w:val="00CA3B07"/>
    <w:rsid w:val="00CB71EC"/>
    <w:rsid w:val="00CD0D3C"/>
    <w:rsid w:val="00CE7B6C"/>
    <w:rsid w:val="00CF66D2"/>
    <w:rsid w:val="00D15EFE"/>
    <w:rsid w:val="00D2547F"/>
    <w:rsid w:val="00D369B4"/>
    <w:rsid w:val="00D43300"/>
    <w:rsid w:val="00D50C12"/>
    <w:rsid w:val="00D51EE6"/>
    <w:rsid w:val="00D53DCD"/>
    <w:rsid w:val="00D57298"/>
    <w:rsid w:val="00D607EC"/>
    <w:rsid w:val="00D74D4D"/>
    <w:rsid w:val="00D80830"/>
    <w:rsid w:val="00D82246"/>
    <w:rsid w:val="00D95FA1"/>
    <w:rsid w:val="00DA7579"/>
    <w:rsid w:val="00DB110A"/>
    <w:rsid w:val="00DC2F2B"/>
    <w:rsid w:val="00DD220E"/>
    <w:rsid w:val="00DD4257"/>
    <w:rsid w:val="00DE6386"/>
    <w:rsid w:val="00E050D8"/>
    <w:rsid w:val="00E07D60"/>
    <w:rsid w:val="00E174C1"/>
    <w:rsid w:val="00E20FC0"/>
    <w:rsid w:val="00E674D7"/>
    <w:rsid w:val="00E83C51"/>
    <w:rsid w:val="00EA379A"/>
    <w:rsid w:val="00EB3D27"/>
    <w:rsid w:val="00EB5938"/>
    <w:rsid w:val="00EC5133"/>
    <w:rsid w:val="00EF3C14"/>
    <w:rsid w:val="00F01A39"/>
    <w:rsid w:val="00F05A42"/>
    <w:rsid w:val="00F1327C"/>
    <w:rsid w:val="00F23F50"/>
    <w:rsid w:val="00F44087"/>
    <w:rsid w:val="00F45705"/>
    <w:rsid w:val="00F53D70"/>
    <w:rsid w:val="00F66752"/>
    <w:rsid w:val="00F760EE"/>
    <w:rsid w:val="00F837F1"/>
    <w:rsid w:val="00FA04F5"/>
    <w:rsid w:val="00FB1435"/>
    <w:rsid w:val="00FD126D"/>
    <w:rsid w:val="00FD2653"/>
    <w:rsid w:val="00FE0264"/>
    <w:rsid w:val="00FF10DA"/>
    <w:rsid w:val="00FF24F8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9BAD9F"/>
  <w15:chartTrackingRefBased/>
  <w15:docId w15:val="{7CA63725-108F-41F3-9FC4-D3C22C95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C4B"/>
    <w:pPr>
      <w:ind w:left="720"/>
      <w:contextualSpacing/>
    </w:pPr>
  </w:style>
  <w:style w:type="paragraph" w:styleId="Revision">
    <w:name w:val="Revision"/>
    <w:hidden/>
    <w:uiPriority w:val="99"/>
    <w:semiHidden/>
    <w:rsid w:val="005A311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2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A9"/>
  </w:style>
  <w:style w:type="paragraph" w:styleId="Footer">
    <w:name w:val="footer"/>
    <w:basedOn w:val="Normal"/>
    <w:link w:val="FooterChar"/>
    <w:uiPriority w:val="99"/>
    <w:unhideWhenUsed/>
    <w:rsid w:val="008C2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A9"/>
  </w:style>
  <w:style w:type="table" w:styleId="TableGrid">
    <w:name w:val="Table Grid"/>
    <w:basedOn w:val="TableNormal"/>
    <w:uiPriority w:val="39"/>
    <w:rsid w:val="001272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42C7AC787A4AA63273B4793A600A" ma:contentTypeVersion="4" ma:contentTypeDescription="Create a new document." ma:contentTypeScope="" ma:versionID="0fe188fc7eb035dfcbb5144471b7e598">
  <xsd:schema xmlns:xsd="http://www.w3.org/2001/XMLSchema" xmlns:xs="http://www.w3.org/2001/XMLSchema" xmlns:p="http://schemas.microsoft.com/office/2006/metadata/properties" xmlns:ns3="fb714139-ddc9-411d-87f3-34fe2b7138a8" targetNamespace="http://schemas.microsoft.com/office/2006/metadata/properties" ma:root="true" ma:fieldsID="482360a513a9368326dd33efebfaca96" ns3:_="">
    <xsd:import namespace="fb714139-ddc9-411d-87f3-34fe2b713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4139-ddc9-411d-87f3-34fe2b713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F061-3221-4403-B9F5-B70C7C4F356F}">
  <ds:schemaRefs>
    <ds:schemaRef ds:uri="http://purl.org/dc/elements/1.1/"/>
    <ds:schemaRef ds:uri="http://schemas.microsoft.com/office/2006/metadata/properties"/>
    <ds:schemaRef ds:uri="fb714139-ddc9-411d-87f3-34fe2b7138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9F1AD-2804-4350-95A5-2E612274A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AFD3F-E593-44CA-8D5C-75880617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4139-ddc9-411d-87f3-34fe2b713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56E7F-A65C-4735-B95A-DB4D7E62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Munn (Ministry of Health)</dc:creator>
  <cp:keywords/>
  <dc:description/>
  <cp:lastModifiedBy>Bleys, Clare</cp:lastModifiedBy>
  <cp:revision>2</cp:revision>
  <dcterms:created xsi:type="dcterms:W3CDTF">2020-05-21T06:13:00Z</dcterms:created>
  <dcterms:modified xsi:type="dcterms:W3CDTF">2020-05-21T06:13:00Z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0x01010044F342C7AC787A4AA63273B4793A600A</vt:lpwstr>
  </property>
</Properties>
</file>