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323" w:rsidRDefault="00DF28C4" w:rsidP="00BB1323">
      <w:pPr>
        <w:pStyle w:val="Heading2"/>
        <w:spacing w:before="4920"/>
        <w:rPr>
          <w:vanish w:val="0"/>
          <w:color w:val="0070C0"/>
          <w:sz w:val="44"/>
        </w:rPr>
      </w:pPr>
      <w:r w:rsidRPr="00BB1323">
        <w:rPr>
          <w:vanish w:val="0"/>
          <w:color w:val="0070C0"/>
          <w:sz w:val="44"/>
        </w:rPr>
        <w:t>Modelling a Stronger A</w:t>
      </w:r>
      <w:bookmarkStart w:id="0" w:name="_GoBack"/>
      <w:bookmarkEnd w:id="0"/>
      <w:r w:rsidRPr="00BB1323">
        <w:rPr>
          <w:vanish w:val="0"/>
          <w:color w:val="0070C0"/>
          <w:sz w:val="44"/>
        </w:rPr>
        <w:t>pproach to Total Sugars and Sodium</w:t>
      </w:r>
    </w:p>
    <w:p w:rsidR="001F41EF" w:rsidRPr="001F41EF" w:rsidRDefault="001F41EF" w:rsidP="001F41EF">
      <w:pPr>
        <w:spacing w:before="600" w:after="600"/>
        <w:jc w:val="center"/>
        <w:rPr>
          <w:sz w:val="32"/>
        </w:rPr>
      </w:pPr>
      <w:proofErr w:type="gramStart"/>
      <w:r w:rsidRPr="001F41EF">
        <w:rPr>
          <w:sz w:val="32"/>
        </w:rPr>
        <w:t>a</w:t>
      </w:r>
      <w:proofErr w:type="gramEnd"/>
      <w:r w:rsidRPr="001F41EF">
        <w:rPr>
          <w:sz w:val="32"/>
        </w:rPr>
        <w:t xml:space="preserve"> paper developed by</w:t>
      </w:r>
      <w:r>
        <w:rPr>
          <w:sz w:val="32"/>
        </w:rPr>
        <w:t xml:space="preserve"> the</w:t>
      </w:r>
    </w:p>
    <w:p w:rsidR="001F41EF" w:rsidRPr="00F11F9F" w:rsidRDefault="00BB1323" w:rsidP="00F11F9F">
      <w:pPr>
        <w:jc w:val="center"/>
        <w:rPr>
          <w:b/>
          <w:sz w:val="36"/>
        </w:rPr>
      </w:pPr>
      <w:r w:rsidRPr="00F11F9F">
        <w:rPr>
          <w:b/>
          <w:sz w:val="36"/>
        </w:rPr>
        <w:t>Food Regulation Standing Committee</w:t>
      </w:r>
    </w:p>
    <w:p w:rsidR="00F11F9F" w:rsidRDefault="00BB1323" w:rsidP="00F11F9F">
      <w:pPr>
        <w:jc w:val="center"/>
        <w:rPr>
          <w:b/>
          <w:sz w:val="36"/>
        </w:rPr>
      </w:pPr>
      <w:r w:rsidRPr="00F11F9F">
        <w:rPr>
          <w:b/>
          <w:sz w:val="36"/>
        </w:rPr>
        <w:t>Health Star Rating Revi</w:t>
      </w:r>
      <w:r w:rsidR="001F41EF" w:rsidRPr="00F11F9F">
        <w:rPr>
          <w:b/>
          <w:sz w:val="36"/>
        </w:rPr>
        <w:t>ew Implementation Working Group</w:t>
      </w:r>
      <w:r w:rsidR="00F11F9F">
        <w:rPr>
          <w:b/>
          <w:sz w:val="36"/>
        </w:rPr>
        <w:br w:type="page"/>
      </w:r>
    </w:p>
    <w:p w:rsidR="00503D15" w:rsidRPr="00F11F9F" w:rsidRDefault="00503D15" w:rsidP="00F11F9F">
      <w:pPr>
        <w:jc w:val="center"/>
        <w:rPr>
          <w:b/>
          <w:sz w:val="36"/>
        </w:rPr>
      </w:pPr>
    </w:p>
    <w:p w:rsidR="00F412CD" w:rsidRPr="00F412CD" w:rsidRDefault="00F412CD" w:rsidP="00DF28C4">
      <w:pPr>
        <w:spacing w:before="120" w:after="120"/>
        <w:rPr>
          <w:i/>
          <w:color w:val="000000" w:themeColor="text1"/>
          <w:sz w:val="28"/>
          <w:shd w:val="clear" w:color="auto" w:fill="FFFFFF"/>
        </w:rPr>
      </w:pPr>
      <w:r w:rsidRPr="00F412CD">
        <w:rPr>
          <w:i/>
          <w:color w:val="000000" w:themeColor="text1"/>
          <w:sz w:val="28"/>
          <w:shd w:val="clear" w:color="auto" w:fill="FFFFFF"/>
        </w:rPr>
        <w:t>Introduction</w:t>
      </w:r>
    </w:p>
    <w:p w:rsidR="00DF28C4" w:rsidRPr="006D05B7" w:rsidRDefault="00DF28C4" w:rsidP="00DF28C4">
      <w:pPr>
        <w:spacing w:before="120" w:after="120"/>
      </w:pPr>
      <w:r w:rsidRPr="006D05B7">
        <w:rPr>
          <w:color w:val="000000" w:themeColor="text1"/>
          <w:shd w:val="clear" w:color="auto" w:fill="FFFFFF"/>
        </w:rPr>
        <w:t xml:space="preserve">The Health Star Rating (HSR) is a front-of-pack labelling system that rates the overall nutritional profile of packaged food and assigns it a rating from ½ a star to 5 stars. It was designed to provide a quick, easy, standard way for consumers to compare similar packaged foods. The more stars, the healthier the choice. </w:t>
      </w:r>
      <w:r w:rsidRPr="006D05B7">
        <w:t>The HSR system was implemented as a voluntary food product front-of-pack labelling program in Australia</w:t>
      </w:r>
      <w:r>
        <w:t xml:space="preserve"> in June 2014. </w:t>
      </w:r>
    </w:p>
    <w:p w:rsidR="00DF28C4" w:rsidRPr="006D05B7" w:rsidRDefault="00DF28C4" w:rsidP="00DF28C4">
      <w:pPr>
        <w:spacing w:before="120" w:after="120"/>
      </w:pPr>
      <w:r w:rsidRPr="006D05B7">
        <w:t xml:space="preserve">When the HSR system was approved by the Australia New Zealand Forum on Food Regulation (the Forum), Ministers agreed that an independent review of the system be carried out after five years of implementation. </w:t>
      </w:r>
      <w:r w:rsidRPr="006D05B7">
        <w:rPr>
          <w:iCs/>
        </w:rPr>
        <w:t xml:space="preserve">This </w:t>
      </w:r>
      <w:r w:rsidRPr="006D05B7">
        <w:t>review of the HSR system (the Review) was completed in May 2019 and recommended a range of changes to improve the operation of the HSR calculator, drive uptake by industry and better mana</w:t>
      </w:r>
      <w:r>
        <w:t>ge and monitor the HSR system.</w:t>
      </w:r>
      <w:r w:rsidR="00135B89">
        <w:t xml:space="preserve"> </w:t>
      </w:r>
    </w:p>
    <w:p w:rsidR="00DF28C4" w:rsidRPr="006D05B7" w:rsidRDefault="00DF28C4" w:rsidP="00BE1F4F">
      <w:pPr>
        <w:spacing w:after="60"/>
      </w:pPr>
      <w:r w:rsidRPr="006D05B7">
        <w:t>In its response to the Review, the Forum agreed the HSR system is a useful tool and should continue with some amendments. The Forum requested that Food Standards Australia New</w:t>
      </w:r>
      <w:r w:rsidR="0021362C">
        <w:t> </w:t>
      </w:r>
      <w:r w:rsidRPr="006D05B7">
        <w:t>Zealand (FSANZ) do a peer review of the modelling provided in the Review report and provide advice on the combined impact of a proposed package of changes to the way the HSR is calculated</w:t>
      </w:r>
      <w:r w:rsidRPr="006D05B7">
        <w:rPr>
          <w:rStyle w:val="FootnoteReference"/>
        </w:rPr>
        <w:footnoteReference w:id="1"/>
      </w:r>
      <w:r w:rsidRPr="006D05B7">
        <w:t xml:space="preserve"> to better align foods with dietary guidelines. These changes, outlined in Recommend</w:t>
      </w:r>
      <w:r>
        <w:t xml:space="preserve">ation four of the Review, were: </w:t>
      </w:r>
    </w:p>
    <w:p w:rsidR="00DF28C4" w:rsidRPr="006D05B7" w:rsidRDefault="00DF28C4" w:rsidP="00BE1F4F">
      <w:pPr>
        <w:pStyle w:val="FSBullet1"/>
        <w:numPr>
          <w:ilvl w:val="0"/>
          <w:numId w:val="0"/>
        </w:numPr>
        <w:spacing w:after="60"/>
        <w:ind w:left="993" w:hanging="567"/>
        <w:rPr>
          <w:rFonts w:ascii="Times New Roman" w:hAnsi="Times New Roman" w:cs="Times New Roman"/>
          <w:sz w:val="24"/>
        </w:rPr>
      </w:pPr>
      <w:r w:rsidRPr="006D05B7">
        <w:rPr>
          <w:rFonts w:ascii="Times New Roman" w:hAnsi="Times New Roman" w:cs="Times New Roman"/>
          <w:sz w:val="24"/>
        </w:rPr>
        <w:t>4a</w:t>
      </w:r>
      <w:r w:rsidRPr="006D05B7">
        <w:rPr>
          <w:rFonts w:ascii="Times New Roman" w:hAnsi="Times New Roman" w:cs="Times New Roman"/>
          <w:sz w:val="24"/>
        </w:rPr>
        <w:tab/>
        <w:t>allow fresh, frozen or canned fruit and vegetables (with no added salt, sugars or fat) to automatically receive a HSR of 5</w:t>
      </w:r>
    </w:p>
    <w:p w:rsidR="00DF28C4" w:rsidRPr="006D05B7" w:rsidRDefault="00DF28C4" w:rsidP="00BE1F4F">
      <w:pPr>
        <w:pStyle w:val="FSBullet1"/>
        <w:numPr>
          <w:ilvl w:val="0"/>
          <w:numId w:val="0"/>
        </w:numPr>
        <w:spacing w:after="60"/>
        <w:ind w:left="993" w:hanging="567"/>
        <w:rPr>
          <w:rFonts w:ascii="Times New Roman" w:hAnsi="Times New Roman" w:cs="Times New Roman"/>
          <w:sz w:val="24"/>
        </w:rPr>
      </w:pPr>
      <w:r w:rsidRPr="006D05B7">
        <w:rPr>
          <w:rFonts w:ascii="Times New Roman" w:hAnsi="Times New Roman" w:cs="Times New Roman"/>
          <w:sz w:val="24"/>
        </w:rPr>
        <w:t>4b</w:t>
      </w:r>
      <w:r w:rsidRPr="006D05B7">
        <w:rPr>
          <w:rFonts w:ascii="Times New Roman" w:hAnsi="Times New Roman" w:cs="Times New Roman"/>
          <w:sz w:val="24"/>
        </w:rPr>
        <w:tab/>
        <w:t>more strongly penalise total sugars</w:t>
      </w:r>
    </w:p>
    <w:p w:rsidR="00DF28C4" w:rsidRPr="006D05B7" w:rsidRDefault="00DF28C4" w:rsidP="00BE1F4F">
      <w:pPr>
        <w:pStyle w:val="FSBullet1"/>
        <w:numPr>
          <w:ilvl w:val="0"/>
          <w:numId w:val="0"/>
        </w:numPr>
        <w:spacing w:after="60"/>
        <w:ind w:left="993" w:hanging="567"/>
        <w:rPr>
          <w:rFonts w:ascii="Times New Roman" w:hAnsi="Times New Roman" w:cs="Times New Roman"/>
          <w:sz w:val="24"/>
        </w:rPr>
      </w:pPr>
      <w:r w:rsidRPr="006D05B7">
        <w:rPr>
          <w:rFonts w:ascii="Times New Roman" w:hAnsi="Times New Roman" w:cs="Times New Roman"/>
          <w:sz w:val="24"/>
        </w:rPr>
        <w:t>4c</w:t>
      </w:r>
      <w:r w:rsidRPr="006D05B7">
        <w:rPr>
          <w:rFonts w:ascii="Times New Roman" w:hAnsi="Times New Roman" w:cs="Times New Roman"/>
          <w:sz w:val="24"/>
        </w:rPr>
        <w:tab/>
        <w:t>improve sodium sensitivity to reduce the HSR of products with sodium in excess of 900 mg/100 g</w:t>
      </w:r>
    </w:p>
    <w:p w:rsidR="00DF28C4" w:rsidRPr="006D05B7" w:rsidRDefault="00DF28C4" w:rsidP="00BE1F4F">
      <w:pPr>
        <w:pStyle w:val="FSBullet1"/>
        <w:numPr>
          <w:ilvl w:val="0"/>
          <w:numId w:val="0"/>
        </w:numPr>
        <w:spacing w:after="60"/>
        <w:ind w:left="993" w:hanging="567"/>
        <w:rPr>
          <w:rFonts w:ascii="Times New Roman" w:hAnsi="Times New Roman" w:cs="Times New Roman"/>
          <w:sz w:val="24"/>
        </w:rPr>
      </w:pPr>
      <w:r w:rsidRPr="006D05B7">
        <w:rPr>
          <w:rFonts w:ascii="Times New Roman" w:hAnsi="Times New Roman" w:cs="Times New Roman"/>
          <w:sz w:val="24"/>
        </w:rPr>
        <w:t>4d</w:t>
      </w:r>
      <w:r w:rsidRPr="006D05B7">
        <w:rPr>
          <w:rFonts w:ascii="Times New Roman" w:hAnsi="Times New Roman" w:cs="Times New Roman"/>
          <w:sz w:val="24"/>
        </w:rPr>
        <w:tab/>
        <w:t>redefine and rescale dairy categories to better differentiate and improve comparability between four/five food group</w:t>
      </w:r>
      <w:r w:rsidRPr="006D05B7">
        <w:rPr>
          <w:rStyle w:val="FootnoteReference"/>
          <w:rFonts w:ascii="Times New Roman" w:hAnsi="Times New Roman" w:cs="Times New Roman"/>
          <w:sz w:val="24"/>
          <w:lang w:eastAsia="en-AU"/>
        </w:rPr>
        <w:footnoteReference w:id="2"/>
      </w:r>
      <w:r w:rsidRPr="006D05B7">
        <w:rPr>
          <w:rFonts w:ascii="Times New Roman" w:hAnsi="Times New Roman" w:cs="Times New Roman"/>
          <w:sz w:val="24"/>
        </w:rPr>
        <w:t xml:space="preserve"> (FFG) and dairy dessert type products</w:t>
      </w:r>
    </w:p>
    <w:p w:rsidR="00DF28C4" w:rsidRPr="006D05B7" w:rsidRDefault="00DF28C4" w:rsidP="00BE1F4F">
      <w:pPr>
        <w:pStyle w:val="FSBullet1"/>
        <w:numPr>
          <w:ilvl w:val="0"/>
          <w:numId w:val="0"/>
        </w:numPr>
        <w:spacing w:after="60"/>
        <w:ind w:left="993" w:hanging="567"/>
        <w:rPr>
          <w:rFonts w:ascii="Times New Roman" w:hAnsi="Times New Roman" w:cs="Times New Roman"/>
          <w:sz w:val="24"/>
        </w:rPr>
      </w:pPr>
      <w:r w:rsidRPr="006D05B7">
        <w:rPr>
          <w:rFonts w:ascii="Times New Roman" w:hAnsi="Times New Roman" w:cs="Times New Roman"/>
          <w:sz w:val="24"/>
        </w:rPr>
        <w:t>4e</w:t>
      </w:r>
      <w:r w:rsidRPr="006D05B7">
        <w:rPr>
          <w:rFonts w:ascii="Times New Roman" w:hAnsi="Times New Roman" w:cs="Times New Roman"/>
          <w:sz w:val="24"/>
        </w:rPr>
        <w:tab/>
        <w:t>re-categorise water-based ice confections and jellies, and calculate HSRs for these products on an ‘as prepared’ basis</w:t>
      </w:r>
      <w:r w:rsidRPr="006D05B7">
        <w:rPr>
          <w:rStyle w:val="FootnoteReference"/>
          <w:rFonts w:ascii="Times New Roman" w:hAnsi="Times New Roman" w:cs="Times New Roman"/>
          <w:sz w:val="24"/>
        </w:rPr>
        <w:footnoteReference w:id="3"/>
      </w:r>
      <w:r>
        <w:rPr>
          <w:rFonts w:ascii="Times New Roman" w:hAnsi="Times New Roman" w:cs="Times New Roman"/>
          <w:sz w:val="24"/>
        </w:rPr>
        <w:t xml:space="preserve"> </w:t>
      </w:r>
    </w:p>
    <w:p w:rsidR="00DF28C4" w:rsidRPr="006D05B7" w:rsidRDefault="00DF28C4" w:rsidP="0019172E">
      <w:pPr>
        <w:spacing w:before="240" w:after="120"/>
      </w:pPr>
      <w:r w:rsidRPr="006D05B7">
        <w:t>See FSANZ paper 1 for the peer review of the impact of all</w:t>
      </w:r>
      <w:r>
        <w:t xml:space="preserve"> recommended changes.</w:t>
      </w:r>
      <w:r w:rsidR="00135B89">
        <w:t xml:space="preserve"> </w:t>
      </w:r>
    </w:p>
    <w:p w:rsidR="00DF28C4" w:rsidRPr="006D05B7" w:rsidRDefault="00DF28C4" w:rsidP="00DF28C4">
      <w:pPr>
        <w:spacing w:before="120" w:after="120"/>
      </w:pPr>
      <w:r w:rsidRPr="006D05B7">
        <w:t>The Forum also asked FSANZ to undertake additional modelling on recommendations 4b and 4c, and provide advice on the impact of a stronger approach to total sugars and sodium in the HSR calculations. All other HSR calculator recommendations were incorporated into a revised HSR calculator and were reflected in the additional modelling of impacts</w:t>
      </w:r>
      <w:r w:rsidR="00ED4AA4">
        <w:rPr>
          <w:rStyle w:val="FootnoteReference"/>
        </w:rPr>
        <w:footnoteReference w:id="4"/>
      </w:r>
      <w:r w:rsidRPr="006D05B7">
        <w:t>.</w:t>
      </w:r>
    </w:p>
    <w:p w:rsidR="00ED4AA4" w:rsidRDefault="00DF28C4" w:rsidP="00ED4AA4">
      <w:pPr>
        <w:rPr>
          <w:rFonts w:ascii="Arial" w:hAnsi="Arial" w:cs="Arial"/>
          <w:sz w:val="22"/>
          <w:szCs w:val="22"/>
        </w:rPr>
      </w:pPr>
      <w:r w:rsidRPr="006D05B7">
        <w:t xml:space="preserve">Modelling undertaken as part of the Review used the database of food products developed and used by the HSR Technical Advisory Group (the TAG database). </w:t>
      </w:r>
      <w:r w:rsidR="00ED4AA4">
        <w:t xml:space="preserve">While noting it has some limitations, to be consistent in assessing the impact of a stronger approach to total sugars and sodium, FSANZ </w:t>
      </w:r>
      <w:r w:rsidR="00ED4AA4">
        <w:lastRenderedPageBreak/>
        <w:t>used the same TAG database and updated HSR calculator reflecting all changes recommended by the Review.</w:t>
      </w:r>
    </w:p>
    <w:p w:rsidR="00DF28C4" w:rsidRPr="00C42052" w:rsidRDefault="00DF28C4" w:rsidP="00DF28C4"/>
    <w:p w:rsidR="00BE1F4F" w:rsidRDefault="00BE1F4F" w:rsidP="00EF0130">
      <w:pPr>
        <w:pBdr>
          <w:top w:val="single" w:sz="4" w:space="1" w:color="auto"/>
          <w:left w:val="single" w:sz="4" w:space="5" w:color="auto"/>
          <w:bottom w:val="single" w:sz="4" w:space="1" w:color="auto"/>
          <w:right w:val="single" w:sz="4" w:space="4" w:color="auto"/>
        </w:pBdr>
        <w:rPr>
          <w:b/>
          <w:szCs w:val="28"/>
        </w:rPr>
      </w:pPr>
    </w:p>
    <w:p w:rsidR="00DF28C4" w:rsidRPr="0019172E" w:rsidRDefault="00DF28C4" w:rsidP="00EF0130">
      <w:pPr>
        <w:pBdr>
          <w:top w:val="single" w:sz="4" w:space="1" w:color="auto"/>
          <w:left w:val="single" w:sz="4" w:space="5" w:color="auto"/>
          <w:bottom w:val="single" w:sz="4" w:space="1" w:color="auto"/>
          <w:right w:val="single" w:sz="4" w:space="4" w:color="auto"/>
        </w:pBdr>
        <w:rPr>
          <w:b/>
          <w:szCs w:val="28"/>
        </w:rPr>
      </w:pPr>
      <w:r w:rsidRPr="0019172E">
        <w:rPr>
          <w:b/>
          <w:szCs w:val="28"/>
        </w:rPr>
        <w:t>Overall summary of findings:</w:t>
      </w:r>
    </w:p>
    <w:p w:rsidR="00DF28C4" w:rsidRPr="0019172E" w:rsidRDefault="00DF28C4" w:rsidP="00EF0130">
      <w:pPr>
        <w:pBdr>
          <w:top w:val="single" w:sz="4" w:space="1" w:color="auto"/>
          <w:left w:val="single" w:sz="4" w:space="5" w:color="auto"/>
          <w:bottom w:val="single" w:sz="4" w:space="1" w:color="auto"/>
          <w:right w:val="single" w:sz="4" w:space="4" w:color="auto"/>
        </w:pBdr>
        <w:spacing w:before="240" w:after="120"/>
        <w:rPr>
          <w:i/>
          <w:szCs w:val="28"/>
        </w:rPr>
      </w:pPr>
      <w:r w:rsidRPr="0019172E">
        <w:rPr>
          <w:i/>
          <w:szCs w:val="28"/>
        </w:rPr>
        <w:t>Stronger approach to total sugars:</w:t>
      </w:r>
    </w:p>
    <w:p w:rsidR="00DF28C4" w:rsidRPr="006D05B7" w:rsidRDefault="00DF28C4" w:rsidP="00EF0130">
      <w:pPr>
        <w:pStyle w:val="ListParagraph"/>
        <w:numPr>
          <w:ilvl w:val="0"/>
          <w:numId w:val="15"/>
        </w:numPr>
        <w:pBdr>
          <w:top w:val="single" w:sz="4" w:space="1" w:color="auto"/>
          <w:left w:val="single" w:sz="4" w:space="5" w:color="auto"/>
          <w:bottom w:val="single" w:sz="4" w:space="1" w:color="auto"/>
          <w:right w:val="single" w:sz="4" w:space="4" w:color="auto"/>
        </w:pBdr>
        <w:spacing w:after="120" w:line="240" w:lineRule="auto"/>
        <w:ind w:left="357" w:hanging="357"/>
        <w:contextualSpacing w:val="0"/>
        <w:rPr>
          <w:rFonts w:ascii="Times New Roman" w:hAnsi="Times New Roman" w:cs="Times New Roman"/>
          <w:sz w:val="24"/>
          <w:szCs w:val="24"/>
        </w:rPr>
      </w:pPr>
      <w:r w:rsidRPr="006D05B7">
        <w:rPr>
          <w:rFonts w:ascii="Times New Roman" w:hAnsi="Times New Roman" w:cs="Times New Roman"/>
          <w:sz w:val="24"/>
          <w:szCs w:val="24"/>
          <w:lang w:eastAsia="en-AU"/>
        </w:rPr>
        <w:t>A stronger approach to total sugars resulted</w:t>
      </w:r>
      <w:r w:rsidRPr="006D05B7">
        <w:rPr>
          <w:rFonts w:ascii="Times New Roman" w:hAnsi="Times New Roman" w:cs="Times New Roman"/>
          <w:sz w:val="24"/>
          <w:szCs w:val="24"/>
        </w:rPr>
        <w:t xml:space="preserve"> in 10% of food products in </w:t>
      </w:r>
      <w:r w:rsidRPr="006D05B7">
        <w:rPr>
          <w:rFonts w:ascii="Times New Roman" w:hAnsi="Times New Roman" w:cs="Times New Roman"/>
          <w:sz w:val="24"/>
          <w:szCs w:val="24"/>
          <w:lang w:eastAsia="en-AU"/>
        </w:rPr>
        <w:t>HSR Categories 1D, 2 and 2D</w:t>
      </w:r>
      <w:r w:rsidRPr="006D05B7">
        <w:rPr>
          <w:rFonts w:ascii="Times New Roman" w:hAnsi="Times New Roman" w:cs="Times New Roman"/>
          <w:sz w:val="24"/>
          <w:szCs w:val="24"/>
        </w:rPr>
        <w:t>, being</w:t>
      </w:r>
      <w:r w:rsidRPr="006D05B7">
        <w:rPr>
          <w:rFonts w:ascii="Times New Roman" w:hAnsi="Times New Roman" w:cs="Times New Roman"/>
          <w:sz w:val="24"/>
          <w:szCs w:val="24"/>
          <w:lang w:eastAsia="en-AU"/>
        </w:rPr>
        <w:t xml:space="preserve"> affected by a reduction in HSR.</w:t>
      </w:r>
    </w:p>
    <w:p w:rsidR="00DF28C4" w:rsidRPr="006D05B7" w:rsidRDefault="00DF28C4" w:rsidP="00EF0130">
      <w:pPr>
        <w:pStyle w:val="ListParagraph"/>
        <w:numPr>
          <w:ilvl w:val="0"/>
          <w:numId w:val="15"/>
        </w:numPr>
        <w:pBdr>
          <w:top w:val="single" w:sz="4" w:space="1" w:color="auto"/>
          <w:left w:val="single" w:sz="4" w:space="5" w:color="auto"/>
          <w:bottom w:val="single" w:sz="4" w:space="1" w:color="auto"/>
          <w:right w:val="single" w:sz="4" w:space="4" w:color="auto"/>
        </w:pBdr>
        <w:spacing w:after="120" w:line="240" w:lineRule="auto"/>
        <w:ind w:left="357" w:hanging="357"/>
        <w:contextualSpacing w:val="0"/>
        <w:rPr>
          <w:rFonts w:ascii="Times New Roman" w:hAnsi="Times New Roman" w:cs="Times New Roman"/>
          <w:sz w:val="24"/>
          <w:szCs w:val="24"/>
        </w:rPr>
      </w:pPr>
      <w:r w:rsidRPr="006D05B7">
        <w:rPr>
          <w:rFonts w:ascii="Times New Roman" w:hAnsi="Times New Roman" w:cs="Times New Roman"/>
          <w:sz w:val="24"/>
          <w:szCs w:val="24"/>
        </w:rPr>
        <w:t>Overall</w:t>
      </w:r>
      <w:r w:rsidRPr="006D05B7">
        <w:rPr>
          <w:rFonts w:ascii="Times New Roman" w:hAnsi="Times New Roman" w:cs="Times New Roman"/>
          <w:sz w:val="24"/>
          <w:szCs w:val="24"/>
          <w:lang w:eastAsia="en-AU"/>
        </w:rPr>
        <w:t>, the proportion of five food group FFG (5%) and discretionary (5%) products impacted by the stronger sugars scenario were approximately equal.</w:t>
      </w:r>
    </w:p>
    <w:p w:rsidR="00DF28C4" w:rsidRPr="006D05B7" w:rsidRDefault="00DF28C4" w:rsidP="00EF0130">
      <w:pPr>
        <w:pStyle w:val="ListParagraph"/>
        <w:numPr>
          <w:ilvl w:val="0"/>
          <w:numId w:val="15"/>
        </w:numPr>
        <w:pBdr>
          <w:top w:val="single" w:sz="4" w:space="1" w:color="auto"/>
          <w:left w:val="single" w:sz="4" w:space="5" w:color="auto"/>
          <w:bottom w:val="single" w:sz="4" w:space="1" w:color="auto"/>
          <w:right w:val="single" w:sz="4" w:space="4" w:color="auto"/>
        </w:pBdr>
        <w:spacing w:after="120" w:line="240" w:lineRule="auto"/>
        <w:ind w:left="357" w:hanging="357"/>
        <w:contextualSpacing w:val="0"/>
        <w:rPr>
          <w:rFonts w:ascii="Times New Roman" w:hAnsi="Times New Roman" w:cs="Times New Roman"/>
          <w:sz w:val="24"/>
          <w:szCs w:val="24"/>
        </w:rPr>
      </w:pPr>
      <w:r w:rsidRPr="006D05B7">
        <w:rPr>
          <w:rFonts w:ascii="Times New Roman" w:hAnsi="Times New Roman" w:cs="Times New Roman"/>
          <w:sz w:val="24"/>
          <w:szCs w:val="24"/>
          <w:lang w:eastAsia="en-AU"/>
        </w:rPr>
        <w:t>The majority of affected products received a 0.5 HSR reduction with a small proportion of products receiving a 1 HSR reduction.</w:t>
      </w:r>
    </w:p>
    <w:p w:rsidR="00DF28C4" w:rsidRPr="0019172E" w:rsidRDefault="00DF28C4" w:rsidP="00EF0130">
      <w:pPr>
        <w:pBdr>
          <w:top w:val="single" w:sz="4" w:space="1" w:color="auto"/>
          <w:left w:val="single" w:sz="4" w:space="5" w:color="auto"/>
          <w:bottom w:val="single" w:sz="4" w:space="1" w:color="auto"/>
          <w:right w:val="single" w:sz="4" w:space="4" w:color="auto"/>
        </w:pBdr>
        <w:spacing w:before="240" w:after="120"/>
        <w:rPr>
          <w:i/>
          <w:szCs w:val="28"/>
        </w:rPr>
      </w:pPr>
      <w:r w:rsidRPr="0019172E">
        <w:rPr>
          <w:i/>
          <w:szCs w:val="28"/>
        </w:rPr>
        <w:t>Stronger approach to sodium</w:t>
      </w:r>
    </w:p>
    <w:p w:rsidR="00DF28C4" w:rsidRPr="006D05B7" w:rsidRDefault="00DF28C4" w:rsidP="00EF0130">
      <w:pPr>
        <w:pStyle w:val="ListParagraph"/>
        <w:numPr>
          <w:ilvl w:val="0"/>
          <w:numId w:val="15"/>
        </w:numPr>
        <w:pBdr>
          <w:top w:val="single" w:sz="4" w:space="1" w:color="auto"/>
          <w:left w:val="single" w:sz="4" w:space="5" w:color="auto"/>
          <w:bottom w:val="single" w:sz="4" w:space="1" w:color="auto"/>
          <w:right w:val="single" w:sz="4" w:space="4" w:color="auto"/>
        </w:pBdr>
        <w:spacing w:after="120" w:line="240" w:lineRule="auto"/>
        <w:ind w:left="357" w:hanging="357"/>
        <w:contextualSpacing w:val="0"/>
        <w:rPr>
          <w:rFonts w:ascii="Times New Roman" w:hAnsi="Times New Roman" w:cs="Times New Roman"/>
          <w:sz w:val="24"/>
          <w:szCs w:val="24"/>
        </w:rPr>
      </w:pPr>
      <w:r w:rsidRPr="006D05B7">
        <w:rPr>
          <w:rFonts w:ascii="Times New Roman" w:hAnsi="Times New Roman" w:cs="Times New Roman"/>
          <w:sz w:val="24"/>
          <w:szCs w:val="24"/>
          <w:lang w:eastAsia="en-AU"/>
        </w:rPr>
        <w:t>A stronger approach to sodium resulted in 78% of cheeses in HSR Category 3D being affected by a reduction in HSR of 0.5 stars, but with some products receiving up to a 1.5 star reduction, including some reduced fat cheeses.</w:t>
      </w:r>
    </w:p>
    <w:p w:rsidR="00DF28C4" w:rsidRPr="006D05B7" w:rsidRDefault="00DF28C4" w:rsidP="00EF0130">
      <w:pPr>
        <w:pStyle w:val="ListParagraph"/>
        <w:numPr>
          <w:ilvl w:val="0"/>
          <w:numId w:val="15"/>
        </w:numPr>
        <w:pBdr>
          <w:top w:val="single" w:sz="4" w:space="1" w:color="auto"/>
          <w:left w:val="single" w:sz="4" w:space="5" w:color="auto"/>
          <w:bottom w:val="single" w:sz="4" w:space="1" w:color="auto"/>
          <w:right w:val="single" w:sz="4" w:space="4" w:color="auto"/>
        </w:pBdr>
        <w:spacing w:after="120" w:line="240" w:lineRule="auto"/>
        <w:ind w:left="357" w:hanging="357"/>
        <w:contextualSpacing w:val="0"/>
        <w:rPr>
          <w:rFonts w:ascii="Times New Roman" w:hAnsi="Times New Roman" w:cs="Times New Roman"/>
          <w:sz w:val="24"/>
          <w:szCs w:val="24"/>
        </w:rPr>
      </w:pPr>
      <w:r w:rsidRPr="006D05B7">
        <w:rPr>
          <w:rFonts w:ascii="Times New Roman" w:hAnsi="Times New Roman" w:cs="Times New Roman"/>
          <w:sz w:val="24"/>
          <w:szCs w:val="24"/>
          <w:lang w:eastAsia="en-AU"/>
        </w:rPr>
        <w:t>HSR Category 3 fats, oils &amp; oil based spreads, was minimally affected, with 13% of food products affected by a reduction of 0.5 stars.</w:t>
      </w:r>
    </w:p>
    <w:p w:rsidR="00DF28C4" w:rsidRPr="006D05B7" w:rsidRDefault="00DF28C4" w:rsidP="00EF0130">
      <w:pPr>
        <w:pStyle w:val="ListParagraph"/>
        <w:numPr>
          <w:ilvl w:val="0"/>
          <w:numId w:val="15"/>
        </w:numPr>
        <w:pBdr>
          <w:top w:val="single" w:sz="4" w:space="1" w:color="auto"/>
          <w:left w:val="single" w:sz="4" w:space="5" w:color="auto"/>
          <w:bottom w:val="single" w:sz="4" w:space="1" w:color="auto"/>
          <w:right w:val="single" w:sz="4" w:space="4" w:color="auto"/>
        </w:pBdr>
        <w:spacing w:after="120" w:line="240" w:lineRule="auto"/>
        <w:ind w:left="357" w:hanging="357"/>
        <w:contextualSpacing w:val="0"/>
        <w:rPr>
          <w:rFonts w:ascii="Times New Roman" w:hAnsi="Times New Roman" w:cs="Times New Roman"/>
          <w:sz w:val="24"/>
          <w:szCs w:val="24"/>
        </w:rPr>
      </w:pPr>
      <w:r w:rsidRPr="006D05B7">
        <w:rPr>
          <w:rFonts w:ascii="Times New Roman" w:hAnsi="Times New Roman" w:cs="Times New Roman"/>
          <w:sz w:val="24"/>
          <w:szCs w:val="24"/>
          <w:lang w:eastAsia="en-AU"/>
        </w:rPr>
        <w:t>Approximately 14% of products in HSR Categories 1D, 2 and 2D were affected by reductions in HSR are a result of the stronger sodium scenario.</w:t>
      </w:r>
    </w:p>
    <w:p w:rsidR="00DF28C4" w:rsidRPr="006D05B7" w:rsidRDefault="00DF28C4" w:rsidP="00EF0130">
      <w:pPr>
        <w:pStyle w:val="ListParagraph"/>
        <w:numPr>
          <w:ilvl w:val="0"/>
          <w:numId w:val="15"/>
        </w:numPr>
        <w:pBdr>
          <w:top w:val="single" w:sz="4" w:space="1" w:color="auto"/>
          <w:left w:val="single" w:sz="4" w:space="5" w:color="auto"/>
          <w:bottom w:val="single" w:sz="4" w:space="1" w:color="auto"/>
          <w:right w:val="single" w:sz="4" w:space="4" w:color="auto"/>
        </w:pBdr>
        <w:spacing w:after="120" w:line="240" w:lineRule="auto"/>
        <w:ind w:left="357" w:hanging="357"/>
        <w:contextualSpacing w:val="0"/>
        <w:rPr>
          <w:rFonts w:ascii="Times New Roman" w:hAnsi="Times New Roman" w:cs="Times New Roman"/>
          <w:sz w:val="24"/>
          <w:szCs w:val="24"/>
        </w:rPr>
      </w:pPr>
      <w:r w:rsidRPr="006D05B7">
        <w:rPr>
          <w:rFonts w:ascii="Times New Roman" w:hAnsi="Times New Roman" w:cs="Times New Roman"/>
          <w:sz w:val="24"/>
          <w:szCs w:val="24"/>
          <w:lang w:eastAsia="en-AU"/>
        </w:rPr>
        <w:t>FFG (7%) and discretionary (8%) products were approximately equally impacted by the stronger sodium scenario.</w:t>
      </w:r>
    </w:p>
    <w:p w:rsidR="00DF28C4" w:rsidRPr="006D05B7" w:rsidRDefault="00DF28C4" w:rsidP="00EF0130">
      <w:pPr>
        <w:pStyle w:val="ListParagraph"/>
        <w:numPr>
          <w:ilvl w:val="0"/>
          <w:numId w:val="15"/>
        </w:numPr>
        <w:pBdr>
          <w:top w:val="single" w:sz="4" w:space="1" w:color="auto"/>
          <w:left w:val="single" w:sz="4" w:space="5" w:color="auto"/>
          <w:bottom w:val="single" w:sz="4" w:space="1" w:color="auto"/>
          <w:right w:val="single" w:sz="4" w:space="4" w:color="auto"/>
        </w:pBdr>
        <w:spacing w:after="120" w:line="240" w:lineRule="auto"/>
        <w:ind w:left="357" w:hanging="357"/>
        <w:contextualSpacing w:val="0"/>
        <w:rPr>
          <w:rFonts w:ascii="Times New Roman" w:hAnsi="Times New Roman" w:cs="Times New Roman"/>
          <w:sz w:val="24"/>
          <w:szCs w:val="24"/>
        </w:rPr>
      </w:pPr>
      <w:r w:rsidRPr="006D05B7">
        <w:rPr>
          <w:rFonts w:ascii="Times New Roman" w:hAnsi="Times New Roman" w:cs="Times New Roman"/>
          <w:sz w:val="24"/>
          <w:szCs w:val="24"/>
          <w:lang w:eastAsia="en-AU"/>
        </w:rPr>
        <w:t>The majority of affected products received a 0.5 HSR reduction but with a small proportion of products receiving a 1 or 1.5 star reduction.</w:t>
      </w:r>
    </w:p>
    <w:p w:rsidR="00DF28C4" w:rsidRPr="0019172E" w:rsidRDefault="00DF28C4" w:rsidP="00EF0130">
      <w:pPr>
        <w:pBdr>
          <w:top w:val="single" w:sz="4" w:space="1" w:color="auto"/>
          <w:left w:val="single" w:sz="4" w:space="5" w:color="auto"/>
          <w:bottom w:val="single" w:sz="4" w:space="1" w:color="auto"/>
          <w:right w:val="single" w:sz="4" w:space="4" w:color="auto"/>
        </w:pBdr>
        <w:spacing w:before="240" w:after="120"/>
        <w:rPr>
          <w:i/>
          <w:szCs w:val="28"/>
        </w:rPr>
      </w:pPr>
      <w:r w:rsidRPr="0019172E">
        <w:rPr>
          <w:i/>
          <w:szCs w:val="28"/>
        </w:rPr>
        <w:t>Combined stronger approach to total sugars and sodium</w:t>
      </w:r>
    </w:p>
    <w:p w:rsidR="00DF28C4" w:rsidRPr="006D05B7" w:rsidRDefault="00DF28C4" w:rsidP="00EF0130">
      <w:pPr>
        <w:pStyle w:val="ListParagraph"/>
        <w:numPr>
          <w:ilvl w:val="0"/>
          <w:numId w:val="16"/>
        </w:numPr>
        <w:pBdr>
          <w:top w:val="single" w:sz="4" w:space="1" w:color="auto"/>
          <w:left w:val="single" w:sz="4" w:space="5" w:color="auto"/>
          <w:bottom w:val="single" w:sz="4" w:space="1" w:color="auto"/>
          <w:right w:val="single" w:sz="4" w:space="4" w:color="auto"/>
        </w:pBdr>
        <w:spacing w:after="120" w:line="240" w:lineRule="auto"/>
        <w:ind w:left="357" w:hanging="357"/>
        <w:contextualSpacing w:val="0"/>
        <w:rPr>
          <w:rFonts w:ascii="Times New Roman" w:hAnsi="Times New Roman" w:cs="Times New Roman"/>
          <w:sz w:val="24"/>
          <w:szCs w:val="24"/>
        </w:rPr>
      </w:pPr>
      <w:r w:rsidRPr="006D05B7">
        <w:rPr>
          <w:rFonts w:ascii="Times New Roman" w:hAnsi="Times New Roman" w:cs="Times New Roman"/>
          <w:sz w:val="24"/>
          <w:szCs w:val="24"/>
        </w:rPr>
        <w:t>A</w:t>
      </w:r>
      <w:r w:rsidRPr="006D05B7">
        <w:rPr>
          <w:rFonts w:ascii="Times New Roman" w:hAnsi="Times New Roman" w:cs="Times New Roman"/>
          <w:sz w:val="24"/>
          <w:szCs w:val="24"/>
          <w:lang w:eastAsia="en-AU"/>
        </w:rPr>
        <w:t xml:space="preserve">pproximately 23% of products in HSR </w:t>
      </w:r>
      <w:r w:rsidRPr="006D05B7">
        <w:rPr>
          <w:rFonts w:ascii="Times New Roman" w:hAnsi="Times New Roman" w:cs="Times New Roman"/>
          <w:sz w:val="24"/>
          <w:szCs w:val="24"/>
        </w:rPr>
        <w:t xml:space="preserve">Categories 1D, 2 and 2D </w:t>
      </w:r>
      <w:r w:rsidRPr="006D05B7">
        <w:rPr>
          <w:rFonts w:ascii="Times New Roman" w:hAnsi="Times New Roman" w:cs="Times New Roman"/>
          <w:sz w:val="24"/>
          <w:szCs w:val="24"/>
          <w:lang w:eastAsia="en-AU"/>
        </w:rPr>
        <w:t>would be affected by a reduction in HSR.</w:t>
      </w:r>
    </w:p>
    <w:p w:rsidR="00DF28C4" w:rsidRPr="006D05B7" w:rsidRDefault="00DF28C4" w:rsidP="00EF0130">
      <w:pPr>
        <w:pStyle w:val="ListParagraph"/>
        <w:numPr>
          <w:ilvl w:val="0"/>
          <w:numId w:val="16"/>
        </w:numPr>
        <w:pBdr>
          <w:top w:val="single" w:sz="4" w:space="1" w:color="auto"/>
          <w:left w:val="single" w:sz="4" w:space="5" w:color="auto"/>
          <w:bottom w:val="single" w:sz="4" w:space="1" w:color="auto"/>
          <w:right w:val="single" w:sz="4" w:space="4" w:color="auto"/>
        </w:pBdr>
        <w:spacing w:after="120" w:line="240" w:lineRule="auto"/>
        <w:ind w:left="357" w:hanging="357"/>
        <w:contextualSpacing w:val="0"/>
        <w:rPr>
          <w:rFonts w:ascii="Times New Roman" w:hAnsi="Times New Roman" w:cs="Times New Roman"/>
          <w:sz w:val="24"/>
          <w:szCs w:val="24"/>
        </w:rPr>
      </w:pPr>
      <w:r w:rsidRPr="006D05B7">
        <w:rPr>
          <w:rFonts w:ascii="Times New Roman" w:hAnsi="Times New Roman" w:cs="Times New Roman"/>
          <w:sz w:val="24"/>
          <w:szCs w:val="24"/>
          <w:lang w:eastAsia="en-AU"/>
        </w:rPr>
        <w:t>The proportion of FFG (11%) and discretionary (12%) products impacted by a combined scenario was approximately equal.</w:t>
      </w:r>
    </w:p>
    <w:p w:rsidR="00BE1F4F" w:rsidRDefault="0021362C" w:rsidP="00BE1F4F">
      <w:pPr>
        <w:pStyle w:val="ListParagraph"/>
        <w:numPr>
          <w:ilvl w:val="0"/>
          <w:numId w:val="16"/>
        </w:numPr>
        <w:pBdr>
          <w:top w:val="single" w:sz="4" w:space="1" w:color="auto"/>
          <w:left w:val="single" w:sz="4" w:space="5" w:color="auto"/>
          <w:bottom w:val="single" w:sz="4" w:space="1" w:color="auto"/>
          <w:right w:val="single" w:sz="4" w:space="4" w:color="auto"/>
        </w:pBdr>
        <w:spacing w:after="120" w:line="240" w:lineRule="auto"/>
        <w:ind w:left="357" w:hanging="357"/>
        <w:contextualSpacing w:val="0"/>
        <w:rPr>
          <w:rFonts w:ascii="Times New Roman" w:hAnsi="Times New Roman" w:cs="Times New Roman"/>
          <w:sz w:val="24"/>
          <w:szCs w:val="24"/>
        </w:rPr>
      </w:pPr>
      <w:r>
        <w:rPr>
          <w:rFonts w:ascii="Times New Roman" w:hAnsi="Times New Roman" w:cs="Times New Roman"/>
          <w:sz w:val="24"/>
          <w:szCs w:val="24"/>
          <w:lang w:eastAsia="en-AU"/>
        </w:rPr>
        <w:t xml:space="preserve">10% </w:t>
      </w:r>
      <w:r w:rsidR="00DF28C4" w:rsidRPr="006D05B7">
        <w:rPr>
          <w:rFonts w:ascii="Times New Roman" w:hAnsi="Times New Roman" w:cs="Times New Roman"/>
          <w:sz w:val="24"/>
          <w:szCs w:val="24"/>
          <w:lang w:eastAsia="en-AU"/>
        </w:rPr>
        <w:t>of affected products were impacted by both the stronger total sugars and stronger sodium scenarios.</w:t>
      </w:r>
    </w:p>
    <w:p w:rsidR="00BE1F4F" w:rsidRDefault="00BE1F4F" w:rsidP="00BE1F4F">
      <w:pPr>
        <w:pStyle w:val="ListParagraph"/>
        <w:numPr>
          <w:ilvl w:val="0"/>
          <w:numId w:val="16"/>
        </w:numPr>
        <w:pBdr>
          <w:top w:val="single" w:sz="4" w:space="1" w:color="auto"/>
          <w:left w:val="single" w:sz="4" w:space="5" w:color="auto"/>
          <w:bottom w:val="single" w:sz="4" w:space="1" w:color="auto"/>
          <w:right w:val="single" w:sz="4" w:space="4" w:color="auto"/>
        </w:pBdr>
        <w:spacing w:after="120" w:line="240" w:lineRule="auto"/>
        <w:ind w:left="357" w:hanging="357"/>
        <w:contextualSpacing w:val="0"/>
        <w:rPr>
          <w:rFonts w:ascii="Times New Roman" w:hAnsi="Times New Roman" w:cs="Times New Roman"/>
          <w:sz w:val="24"/>
          <w:szCs w:val="24"/>
        </w:rPr>
      </w:pPr>
      <w:r w:rsidRPr="00BE1F4F">
        <w:rPr>
          <w:rFonts w:ascii="Times New Roman" w:hAnsi="Times New Roman" w:cs="Times New Roman"/>
          <w:sz w:val="24"/>
          <w:szCs w:val="24"/>
          <w:lang w:eastAsia="en-AU"/>
        </w:rPr>
        <w:t>More than 90% of products affected by the combined scenario received a 0.5 HSR reduction, with a small proportion of products receiving a 1-1.5 HSR reduction.</w:t>
      </w:r>
    </w:p>
    <w:p w:rsidR="00BE1F4F" w:rsidRDefault="00BE1F4F" w:rsidP="00BE1F4F">
      <w:pPr>
        <w:pStyle w:val="ListParagraph"/>
        <w:numPr>
          <w:ilvl w:val="0"/>
          <w:numId w:val="16"/>
        </w:numPr>
        <w:pBdr>
          <w:top w:val="single" w:sz="4" w:space="1" w:color="auto"/>
          <w:left w:val="single" w:sz="4" w:space="5" w:color="auto"/>
          <w:bottom w:val="single" w:sz="4" w:space="1" w:color="auto"/>
          <w:right w:val="single" w:sz="4" w:space="4" w:color="auto"/>
        </w:pBdr>
        <w:spacing w:after="120" w:line="240" w:lineRule="auto"/>
        <w:ind w:left="357" w:hanging="357"/>
        <w:contextualSpacing w:val="0"/>
        <w:rPr>
          <w:rFonts w:ascii="Times New Roman" w:hAnsi="Times New Roman" w:cs="Times New Roman"/>
          <w:sz w:val="24"/>
          <w:szCs w:val="24"/>
        </w:rPr>
      </w:pPr>
      <w:r w:rsidRPr="00BE1F4F">
        <w:rPr>
          <w:rFonts w:ascii="Times New Roman" w:hAnsi="Times New Roman" w:cs="Times New Roman"/>
          <w:sz w:val="24"/>
          <w:szCs w:val="24"/>
          <w:lang w:eastAsia="en-AU"/>
        </w:rPr>
        <w:t>If the impact of a stronger approach to sodium on HSR Category 3 and 3D products is considered in addition to the combined impact, the overall impact on Categories 1D, 2, 2D, 3 and 3D was a reduction in HSR for 28% of products, of which 17% are FFG and 11% are discretionary products.</w:t>
      </w:r>
    </w:p>
    <w:p w:rsidR="00BE1F4F" w:rsidRDefault="00BE1F4F" w:rsidP="00BE1F4F">
      <w:pPr>
        <w:pStyle w:val="ListParagraph"/>
        <w:numPr>
          <w:ilvl w:val="0"/>
          <w:numId w:val="16"/>
        </w:numPr>
        <w:pBdr>
          <w:top w:val="single" w:sz="4" w:space="1" w:color="auto"/>
          <w:left w:val="single" w:sz="4" w:space="5" w:color="auto"/>
          <w:bottom w:val="single" w:sz="4" w:space="1" w:color="auto"/>
          <w:right w:val="single" w:sz="4" w:space="4" w:color="auto"/>
        </w:pBdr>
        <w:spacing w:after="120" w:line="240" w:lineRule="auto"/>
        <w:ind w:left="357" w:hanging="357"/>
        <w:contextualSpacing w:val="0"/>
        <w:rPr>
          <w:rFonts w:ascii="Times New Roman" w:hAnsi="Times New Roman" w:cs="Times New Roman"/>
          <w:sz w:val="24"/>
          <w:szCs w:val="24"/>
        </w:rPr>
      </w:pPr>
      <w:r w:rsidRPr="00BE1F4F">
        <w:rPr>
          <w:rFonts w:ascii="Times New Roman" w:hAnsi="Times New Roman" w:cs="Times New Roman"/>
          <w:sz w:val="24"/>
          <w:szCs w:val="24"/>
          <w:lang w:eastAsia="en-AU"/>
        </w:rPr>
        <w:t>The reductions of HSRs due to a stronger approach to total sugars or sodium or both combined are in addition to those impacts arising from implementing amendments to the HSR calculator as recommended in the Review.</w:t>
      </w:r>
    </w:p>
    <w:p w:rsidR="00BE1F4F" w:rsidRPr="00BE1F4F" w:rsidRDefault="00BE1F4F" w:rsidP="00BE1F4F">
      <w:pPr>
        <w:pBdr>
          <w:top w:val="single" w:sz="4" w:space="1" w:color="auto"/>
          <w:left w:val="single" w:sz="4" w:space="5" w:color="auto"/>
          <w:bottom w:val="single" w:sz="4" w:space="1" w:color="auto"/>
          <w:right w:val="single" w:sz="4" w:space="4" w:color="auto"/>
        </w:pBdr>
        <w:spacing w:after="120"/>
      </w:pPr>
    </w:p>
    <w:p w:rsidR="00DF28C4" w:rsidRPr="00EF0130" w:rsidRDefault="00DF28C4" w:rsidP="0019172E">
      <w:pPr>
        <w:pStyle w:val="Heading2"/>
        <w:spacing w:before="240" w:after="240"/>
        <w:jc w:val="left"/>
        <w:rPr>
          <w:b w:val="0"/>
          <w:i/>
          <w:color w:val="auto"/>
          <w:sz w:val="28"/>
        </w:rPr>
      </w:pPr>
      <w:r w:rsidRPr="00EF0130">
        <w:rPr>
          <w:b w:val="0"/>
          <w:i/>
          <w:color w:val="auto"/>
          <w:sz w:val="28"/>
        </w:rPr>
        <w:lastRenderedPageBreak/>
        <w:t>Stronger approach to total sugars</w:t>
      </w:r>
    </w:p>
    <w:p w:rsidR="00DF28C4" w:rsidRPr="006D05B7" w:rsidRDefault="00DF28C4" w:rsidP="00DF28C4">
      <w:pPr>
        <w:spacing w:after="120"/>
      </w:pPr>
      <w:r w:rsidRPr="006D05B7">
        <w:t>The Forum asked FSANZ to explore the impact of a 30 HSR baseline points scale for total sugars, compared to the 25 baseline point scale recommended by the Review. Analysis was limited to consideration of HSR Categories 1D (dairy beverages), 2 (all other foods) and 2D (dairy foods) only.</w:t>
      </w:r>
      <w:r>
        <w:t xml:space="preserve"> </w:t>
      </w:r>
    </w:p>
    <w:p w:rsidR="00DF28C4" w:rsidRPr="006D05B7" w:rsidRDefault="00DF28C4" w:rsidP="00DF28C4">
      <w:pPr>
        <w:spacing w:after="120"/>
        <w:rPr>
          <w:lang w:eastAsia="en-GB"/>
        </w:rPr>
      </w:pPr>
      <w:r w:rsidRPr="006D05B7">
        <w:t>The FSANZ analysis of the impact of a 30 baseline point total sugars scale showed that of the 4919 products in HSR Categories 1D, 2 and 2D, 471 (10%) of products would be affected by reductions in HSR. Food categories</w:t>
      </w:r>
      <w:r w:rsidRPr="006D05B7">
        <w:rPr>
          <w:rStyle w:val="FootnoteReference"/>
          <w:b/>
          <w:lang w:eastAsia="en-GB"/>
        </w:rPr>
        <w:footnoteReference w:id="5"/>
      </w:r>
      <w:r w:rsidRPr="006D05B7">
        <w:rPr>
          <w:lang w:eastAsia="en-GB"/>
        </w:rPr>
        <w:t xml:space="preserve"> that were affected are listed in Table 1. </w:t>
      </w:r>
      <w:r w:rsidRPr="006D05B7">
        <w:t>For the majority of affected foods there was a reduction of 0.5 stars. A total of 23 products had a reduction of 1 star in four</w:t>
      </w:r>
      <w:r w:rsidRPr="006D05B7">
        <w:rPr>
          <w:lang w:eastAsia="en-GB"/>
        </w:rPr>
        <w:t xml:space="preserve"> categories</w:t>
      </w:r>
      <w:r w:rsidRPr="006D05B7">
        <w:t xml:space="preserve">: breakfast cereals, cream, custards/desserts, and snacks. There were 12 categories that were unaffected by the stronger total sugars scenario: </w:t>
      </w:r>
      <w:r w:rsidRPr="006D05B7">
        <w:rPr>
          <w:lang w:eastAsia="en-GB"/>
        </w:rPr>
        <w:t>beverage dry mix/milk powder, cream cheese, dairy alternative beverages, dips, meats/fish, pasta/grains/flour, pizza, plant proteins, soups/stocks, unprocessed fruit, unprocessed vegetables, and yeast spread.</w:t>
      </w:r>
      <w:r w:rsidR="00135B89">
        <w:rPr>
          <w:lang w:eastAsia="en-GB"/>
        </w:rPr>
        <w:t xml:space="preserve"> </w:t>
      </w:r>
    </w:p>
    <w:p w:rsidR="00DF28C4" w:rsidRDefault="00DF28C4" w:rsidP="00DF28C4">
      <w:pPr>
        <w:spacing w:after="120"/>
      </w:pPr>
      <w:r w:rsidRPr="006D05B7">
        <w:t>If there is to be greater consistency with dietary guidelines, FFG foods would generally score higher HSRs and discretionary</w:t>
      </w:r>
      <w:r w:rsidRPr="006D05B7">
        <w:rPr>
          <w:rStyle w:val="FootnoteReference"/>
        </w:rPr>
        <w:footnoteReference w:id="6"/>
      </w:r>
      <w:r w:rsidRPr="006D05B7">
        <w:t xml:space="preserve"> foods lower. Overall, the proportion of FFG (5%) and discretionary (5%) products impacted by the stronger total sugars scenario was approximately equal (Table 1). </w:t>
      </w:r>
    </w:p>
    <w:p w:rsidR="00DF28C4" w:rsidRPr="00685E9B" w:rsidRDefault="00DF28C4" w:rsidP="0019172E">
      <w:pPr>
        <w:pStyle w:val="Caption"/>
        <w:spacing w:before="240" w:after="120"/>
        <w:ind w:left="1134" w:hanging="1134"/>
        <w:rPr>
          <w:rFonts w:ascii="Times New Roman" w:hAnsi="Times New Roman" w:cs="Times New Roman"/>
          <w:color w:val="000000" w:themeColor="text1"/>
          <w:sz w:val="24"/>
          <w:szCs w:val="24"/>
          <w:lang w:eastAsia="en-AU"/>
        </w:rPr>
      </w:pPr>
      <w:r w:rsidRPr="00685E9B">
        <w:rPr>
          <w:rFonts w:ascii="Times New Roman" w:hAnsi="Times New Roman" w:cs="Times New Roman"/>
          <w:color w:val="000000" w:themeColor="text1"/>
          <w:sz w:val="24"/>
          <w:szCs w:val="24"/>
          <w:lang w:eastAsia="en-AU"/>
        </w:rPr>
        <w:t>Table 1</w:t>
      </w:r>
      <w:r w:rsidRPr="00685E9B">
        <w:rPr>
          <w:rFonts w:ascii="Times New Roman" w:hAnsi="Times New Roman" w:cs="Times New Roman"/>
          <w:color w:val="000000" w:themeColor="text1"/>
          <w:sz w:val="24"/>
          <w:szCs w:val="24"/>
        </w:rPr>
        <w:tab/>
        <w:t>Summary of impact of the stronger total sugars scenario on AGHE categories by ‘FFG’ and ‘Discretionary’ foods flagged products, for affected AGHE categories only</w:t>
      </w:r>
    </w:p>
    <w:tbl>
      <w:tblPr>
        <w:tblStyle w:val="PlainTable2"/>
        <w:tblW w:w="9460" w:type="dxa"/>
        <w:jc w:val="center"/>
        <w:tblBorders>
          <w:top w:val="single" w:sz="4" w:space="0" w:color="auto"/>
          <w:left w:val="single" w:sz="4" w:space="0" w:color="auto"/>
          <w:bottom w:val="single" w:sz="4" w:space="0" w:color="auto"/>
          <w:right w:val="single" w:sz="4" w:space="0" w:color="auto"/>
          <w:insideH w:val="single" w:sz="4" w:space="0" w:color="7F7F7F" w:themeColor="text1" w:themeTint="80"/>
        </w:tblBorders>
        <w:tblLook w:val="04A0" w:firstRow="1" w:lastRow="0" w:firstColumn="1" w:lastColumn="0" w:noHBand="0" w:noVBand="1"/>
        <w:tblCaption w:val="Tabe 1 Summary of impact of the stronger total sugars scenario on AGHE categories by ‘FFG’ and ‘Discretionary’ foods flagged products, for affected AGHE categories only"/>
        <w:tblDescription w:val="Summary of impact of the stronger total sugars scenario on Australian Guide to Healthy Eating categories by ‘Five Food Group’ and ‘Discretionary’ foods flagged products, for affected  Australian Guide to Healthy Eating categories only"/>
      </w:tblPr>
      <w:tblGrid>
        <w:gridCol w:w="2983"/>
        <w:gridCol w:w="1048"/>
        <w:gridCol w:w="1053"/>
        <w:gridCol w:w="1378"/>
        <w:gridCol w:w="1499"/>
        <w:gridCol w:w="1499"/>
      </w:tblGrid>
      <w:tr w:rsidR="00DF28C4" w:rsidRPr="00D13696" w:rsidTr="00D13696">
        <w:trPr>
          <w:cnfStyle w:val="100000000000" w:firstRow="1" w:lastRow="0" w:firstColumn="0" w:lastColumn="0" w:oddVBand="0" w:evenVBand="0" w:oddHBand="0" w:evenHBand="0" w:firstRowFirstColumn="0" w:firstRowLastColumn="0" w:lastRowFirstColumn="0" w:lastRowLastColumn="0"/>
          <w:trHeight w:val="227"/>
          <w:tblHeader/>
          <w:jc w:val="center"/>
        </w:trPr>
        <w:tc>
          <w:tcPr>
            <w:cnfStyle w:val="001000000000" w:firstRow="0" w:lastRow="0" w:firstColumn="1" w:lastColumn="0" w:oddVBand="0" w:evenVBand="0" w:oddHBand="0" w:evenHBand="0" w:firstRowFirstColumn="0" w:firstRowLastColumn="0" w:lastRowFirstColumn="0" w:lastRowLastColumn="0"/>
            <w:tcW w:w="2983" w:type="dxa"/>
            <w:tcBorders>
              <w:bottom w:val="none" w:sz="0" w:space="0" w:color="auto"/>
            </w:tcBorders>
            <w:shd w:val="clear" w:color="auto" w:fill="BFBFBF" w:themeFill="background1" w:themeFillShade="BF"/>
            <w:hideMark/>
          </w:tcPr>
          <w:p w:rsidR="00DF28C4" w:rsidRPr="00D13696" w:rsidRDefault="00DF28C4" w:rsidP="0019172E">
            <w:pPr>
              <w:spacing w:before="30" w:after="30"/>
              <w:jc w:val="center"/>
              <w:rPr>
                <w:rFonts w:ascii="Times New Roman" w:eastAsia="Times New Roman" w:hAnsi="Times New Roman" w:cs="Times New Roman"/>
                <w:bCs w:val="0"/>
                <w:color w:val="000000" w:themeColor="text1"/>
                <w:sz w:val="20"/>
                <w:szCs w:val="22"/>
                <w:lang w:eastAsia="en-GB"/>
              </w:rPr>
            </w:pPr>
            <w:r w:rsidRPr="00D13696">
              <w:rPr>
                <w:rFonts w:ascii="Times New Roman" w:eastAsia="Times New Roman" w:hAnsi="Times New Roman" w:cs="Times New Roman"/>
                <w:bCs w:val="0"/>
                <w:color w:val="000000" w:themeColor="text1"/>
                <w:sz w:val="20"/>
                <w:szCs w:val="22"/>
                <w:lang w:eastAsia="en-GB"/>
              </w:rPr>
              <w:t>Food category</w:t>
            </w:r>
          </w:p>
        </w:tc>
        <w:tc>
          <w:tcPr>
            <w:tcW w:w="1048" w:type="dxa"/>
            <w:tcBorders>
              <w:bottom w:val="none" w:sz="0" w:space="0" w:color="auto"/>
            </w:tcBorders>
            <w:shd w:val="clear" w:color="auto" w:fill="BFBFBF" w:themeFill="background1" w:themeFillShade="BF"/>
            <w:hideMark/>
          </w:tcPr>
          <w:p w:rsidR="00DF28C4" w:rsidRPr="00D13696" w:rsidRDefault="00DF28C4" w:rsidP="0019172E">
            <w:pPr>
              <w:spacing w:before="30" w:after="3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20"/>
                <w:szCs w:val="22"/>
                <w:lang w:eastAsia="en-GB"/>
              </w:rPr>
            </w:pPr>
            <w:r w:rsidRPr="00D13696">
              <w:rPr>
                <w:rFonts w:ascii="Times New Roman" w:eastAsia="Times New Roman" w:hAnsi="Times New Roman" w:cs="Times New Roman"/>
                <w:bCs w:val="0"/>
                <w:color w:val="000000" w:themeColor="text1"/>
                <w:sz w:val="20"/>
                <w:szCs w:val="22"/>
                <w:lang w:eastAsia="en-GB"/>
              </w:rPr>
              <w:t>Total count of products</w:t>
            </w:r>
          </w:p>
        </w:tc>
        <w:tc>
          <w:tcPr>
            <w:tcW w:w="1053" w:type="dxa"/>
            <w:tcBorders>
              <w:bottom w:val="none" w:sz="0" w:space="0" w:color="auto"/>
            </w:tcBorders>
            <w:shd w:val="clear" w:color="auto" w:fill="BFBFBF" w:themeFill="background1" w:themeFillShade="BF"/>
            <w:hideMark/>
          </w:tcPr>
          <w:p w:rsidR="00DF28C4" w:rsidRPr="00D13696" w:rsidRDefault="00DF28C4" w:rsidP="0019172E">
            <w:pPr>
              <w:spacing w:before="30" w:after="3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20"/>
                <w:szCs w:val="22"/>
                <w:lang w:eastAsia="en-GB"/>
              </w:rPr>
            </w:pPr>
            <w:r w:rsidRPr="00D13696">
              <w:rPr>
                <w:rFonts w:ascii="Times New Roman" w:eastAsia="Times New Roman" w:hAnsi="Times New Roman" w:cs="Times New Roman"/>
                <w:bCs w:val="0"/>
                <w:color w:val="000000" w:themeColor="text1"/>
                <w:sz w:val="20"/>
                <w:szCs w:val="22"/>
                <w:lang w:eastAsia="en-GB"/>
              </w:rPr>
              <w:t>Count of FFG products</w:t>
            </w:r>
          </w:p>
        </w:tc>
        <w:tc>
          <w:tcPr>
            <w:tcW w:w="1378" w:type="dxa"/>
            <w:tcBorders>
              <w:bottom w:val="none" w:sz="0" w:space="0" w:color="auto"/>
            </w:tcBorders>
            <w:shd w:val="clear" w:color="auto" w:fill="BFBFBF" w:themeFill="background1" w:themeFillShade="BF"/>
            <w:hideMark/>
          </w:tcPr>
          <w:p w:rsidR="00DF28C4" w:rsidRPr="00D13696" w:rsidRDefault="00DF28C4" w:rsidP="0019172E">
            <w:pPr>
              <w:spacing w:before="30" w:after="3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20"/>
                <w:szCs w:val="22"/>
                <w:lang w:eastAsia="en-GB"/>
              </w:rPr>
            </w:pPr>
            <w:r w:rsidRPr="00D13696">
              <w:rPr>
                <w:rFonts w:ascii="Times New Roman" w:eastAsia="Times New Roman" w:hAnsi="Times New Roman" w:cs="Times New Roman"/>
                <w:bCs w:val="0"/>
                <w:color w:val="000000" w:themeColor="text1"/>
                <w:sz w:val="20"/>
                <w:szCs w:val="22"/>
                <w:lang w:eastAsia="en-GB"/>
              </w:rPr>
              <w:t>SCENARIO Count FFG products affected (%)</w:t>
            </w:r>
          </w:p>
        </w:tc>
        <w:tc>
          <w:tcPr>
            <w:tcW w:w="1499" w:type="dxa"/>
            <w:tcBorders>
              <w:bottom w:val="none" w:sz="0" w:space="0" w:color="auto"/>
            </w:tcBorders>
            <w:shd w:val="clear" w:color="auto" w:fill="BFBFBF" w:themeFill="background1" w:themeFillShade="BF"/>
            <w:hideMark/>
          </w:tcPr>
          <w:p w:rsidR="00DF28C4" w:rsidRPr="00D13696" w:rsidRDefault="00DF28C4" w:rsidP="0019172E">
            <w:pPr>
              <w:spacing w:before="30" w:after="3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20"/>
                <w:szCs w:val="22"/>
                <w:lang w:eastAsia="en-GB"/>
              </w:rPr>
            </w:pPr>
            <w:r w:rsidRPr="00D13696">
              <w:rPr>
                <w:rFonts w:ascii="Times New Roman" w:eastAsia="Times New Roman" w:hAnsi="Times New Roman" w:cs="Times New Roman"/>
                <w:bCs w:val="0"/>
                <w:color w:val="000000" w:themeColor="text1"/>
                <w:sz w:val="20"/>
                <w:szCs w:val="22"/>
                <w:lang w:eastAsia="en-GB"/>
              </w:rPr>
              <w:t>Count of Discretionary products</w:t>
            </w:r>
          </w:p>
        </w:tc>
        <w:tc>
          <w:tcPr>
            <w:tcW w:w="1499" w:type="dxa"/>
            <w:tcBorders>
              <w:bottom w:val="none" w:sz="0" w:space="0" w:color="auto"/>
            </w:tcBorders>
            <w:shd w:val="clear" w:color="auto" w:fill="BFBFBF" w:themeFill="background1" w:themeFillShade="BF"/>
            <w:hideMark/>
          </w:tcPr>
          <w:p w:rsidR="00DF28C4" w:rsidRPr="00D13696" w:rsidRDefault="00DF28C4" w:rsidP="0019172E">
            <w:pPr>
              <w:spacing w:before="30" w:after="3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20"/>
                <w:szCs w:val="22"/>
                <w:lang w:eastAsia="en-GB"/>
              </w:rPr>
            </w:pPr>
            <w:r w:rsidRPr="00D13696">
              <w:rPr>
                <w:rFonts w:ascii="Times New Roman" w:eastAsia="Times New Roman" w:hAnsi="Times New Roman" w:cs="Times New Roman"/>
                <w:bCs w:val="0"/>
                <w:color w:val="000000" w:themeColor="text1"/>
                <w:sz w:val="20"/>
                <w:szCs w:val="22"/>
                <w:lang w:eastAsia="en-GB"/>
              </w:rPr>
              <w:t>SCENARIO Count Discretionary products affected (%)</w:t>
            </w:r>
          </w:p>
        </w:tc>
      </w:tr>
      <w:tr w:rsidR="00DF28C4" w:rsidRPr="0019172E" w:rsidTr="001F41EF">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2983" w:type="dxa"/>
            <w:tcBorders>
              <w:top w:val="none" w:sz="0" w:space="0" w:color="auto"/>
              <w:bottom w:val="none" w:sz="0" w:space="0" w:color="auto"/>
            </w:tcBorders>
            <w:noWrap/>
            <w:hideMark/>
          </w:tcPr>
          <w:p w:rsidR="00DF28C4" w:rsidRPr="0019172E" w:rsidRDefault="00DF28C4" w:rsidP="0019172E">
            <w:pPr>
              <w:spacing w:before="30" w:after="3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Bread</w:t>
            </w:r>
          </w:p>
        </w:tc>
        <w:tc>
          <w:tcPr>
            <w:tcW w:w="1048"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226</w:t>
            </w:r>
          </w:p>
        </w:tc>
        <w:tc>
          <w:tcPr>
            <w:tcW w:w="1053"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217</w:t>
            </w:r>
          </w:p>
        </w:tc>
        <w:tc>
          <w:tcPr>
            <w:tcW w:w="1378"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1 (0)</w:t>
            </w:r>
          </w:p>
        </w:tc>
        <w:tc>
          <w:tcPr>
            <w:tcW w:w="1499"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9</w:t>
            </w:r>
          </w:p>
        </w:tc>
        <w:tc>
          <w:tcPr>
            <w:tcW w:w="1499"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0 (0)</w:t>
            </w:r>
          </w:p>
        </w:tc>
      </w:tr>
      <w:tr w:rsidR="00DF28C4" w:rsidRPr="0019172E" w:rsidTr="001F41EF">
        <w:trPr>
          <w:trHeight w:val="227"/>
          <w:jc w:val="center"/>
        </w:trPr>
        <w:tc>
          <w:tcPr>
            <w:cnfStyle w:val="001000000000" w:firstRow="0" w:lastRow="0" w:firstColumn="1" w:lastColumn="0" w:oddVBand="0" w:evenVBand="0" w:oddHBand="0" w:evenHBand="0" w:firstRowFirstColumn="0" w:firstRowLastColumn="0" w:lastRowFirstColumn="0" w:lastRowLastColumn="0"/>
            <w:tcW w:w="2983" w:type="dxa"/>
            <w:noWrap/>
            <w:hideMark/>
          </w:tcPr>
          <w:p w:rsidR="00DF28C4" w:rsidRPr="0019172E" w:rsidRDefault="00DF28C4" w:rsidP="0019172E">
            <w:pPr>
              <w:spacing w:before="30" w:after="3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Breakfast Cereal</w:t>
            </w:r>
          </w:p>
        </w:tc>
        <w:tc>
          <w:tcPr>
            <w:tcW w:w="1048"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300</w:t>
            </w:r>
          </w:p>
        </w:tc>
        <w:tc>
          <w:tcPr>
            <w:tcW w:w="1053"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275</w:t>
            </w:r>
          </w:p>
        </w:tc>
        <w:tc>
          <w:tcPr>
            <w:tcW w:w="1378"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58 (19)</w:t>
            </w:r>
          </w:p>
        </w:tc>
        <w:tc>
          <w:tcPr>
            <w:tcW w:w="1499"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25</w:t>
            </w:r>
          </w:p>
        </w:tc>
        <w:tc>
          <w:tcPr>
            <w:tcW w:w="1499"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5 (2)</w:t>
            </w:r>
          </w:p>
        </w:tc>
      </w:tr>
      <w:tr w:rsidR="00DF28C4" w:rsidRPr="0019172E" w:rsidTr="001F41EF">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2983" w:type="dxa"/>
            <w:tcBorders>
              <w:top w:val="none" w:sz="0" w:space="0" w:color="auto"/>
              <w:bottom w:val="none" w:sz="0" w:space="0" w:color="auto"/>
            </w:tcBorders>
            <w:noWrap/>
            <w:hideMark/>
          </w:tcPr>
          <w:p w:rsidR="00DF28C4" w:rsidRPr="0019172E" w:rsidRDefault="00DF28C4" w:rsidP="0019172E">
            <w:pPr>
              <w:spacing w:before="30" w:after="3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Pasta/flour/grains</w:t>
            </w:r>
          </w:p>
        </w:tc>
        <w:tc>
          <w:tcPr>
            <w:tcW w:w="1048"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185</w:t>
            </w:r>
          </w:p>
        </w:tc>
        <w:tc>
          <w:tcPr>
            <w:tcW w:w="1053"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185</w:t>
            </w:r>
          </w:p>
        </w:tc>
        <w:tc>
          <w:tcPr>
            <w:tcW w:w="1378"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0 (0)</w:t>
            </w:r>
          </w:p>
        </w:tc>
        <w:tc>
          <w:tcPr>
            <w:tcW w:w="1499"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0</w:t>
            </w:r>
          </w:p>
        </w:tc>
        <w:tc>
          <w:tcPr>
            <w:tcW w:w="1499"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0 (0)</w:t>
            </w:r>
          </w:p>
        </w:tc>
      </w:tr>
      <w:tr w:rsidR="00DF28C4" w:rsidRPr="0019172E" w:rsidTr="001F41EF">
        <w:trPr>
          <w:trHeight w:val="227"/>
          <w:jc w:val="center"/>
        </w:trPr>
        <w:tc>
          <w:tcPr>
            <w:cnfStyle w:val="001000000000" w:firstRow="0" w:lastRow="0" w:firstColumn="1" w:lastColumn="0" w:oddVBand="0" w:evenVBand="0" w:oddHBand="0" w:evenHBand="0" w:firstRowFirstColumn="0" w:firstRowLastColumn="0" w:lastRowFirstColumn="0" w:lastRowLastColumn="0"/>
            <w:tcW w:w="2983" w:type="dxa"/>
            <w:noWrap/>
            <w:hideMark/>
          </w:tcPr>
          <w:p w:rsidR="00DF28C4" w:rsidRPr="0019172E" w:rsidRDefault="00DF28C4" w:rsidP="0019172E">
            <w:pPr>
              <w:spacing w:before="30" w:after="3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Dairy alternative beverages</w:t>
            </w:r>
          </w:p>
        </w:tc>
        <w:tc>
          <w:tcPr>
            <w:tcW w:w="1048"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64</w:t>
            </w:r>
          </w:p>
        </w:tc>
        <w:tc>
          <w:tcPr>
            <w:tcW w:w="1053"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64</w:t>
            </w:r>
          </w:p>
        </w:tc>
        <w:tc>
          <w:tcPr>
            <w:tcW w:w="1378"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0 (0)</w:t>
            </w:r>
          </w:p>
        </w:tc>
        <w:tc>
          <w:tcPr>
            <w:tcW w:w="1499"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0</w:t>
            </w:r>
          </w:p>
        </w:tc>
        <w:tc>
          <w:tcPr>
            <w:tcW w:w="1499"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0 (0)</w:t>
            </w:r>
          </w:p>
        </w:tc>
      </w:tr>
      <w:tr w:rsidR="00DF28C4" w:rsidRPr="0019172E" w:rsidTr="001F41EF">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2983" w:type="dxa"/>
            <w:tcBorders>
              <w:top w:val="none" w:sz="0" w:space="0" w:color="auto"/>
              <w:bottom w:val="none" w:sz="0" w:space="0" w:color="auto"/>
            </w:tcBorders>
            <w:noWrap/>
            <w:hideMark/>
          </w:tcPr>
          <w:p w:rsidR="00DF28C4" w:rsidRPr="0019172E" w:rsidRDefault="00DF28C4" w:rsidP="0019172E">
            <w:pPr>
              <w:spacing w:before="30" w:after="3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Dairy beverages</w:t>
            </w:r>
          </w:p>
        </w:tc>
        <w:tc>
          <w:tcPr>
            <w:tcW w:w="1048"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485</w:t>
            </w:r>
          </w:p>
        </w:tc>
        <w:tc>
          <w:tcPr>
            <w:tcW w:w="1053"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461</w:t>
            </w:r>
          </w:p>
        </w:tc>
        <w:tc>
          <w:tcPr>
            <w:tcW w:w="1378"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53 (11)</w:t>
            </w:r>
          </w:p>
        </w:tc>
        <w:tc>
          <w:tcPr>
            <w:tcW w:w="1499"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24</w:t>
            </w:r>
          </w:p>
        </w:tc>
        <w:tc>
          <w:tcPr>
            <w:tcW w:w="1499"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0 (0)</w:t>
            </w:r>
          </w:p>
        </w:tc>
      </w:tr>
      <w:tr w:rsidR="00DF28C4" w:rsidRPr="0019172E" w:rsidTr="001F41EF">
        <w:trPr>
          <w:trHeight w:val="227"/>
          <w:jc w:val="center"/>
        </w:trPr>
        <w:tc>
          <w:tcPr>
            <w:cnfStyle w:val="001000000000" w:firstRow="0" w:lastRow="0" w:firstColumn="1" w:lastColumn="0" w:oddVBand="0" w:evenVBand="0" w:oddHBand="0" w:evenHBand="0" w:firstRowFirstColumn="0" w:firstRowLastColumn="0" w:lastRowFirstColumn="0" w:lastRowLastColumn="0"/>
            <w:tcW w:w="2983" w:type="dxa"/>
            <w:noWrap/>
            <w:hideMark/>
          </w:tcPr>
          <w:p w:rsidR="00DF28C4" w:rsidRPr="0019172E" w:rsidRDefault="00DF28C4" w:rsidP="0019172E">
            <w:pPr>
              <w:spacing w:before="30" w:after="3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Beverages dry mix/milk powder</w:t>
            </w:r>
          </w:p>
        </w:tc>
        <w:tc>
          <w:tcPr>
            <w:tcW w:w="1048"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2</w:t>
            </w:r>
          </w:p>
        </w:tc>
        <w:tc>
          <w:tcPr>
            <w:tcW w:w="1053"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2</w:t>
            </w:r>
          </w:p>
        </w:tc>
        <w:tc>
          <w:tcPr>
            <w:tcW w:w="1378"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0 (0)</w:t>
            </w:r>
          </w:p>
        </w:tc>
        <w:tc>
          <w:tcPr>
            <w:tcW w:w="1499"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0</w:t>
            </w:r>
          </w:p>
        </w:tc>
        <w:tc>
          <w:tcPr>
            <w:tcW w:w="1499"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0 (0)</w:t>
            </w:r>
          </w:p>
        </w:tc>
      </w:tr>
      <w:tr w:rsidR="00DF28C4" w:rsidRPr="0019172E" w:rsidTr="001F41EF">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2983" w:type="dxa"/>
            <w:tcBorders>
              <w:top w:val="none" w:sz="0" w:space="0" w:color="auto"/>
              <w:bottom w:val="none" w:sz="0" w:space="0" w:color="auto"/>
            </w:tcBorders>
            <w:noWrap/>
            <w:hideMark/>
          </w:tcPr>
          <w:p w:rsidR="00DF28C4" w:rsidRPr="0019172E" w:rsidRDefault="00DF28C4" w:rsidP="0019172E">
            <w:pPr>
              <w:spacing w:before="30" w:after="3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Yoghurt, soft cheese</w:t>
            </w:r>
          </w:p>
        </w:tc>
        <w:tc>
          <w:tcPr>
            <w:tcW w:w="1048"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415</w:t>
            </w:r>
          </w:p>
        </w:tc>
        <w:tc>
          <w:tcPr>
            <w:tcW w:w="1053"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412</w:t>
            </w:r>
          </w:p>
        </w:tc>
        <w:tc>
          <w:tcPr>
            <w:tcW w:w="1378"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70 (17)</w:t>
            </w:r>
          </w:p>
        </w:tc>
        <w:tc>
          <w:tcPr>
            <w:tcW w:w="1499"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3</w:t>
            </w:r>
          </w:p>
        </w:tc>
        <w:tc>
          <w:tcPr>
            <w:tcW w:w="1499"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1 (0)</w:t>
            </w:r>
          </w:p>
        </w:tc>
      </w:tr>
      <w:tr w:rsidR="00DF28C4" w:rsidRPr="0019172E" w:rsidTr="001F41EF">
        <w:trPr>
          <w:trHeight w:val="227"/>
          <w:jc w:val="center"/>
        </w:trPr>
        <w:tc>
          <w:tcPr>
            <w:cnfStyle w:val="001000000000" w:firstRow="0" w:lastRow="0" w:firstColumn="1" w:lastColumn="0" w:oddVBand="0" w:evenVBand="0" w:oddHBand="0" w:evenHBand="0" w:firstRowFirstColumn="0" w:firstRowLastColumn="0" w:lastRowFirstColumn="0" w:lastRowLastColumn="0"/>
            <w:tcW w:w="2983" w:type="dxa"/>
            <w:noWrap/>
            <w:hideMark/>
          </w:tcPr>
          <w:p w:rsidR="00DF28C4" w:rsidRPr="0019172E" w:rsidRDefault="00DF28C4" w:rsidP="0019172E">
            <w:pPr>
              <w:spacing w:before="30" w:after="3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Cream</w:t>
            </w:r>
          </w:p>
        </w:tc>
        <w:tc>
          <w:tcPr>
            <w:tcW w:w="1048"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68</w:t>
            </w:r>
          </w:p>
        </w:tc>
        <w:tc>
          <w:tcPr>
            <w:tcW w:w="1053"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4</w:t>
            </w:r>
          </w:p>
        </w:tc>
        <w:tc>
          <w:tcPr>
            <w:tcW w:w="1378"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0 (0)</w:t>
            </w:r>
          </w:p>
        </w:tc>
        <w:tc>
          <w:tcPr>
            <w:tcW w:w="1499"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64</w:t>
            </w:r>
          </w:p>
        </w:tc>
        <w:tc>
          <w:tcPr>
            <w:tcW w:w="1499"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1 (1)</w:t>
            </w:r>
          </w:p>
        </w:tc>
      </w:tr>
      <w:tr w:rsidR="00DF28C4" w:rsidRPr="0019172E" w:rsidTr="001F41EF">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2983" w:type="dxa"/>
            <w:tcBorders>
              <w:top w:val="none" w:sz="0" w:space="0" w:color="auto"/>
              <w:bottom w:val="none" w:sz="0" w:space="0" w:color="auto"/>
            </w:tcBorders>
            <w:noWrap/>
            <w:hideMark/>
          </w:tcPr>
          <w:p w:rsidR="00DF28C4" w:rsidRPr="0019172E" w:rsidRDefault="00DF28C4" w:rsidP="0019172E">
            <w:pPr>
              <w:spacing w:before="30" w:after="3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Cream cheese</w:t>
            </w:r>
          </w:p>
        </w:tc>
        <w:tc>
          <w:tcPr>
            <w:tcW w:w="1048"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67</w:t>
            </w:r>
          </w:p>
        </w:tc>
        <w:tc>
          <w:tcPr>
            <w:tcW w:w="1053"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67</w:t>
            </w:r>
          </w:p>
        </w:tc>
        <w:tc>
          <w:tcPr>
            <w:tcW w:w="1378"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0 (0)</w:t>
            </w:r>
          </w:p>
        </w:tc>
        <w:tc>
          <w:tcPr>
            <w:tcW w:w="1499"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0</w:t>
            </w:r>
          </w:p>
        </w:tc>
        <w:tc>
          <w:tcPr>
            <w:tcW w:w="1499"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0 (0)</w:t>
            </w:r>
          </w:p>
        </w:tc>
      </w:tr>
      <w:tr w:rsidR="00DF28C4" w:rsidRPr="0019172E" w:rsidTr="001F41EF">
        <w:trPr>
          <w:trHeight w:val="227"/>
          <w:jc w:val="center"/>
        </w:trPr>
        <w:tc>
          <w:tcPr>
            <w:cnfStyle w:val="001000000000" w:firstRow="0" w:lastRow="0" w:firstColumn="1" w:lastColumn="0" w:oddVBand="0" w:evenVBand="0" w:oddHBand="0" w:evenHBand="0" w:firstRowFirstColumn="0" w:firstRowLastColumn="0" w:lastRowFirstColumn="0" w:lastRowLastColumn="0"/>
            <w:tcW w:w="2983" w:type="dxa"/>
            <w:noWrap/>
            <w:hideMark/>
          </w:tcPr>
          <w:p w:rsidR="00DF28C4" w:rsidRPr="0019172E" w:rsidRDefault="00DF28C4" w:rsidP="0019172E">
            <w:pPr>
              <w:spacing w:before="30" w:after="3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Processed fruit</w:t>
            </w:r>
          </w:p>
        </w:tc>
        <w:tc>
          <w:tcPr>
            <w:tcW w:w="1048"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124</w:t>
            </w:r>
          </w:p>
        </w:tc>
        <w:tc>
          <w:tcPr>
            <w:tcW w:w="1053"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94</w:t>
            </w:r>
          </w:p>
        </w:tc>
        <w:tc>
          <w:tcPr>
            <w:tcW w:w="1378"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26 (21)</w:t>
            </w:r>
          </w:p>
        </w:tc>
        <w:tc>
          <w:tcPr>
            <w:tcW w:w="1499"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30</w:t>
            </w:r>
          </w:p>
        </w:tc>
        <w:tc>
          <w:tcPr>
            <w:tcW w:w="1499"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7 (6)</w:t>
            </w:r>
          </w:p>
        </w:tc>
      </w:tr>
      <w:tr w:rsidR="00DF28C4" w:rsidRPr="0019172E" w:rsidTr="001F41EF">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2983" w:type="dxa"/>
            <w:tcBorders>
              <w:top w:val="none" w:sz="0" w:space="0" w:color="auto"/>
              <w:bottom w:val="none" w:sz="0" w:space="0" w:color="auto"/>
            </w:tcBorders>
            <w:noWrap/>
            <w:hideMark/>
          </w:tcPr>
          <w:p w:rsidR="00DF28C4" w:rsidRPr="0019172E" w:rsidRDefault="00DF28C4" w:rsidP="0019172E">
            <w:pPr>
              <w:spacing w:before="30" w:after="3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Unprocessed fruit</w:t>
            </w:r>
          </w:p>
        </w:tc>
        <w:tc>
          <w:tcPr>
            <w:tcW w:w="1048"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33</w:t>
            </w:r>
          </w:p>
        </w:tc>
        <w:tc>
          <w:tcPr>
            <w:tcW w:w="1053"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33</w:t>
            </w:r>
          </w:p>
        </w:tc>
        <w:tc>
          <w:tcPr>
            <w:tcW w:w="1378"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0 (0)</w:t>
            </w:r>
          </w:p>
        </w:tc>
        <w:tc>
          <w:tcPr>
            <w:tcW w:w="1499"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0</w:t>
            </w:r>
          </w:p>
        </w:tc>
        <w:tc>
          <w:tcPr>
            <w:tcW w:w="1499"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0 (0)</w:t>
            </w:r>
          </w:p>
        </w:tc>
      </w:tr>
      <w:tr w:rsidR="00DF28C4" w:rsidRPr="0019172E" w:rsidTr="001F41EF">
        <w:trPr>
          <w:trHeight w:val="227"/>
          <w:jc w:val="center"/>
        </w:trPr>
        <w:tc>
          <w:tcPr>
            <w:cnfStyle w:val="001000000000" w:firstRow="0" w:lastRow="0" w:firstColumn="1" w:lastColumn="0" w:oddVBand="0" w:evenVBand="0" w:oddHBand="0" w:evenHBand="0" w:firstRowFirstColumn="0" w:firstRowLastColumn="0" w:lastRowFirstColumn="0" w:lastRowLastColumn="0"/>
            <w:tcW w:w="2983" w:type="dxa"/>
            <w:noWrap/>
            <w:hideMark/>
          </w:tcPr>
          <w:p w:rsidR="00DF28C4" w:rsidRPr="0019172E" w:rsidRDefault="00DF28C4" w:rsidP="0019172E">
            <w:pPr>
              <w:spacing w:before="30" w:after="3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Bakery/cake mixes</w:t>
            </w:r>
          </w:p>
        </w:tc>
        <w:tc>
          <w:tcPr>
            <w:tcW w:w="1048"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122</w:t>
            </w:r>
          </w:p>
        </w:tc>
        <w:tc>
          <w:tcPr>
            <w:tcW w:w="1053"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13</w:t>
            </w:r>
          </w:p>
        </w:tc>
        <w:tc>
          <w:tcPr>
            <w:tcW w:w="1378"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2 (2)</w:t>
            </w:r>
          </w:p>
        </w:tc>
        <w:tc>
          <w:tcPr>
            <w:tcW w:w="1499"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109</w:t>
            </w:r>
          </w:p>
        </w:tc>
        <w:tc>
          <w:tcPr>
            <w:tcW w:w="1499"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24 (20)</w:t>
            </w:r>
          </w:p>
        </w:tc>
      </w:tr>
      <w:tr w:rsidR="00DF28C4" w:rsidRPr="0019172E" w:rsidTr="001F41EF">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2983" w:type="dxa"/>
            <w:tcBorders>
              <w:top w:val="none" w:sz="0" w:space="0" w:color="auto"/>
              <w:bottom w:val="none" w:sz="0" w:space="0" w:color="auto"/>
            </w:tcBorders>
            <w:noWrap/>
            <w:hideMark/>
          </w:tcPr>
          <w:p w:rsidR="00DF28C4" w:rsidRPr="0019172E" w:rsidRDefault="00DF28C4" w:rsidP="0019172E">
            <w:pPr>
              <w:spacing w:before="30" w:after="3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Biscuits</w:t>
            </w:r>
          </w:p>
        </w:tc>
        <w:tc>
          <w:tcPr>
            <w:tcW w:w="1048"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258</w:t>
            </w:r>
          </w:p>
        </w:tc>
        <w:tc>
          <w:tcPr>
            <w:tcW w:w="1053"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70</w:t>
            </w:r>
          </w:p>
        </w:tc>
        <w:tc>
          <w:tcPr>
            <w:tcW w:w="1378"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0 (0)</w:t>
            </w:r>
          </w:p>
        </w:tc>
        <w:tc>
          <w:tcPr>
            <w:tcW w:w="1499"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188</w:t>
            </w:r>
          </w:p>
        </w:tc>
        <w:tc>
          <w:tcPr>
            <w:tcW w:w="1499"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30 (12)</w:t>
            </w:r>
          </w:p>
        </w:tc>
      </w:tr>
      <w:tr w:rsidR="00DF28C4" w:rsidRPr="0019172E" w:rsidTr="001F41EF">
        <w:trPr>
          <w:trHeight w:val="227"/>
          <w:jc w:val="center"/>
        </w:trPr>
        <w:tc>
          <w:tcPr>
            <w:cnfStyle w:val="001000000000" w:firstRow="0" w:lastRow="0" w:firstColumn="1" w:lastColumn="0" w:oddVBand="0" w:evenVBand="0" w:oddHBand="0" w:evenHBand="0" w:firstRowFirstColumn="0" w:firstRowLastColumn="0" w:lastRowFirstColumn="0" w:lastRowLastColumn="0"/>
            <w:tcW w:w="2983" w:type="dxa"/>
            <w:noWrap/>
            <w:hideMark/>
          </w:tcPr>
          <w:p w:rsidR="00DF28C4" w:rsidRPr="0019172E" w:rsidRDefault="00DF28C4" w:rsidP="0019172E">
            <w:pPr>
              <w:spacing w:before="30" w:after="3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Confectionery</w:t>
            </w:r>
          </w:p>
        </w:tc>
        <w:tc>
          <w:tcPr>
            <w:tcW w:w="1048"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94</w:t>
            </w:r>
          </w:p>
        </w:tc>
        <w:tc>
          <w:tcPr>
            <w:tcW w:w="1053"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0</w:t>
            </w:r>
          </w:p>
        </w:tc>
        <w:tc>
          <w:tcPr>
            <w:tcW w:w="1378"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0 (0)</w:t>
            </w:r>
          </w:p>
        </w:tc>
        <w:tc>
          <w:tcPr>
            <w:tcW w:w="1499"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94</w:t>
            </w:r>
          </w:p>
        </w:tc>
        <w:tc>
          <w:tcPr>
            <w:tcW w:w="1499"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20 (21)</w:t>
            </w:r>
          </w:p>
        </w:tc>
      </w:tr>
      <w:tr w:rsidR="00DF28C4" w:rsidRPr="0019172E" w:rsidTr="001F41EF">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2983" w:type="dxa"/>
            <w:tcBorders>
              <w:top w:val="none" w:sz="0" w:space="0" w:color="auto"/>
              <w:bottom w:val="none" w:sz="0" w:space="0" w:color="auto"/>
            </w:tcBorders>
            <w:noWrap/>
            <w:hideMark/>
          </w:tcPr>
          <w:p w:rsidR="00DF28C4" w:rsidRPr="0019172E" w:rsidRDefault="00DF28C4" w:rsidP="0019172E">
            <w:pPr>
              <w:spacing w:before="30" w:after="3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Custard/desserts</w:t>
            </w:r>
          </w:p>
        </w:tc>
        <w:tc>
          <w:tcPr>
            <w:tcW w:w="1048"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82</w:t>
            </w:r>
          </w:p>
        </w:tc>
        <w:tc>
          <w:tcPr>
            <w:tcW w:w="1053"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33</w:t>
            </w:r>
          </w:p>
        </w:tc>
        <w:tc>
          <w:tcPr>
            <w:tcW w:w="1378"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11 (13)</w:t>
            </w:r>
          </w:p>
        </w:tc>
        <w:tc>
          <w:tcPr>
            <w:tcW w:w="1499"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49</w:t>
            </w:r>
          </w:p>
        </w:tc>
        <w:tc>
          <w:tcPr>
            <w:tcW w:w="1499"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15 (18)</w:t>
            </w:r>
          </w:p>
        </w:tc>
      </w:tr>
      <w:tr w:rsidR="00DF28C4" w:rsidRPr="0019172E" w:rsidTr="001F41EF">
        <w:trPr>
          <w:trHeight w:val="227"/>
          <w:jc w:val="center"/>
        </w:trPr>
        <w:tc>
          <w:tcPr>
            <w:cnfStyle w:val="001000000000" w:firstRow="0" w:lastRow="0" w:firstColumn="1" w:lastColumn="0" w:oddVBand="0" w:evenVBand="0" w:oddHBand="0" w:evenHBand="0" w:firstRowFirstColumn="0" w:firstRowLastColumn="0" w:lastRowFirstColumn="0" w:lastRowLastColumn="0"/>
            <w:tcW w:w="2983" w:type="dxa"/>
            <w:noWrap/>
            <w:hideMark/>
          </w:tcPr>
          <w:p w:rsidR="00DF28C4" w:rsidRPr="0019172E" w:rsidRDefault="00DF28C4" w:rsidP="0019172E">
            <w:pPr>
              <w:spacing w:before="30" w:after="3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Dips</w:t>
            </w:r>
          </w:p>
        </w:tc>
        <w:tc>
          <w:tcPr>
            <w:tcW w:w="1048"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28</w:t>
            </w:r>
          </w:p>
        </w:tc>
        <w:tc>
          <w:tcPr>
            <w:tcW w:w="1053"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0</w:t>
            </w:r>
          </w:p>
        </w:tc>
        <w:tc>
          <w:tcPr>
            <w:tcW w:w="1378"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0 (0)</w:t>
            </w:r>
          </w:p>
        </w:tc>
        <w:tc>
          <w:tcPr>
            <w:tcW w:w="1499"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28</w:t>
            </w:r>
          </w:p>
        </w:tc>
        <w:tc>
          <w:tcPr>
            <w:tcW w:w="1499"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0 (0)</w:t>
            </w:r>
          </w:p>
        </w:tc>
      </w:tr>
      <w:tr w:rsidR="00DF28C4" w:rsidRPr="0019172E" w:rsidTr="001F41EF">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2983" w:type="dxa"/>
            <w:tcBorders>
              <w:top w:val="none" w:sz="0" w:space="0" w:color="auto"/>
              <w:bottom w:val="none" w:sz="0" w:space="0" w:color="auto"/>
            </w:tcBorders>
            <w:noWrap/>
            <w:hideMark/>
          </w:tcPr>
          <w:p w:rsidR="00DF28C4" w:rsidRPr="0019172E" w:rsidRDefault="00DF28C4" w:rsidP="0019172E">
            <w:pPr>
              <w:spacing w:before="30" w:after="3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Dressings</w:t>
            </w:r>
          </w:p>
        </w:tc>
        <w:tc>
          <w:tcPr>
            <w:tcW w:w="1048"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95</w:t>
            </w:r>
          </w:p>
        </w:tc>
        <w:tc>
          <w:tcPr>
            <w:tcW w:w="1053"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4</w:t>
            </w:r>
          </w:p>
        </w:tc>
        <w:tc>
          <w:tcPr>
            <w:tcW w:w="1378"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0 (0)</w:t>
            </w:r>
          </w:p>
        </w:tc>
        <w:tc>
          <w:tcPr>
            <w:tcW w:w="1499"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91</w:t>
            </w:r>
          </w:p>
        </w:tc>
        <w:tc>
          <w:tcPr>
            <w:tcW w:w="1499"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7 (7)</w:t>
            </w:r>
          </w:p>
        </w:tc>
      </w:tr>
      <w:tr w:rsidR="00DF28C4" w:rsidRPr="0019172E" w:rsidTr="001F41EF">
        <w:trPr>
          <w:trHeight w:val="227"/>
          <w:jc w:val="center"/>
        </w:trPr>
        <w:tc>
          <w:tcPr>
            <w:cnfStyle w:val="001000000000" w:firstRow="0" w:lastRow="0" w:firstColumn="1" w:lastColumn="0" w:oddVBand="0" w:evenVBand="0" w:oddHBand="0" w:evenHBand="0" w:firstRowFirstColumn="0" w:firstRowLastColumn="0" w:lastRowFirstColumn="0" w:lastRowLastColumn="0"/>
            <w:tcW w:w="2983" w:type="dxa"/>
            <w:noWrap/>
            <w:hideMark/>
          </w:tcPr>
          <w:p w:rsidR="00DF28C4" w:rsidRPr="0019172E" w:rsidRDefault="00DF28C4" w:rsidP="0019172E">
            <w:pPr>
              <w:spacing w:before="30" w:after="3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lastRenderedPageBreak/>
              <w:t>Ice cream</w:t>
            </w:r>
          </w:p>
        </w:tc>
        <w:tc>
          <w:tcPr>
            <w:tcW w:w="1048"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179</w:t>
            </w:r>
          </w:p>
        </w:tc>
        <w:tc>
          <w:tcPr>
            <w:tcW w:w="1053"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0</w:t>
            </w:r>
          </w:p>
        </w:tc>
        <w:tc>
          <w:tcPr>
            <w:tcW w:w="1378"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0 (0)</w:t>
            </w:r>
          </w:p>
        </w:tc>
        <w:tc>
          <w:tcPr>
            <w:tcW w:w="1499"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179</w:t>
            </w:r>
          </w:p>
        </w:tc>
        <w:tc>
          <w:tcPr>
            <w:tcW w:w="1499"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40 (22)</w:t>
            </w:r>
          </w:p>
        </w:tc>
      </w:tr>
      <w:tr w:rsidR="00DF28C4" w:rsidRPr="0019172E" w:rsidTr="001F41EF">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2983" w:type="dxa"/>
            <w:tcBorders>
              <w:top w:val="none" w:sz="0" w:space="0" w:color="auto"/>
              <w:bottom w:val="none" w:sz="0" w:space="0" w:color="auto"/>
            </w:tcBorders>
            <w:noWrap/>
            <w:hideMark/>
          </w:tcPr>
          <w:p w:rsidR="00DF28C4" w:rsidRPr="0019172E" w:rsidRDefault="00DF28C4" w:rsidP="0019172E">
            <w:pPr>
              <w:spacing w:before="30" w:after="3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Meals/meal bases</w:t>
            </w:r>
          </w:p>
        </w:tc>
        <w:tc>
          <w:tcPr>
            <w:tcW w:w="1048"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292</w:t>
            </w:r>
          </w:p>
        </w:tc>
        <w:tc>
          <w:tcPr>
            <w:tcW w:w="1053"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171</w:t>
            </w:r>
          </w:p>
        </w:tc>
        <w:tc>
          <w:tcPr>
            <w:tcW w:w="1378"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1 (0)</w:t>
            </w:r>
          </w:p>
        </w:tc>
        <w:tc>
          <w:tcPr>
            <w:tcW w:w="1499"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121</w:t>
            </w:r>
          </w:p>
        </w:tc>
        <w:tc>
          <w:tcPr>
            <w:tcW w:w="1499"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1 (0)</w:t>
            </w:r>
          </w:p>
        </w:tc>
      </w:tr>
      <w:tr w:rsidR="00DF28C4" w:rsidRPr="0019172E" w:rsidTr="001F41EF">
        <w:trPr>
          <w:trHeight w:val="227"/>
          <w:jc w:val="center"/>
        </w:trPr>
        <w:tc>
          <w:tcPr>
            <w:cnfStyle w:val="001000000000" w:firstRow="0" w:lastRow="0" w:firstColumn="1" w:lastColumn="0" w:oddVBand="0" w:evenVBand="0" w:oddHBand="0" w:evenHBand="0" w:firstRowFirstColumn="0" w:firstRowLastColumn="0" w:lastRowFirstColumn="0" w:lastRowLastColumn="0"/>
            <w:tcW w:w="2983" w:type="dxa"/>
            <w:noWrap/>
            <w:hideMark/>
          </w:tcPr>
          <w:p w:rsidR="00DF28C4" w:rsidRPr="0019172E" w:rsidRDefault="00DF28C4" w:rsidP="0019172E">
            <w:pPr>
              <w:spacing w:before="30" w:after="3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Miscellaneous</w:t>
            </w:r>
          </w:p>
        </w:tc>
        <w:tc>
          <w:tcPr>
            <w:tcW w:w="1048"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25</w:t>
            </w:r>
          </w:p>
        </w:tc>
        <w:tc>
          <w:tcPr>
            <w:tcW w:w="1053"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13</w:t>
            </w:r>
          </w:p>
        </w:tc>
        <w:tc>
          <w:tcPr>
            <w:tcW w:w="1378"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5 (20)</w:t>
            </w:r>
          </w:p>
        </w:tc>
        <w:tc>
          <w:tcPr>
            <w:tcW w:w="1499"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12</w:t>
            </w:r>
          </w:p>
        </w:tc>
        <w:tc>
          <w:tcPr>
            <w:tcW w:w="1499"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3 (12)</w:t>
            </w:r>
          </w:p>
        </w:tc>
      </w:tr>
      <w:tr w:rsidR="00DF28C4" w:rsidRPr="0019172E" w:rsidTr="001F41EF">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2983" w:type="dxa"/>
            <w:tcBorders>
              <w:top w:val="none" w:sz="0" w:space="0" w:color="auto"/>
              <w:bottom w:val="none" w:sz="0" w:space="0" w:color="auto"/>
            </w:tcBorders>
            <w:noWrap/>
            <w:hideMark/>
          </w:tcPr>
          <w:p w:rsidR="00DF28C4" w:rsidRPr="0019172E" w:rsidRDefault="00DF28C4" w:rsidP="0019172E">
            <w:pPr>
              <w:spacing w:before="30" w:after="3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Pizza</w:t>
            </w:r>
          </w:p>
        </w:tc>
        <w:tc>
          <w:tcPr>
            <w:tcW w:w="1048"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3</w:t>
            </w:r>
          </w:p>
        </w:tc>
        <w:tc>
          <w:tcPr>
            <w:tcW w:w="1053"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1</w:t>
            </w:r>
          </w:p>
        </w:tc>
        <w:tc>
          <w:tcPr>
            <w:tcW w:w="1378"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0 (0)</w:t>
            </w:r>
          </w:p>
        </w:tc>
        <w:tc>
          <w:tcPr>
            <w:tcW w:w="1499"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2</w:t>
            </w:r>
          </w:p>
        </w:tc>
        <w:tc>
          <w:tcPr>
            <w:tcW w:w="1499"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0 (0)</w:t>
            </w:r>
          </w:p>
        </w:tc>
      </w:tr>
      <w:tr w:rsidR="00DF28C4" w:rsidRPr="0019172E" w:rsidTr="001F41EF">
        <w:trPr>
          <w:trHeight w:val="227"/>
          <w:jc w:val="center"/>
        </w:trPr>
        <w:tc>
          <w:tcPr>
            <w:cnfStyle w:val="001000000000" w:firstRow="0" w:lastRow="0" w:firstColumn="1" w:lastColumn="0" w:oddVBand="0" w:evenVBand="0" w:oddHBand="0" w:evenHBand="0" w:firstRowFirstColumn="0" w:firstRowLastColumn="0" w:lastRowFirstColumn="0" w:lastRowLastColumn="0"/>
            <w:tcW w:w="2983" w:type="dxa"/>
            <w:noWrap/>
            <w:hideMark/>
          </w:tcPr>
          <w:p w:rsidR="00DF28C4" w:rsidRPr="0019172E" w:rsidRDefault="00DF28C4" w:rsidP="0019172E">
            <w:pPr>
              <w:spacing w:before="30" w:after="3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Sauces/condiments</w:t>
            </w:r>
          </w:p>
        </w:tc>
        <w:tc>
          <w:tcPr>
            <w:tcW w:w="1048"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344</w:t>
            </w:r>
          </w:p>
        </w:tc>
        <w:tc>
          <w:tcPr>
            <w:tcW w:w="1053"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11</w:t>
            </w:r>
          </w:p>
        </w:tc>
        <w:tc>
          <w:tcPr>
            <w:tcW w:w="1378"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0 (0)</w:t>
            </w:r>
          </w:p>
        </w:tc>
        <w:tc>
          <w:tcPr>
            <w:tcW w:w="1499"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333</w:t>
            </w:r>
          </w:p>
        </w:tc>
        <w:tc>
          <w:tcPr>
            <w:tcW w:w="1499"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25 (7)</w:t>
            </w:r>
          </w:p>
        </w:tc>
      </w:tr>
      <w:tr w:rsidR="00DF28C4" w:rsidRPr="0019172E" w:rsidTr="001F41EF">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2983" w:type="dxa"/>
            <w:tcBorders>
              <w:top w:val="none" w:sz="0" w:space="0" w:color="auto"/>
              <w:bottom w:val="none" w:sz="0" w:space="0" w:color="auto"/>
            </w:tcBorders>
            <w:noWrap/>
            <w:hideMark/>
          </w:tcPr>
          <w:p w:rsidR="00DF28C4" w:rsidRPr="0019172E" w:rsidRDefault="00DF28C4" w:rsidP="0019172E">
            <w:pPr>
              <w:spacing w:before="30" w:after="3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Snacks</w:t>
            </w:r>
          </w:p>
        </w:tc>
        <w:tc>
          <w:tcPr>
            <w:tcW w:w="1048"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310</w:t>
            </w:r>
          </w:p>
        </w:tc>
        <w:tc>
          <w:tcPr>
            <w:tcW w:w="1053"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34</w:t>
            </w:r>
          </w:p>
        </w:tc>
        <w:tc>
          <w:tcPr>
            <w:tcW w:w="1378"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0 (0)</w:t>
            </w:r>
          </w:p>
        </w:tc>
        <w:tc>
          <w:tcPr>
            <w:tcW w:w="1499"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276</w:t>
            </w:r>
          </w:p>
        </w:tc>
        <w:tc>
          <w:tcPr>
            <w:tcW w:w="1499"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49 (16)</w:t>
            </w:r>
          </w:p>
        </w:tc>
      </w:tr>
      <w:tr w:rsidR="00DF28C4" w:rsidRPr="0019172E" w:rsidTr="001F41EF">
        <w:trPr>
          <w:trHeight w:val="227"/>
          <w:jc w:val="center"/>
        </w:trPr>
        <w:tc>
          <w:tcPr>
            <w:cnfStyle w:val="001000000000" w:firstRow="0" w:lastRow="0" w:firstColumn="1" w:lastColumn="0" w:oddVBand="0" w:evenVBand="0" w:oddHBand="0" w:evenHBand="0" w:firstRowFirstColumn="0" w:firstRowLastColumn="0" w:lastRowFirstColumn="0" w:lastRowLastColumn="0"/>
            <w:tcW w:w="2983" w:type="dxa"/>
            <w:noWrap/>
            <w:hideMark/>
          </w:tcPr>
          <w:p w:rsidR="00DF28C4" w:rsidRPr="0019172E" w:rsidRDefault="00DF28C4" w:rsidP="0019172E">
            <w:pPr>
              <w:spacing w:before="30" w:after="3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Soups/stocks</w:t>
            </w:r>
          </w:p>
        </w:tc>
        <w:tc>
          <w:tcPr>
            <w:tcW w:w="1048"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245</w:t>
            </w:r>
          </w:p>
        </w:tc>
        <w:tc>
          <w:tcPr>
            <w:tcW w:w="1053"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136</w:t>
            </w:r>
          </w:p>
        </w:tc>
        <w:tc>
          <w:tcPr>
            <w:tcW w:w="1378"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0 (0)</w:t>
            </w:r>
          </w:p>
        </w:tc>
        <w:tc>
          <w:tcPr>
            <w:tcW w:w="1499"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109</w:t>
            </w:r>
          </w:p>
        </w:tc>
        <w:tc>
          <w:tcPr>
            <w:tcW w:w="1499"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0 (0)</w:t>
            </w:r>
          </w:p>
        </w:tc>
      </w:tr>
      <w:tr w:rsidR="00DF28C4" w:rsidRPr="0019172E" w:rsidTr="001F41EF">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2983" w:type="dxa"/>
            <w:tcBorders>
              <w:top w:val="none" w:sz="0" w:space="0" w:color="auto"/>
              <w:bottom w:val="none" w:sz="0" w:space="0" w:color="auto"/>
            </w:tcBorders>
            <w:noWrap/>
            <w:hideMark/>
          </w:tcPr>
          <w:p w:rsidR="00DF28C4" w:rsidRPr="0019172E" w:rsidRDefault="00DF28C4" w:rsidP="0019172E">
            <w:pPr>
              <w:spacing w:before="30" w:after="3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Yeast spread</w:t>
            </w:r>
          </w:p>
        </w:tc>
        <w:tc>
          <w:tcPr>
            <w:tcW w:w="1048"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4</w:t>
            </w:r>
          </w:p>
        </w:tc>
        <w:tc>
          <w:tcPr>
            <w:tcW w:w="1053"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0</w:t>
            </w:r>
          </w:p>
        </w:tc>
        <w:tc>
          <w:tcPr>
            <w:tcW w:w="1378"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0 (0)</w:t>
            </w:r>
          </w:p>
        </w:tc>
        <w:tc>
          <w:tcPr>
            <w:tcW w:w="1499"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4</w:t>
            </w:r>
          </w:p>
        </w:tc>
        <w:tc>
          <w:tcPr>
            <w:tcW w:w="1499"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0 (0)</w:t>
            </w:r>
          </w:p>
        </w:tc>
      </w:tr>
      <w:tr w:rsidR="00DF28C4" w:rsidRPr="0019172E" w:rsidTr="001F41EF">
        <w:trPr>
          <w:trHeight w:val="227"/>
          <w:jc w:val="center"/>
        </w:trPr>
        <w:tc>
          <w:tcPr>
            <w:cnfStyle w:val="001000000000" w:firstRow="0" w:lastRow="0" w:firstColumn="1" w:lastColumn="0" w:oddVBand="0" w:evenVBand="0" w:oddHBand="0" w:evenHBand="0" w:firstRowFirstColumn="0" w:firstRowLastColumn="0" w:lastRowFirstColumn="0" w:lastRowLastColumn="0"/>
            <w:tcW w:w="2983" w:type="dxa"/>
            <w:noWrap/>
            <w:hideMark/>
          </w:tcPr>
          <w:p w:rsidR="00DF28C4" w:rsidRPr="0019172E" w:rsidRDefault="00DF28C4" w:rsidP="0019172E">
            <w:pPr>
              <w:spacing w:before="30" w:after="3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Meats/fish</w:t>
            </w:r>
          </w:p>
        </w:tc>
        <w:tc>
          <w:tcPr>
            <w:tcW w:w="1048"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328</w:t>
            </w:r>
          </w:p>
        </w:tc>
        <w:tc>
          <w:tcPr>
            <w:tcW w:w="1053"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221</w:t>
            </w:r>
          </w:p>
        </w:tc>
        <w:tc>
          <w:tcPr>
            <w:tcW w:w="1378"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0 (0)</w:t>
            </w:r>
          </w:p>
        </w:tc>
        <w:tc>
          <w:tcPr>
            <w:tcW w:w="1499"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107</w:t>
            </w:r>
          </w:p>
        </w:tc>
        <w:tc>
          <w:tcPr>
            <w:tcW w:w="1499"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0 (0)</w:t>
            </w:r>
          </w:p>
        </w:tc>
      </w:tr>
      <w:tr w:rsidR="00DF28C4" w:rsidRPr="0019172E" w:rsidTr="001F41EF">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2983" w:type="dxa"/>
            <w:tcBorders>
              <w:top w:val="none" w:sz="0" w:space="0" w:color="auto"/>
              <w:bottom w:val="none" w:sz="0" w:space="0" w:color="auto"/>
            </w:tcBorders>
            <w:noWrap/>
            <w:hideMark/>
          </w:tcPr>
          <w:p w:rsidR="00DF28C4" w:rsidRPr="0019172E" w:rsidRDefault="00DF28C4" w:rsidP="0019172E">
            <w:pPr>
              <w:spacing w:before="30" w:after="3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Nuts</w:t>
            </w:r>
          </w:p>
        </w:tc>
        <w:tc>
          <w:tcPr>
            <w:tcW w:w="1048"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76</w:t>
            </w:r>
          </w:p>
        </w:tc>
        <w:tc>
          <w:tcPr>
            <w:tcW w:w="1053"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74</w:t>
            </w:r>
          </w:p>
        </w:tc>
        <w:tc>
          <w:tcPr>
            <w:tcW w:w="1378"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12 (16)</w:t>
            </w:r>
          </w:p>
        </w:tc>
        <w:tc>
          <w:tcPr>
            <w:tcW w:w="1499"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2</w:t>
            </w:r>
          </w:p>
        </w:tc>
        <w:tc>
          <w:tcPr>
            <w:tcW w:w="1499"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0 (0)</w:t>
            </w:r>
          </w:p>
        </w:tc>
      </w:tr>
      <w:tr w:rsidR="00DF28C4" w:rsidRPr="0019172E" w:rsidTr="001F41EF">
        <w:trPr>
          <w:trHeight w:val="227"/>
          <w:jc w:val="center"/>
        </w:trPr>
        <w:tc>
          <w:tcPr>
            <w:cnfStyle w:val="001000000000" w:firstRow="0" w:lastRow="0" w:firstColumn="1" w:lastColumn="0" w:oddVBand="0" w:evenVBand="0" w:oddHBand="0" w:evenHBand="0" w:firstRowFirstColumn="0" w:firstRowLastColumn="0" w:lastRowFirstColumn="0" w:lastRowLastColumn="0"/>
            <w:tcW w:w="2983" w:type="dxa"/>
            <w:noWrap/>
            <w:hideMark/>
          </w:tcPr>
          <w:p w:rsidR="00DF28C4" w:rsidRPr="0019172E" w:rsidRDefault="00DF28C4" w:rsidP="0019172E">
            <w:pPr>
              <w:spacing w:before="30" w:after="3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Plant proteins</w:t>
            </w:r>
          </w:p>
        </w:tc>
        <w:tc>
          <w:tcPr>
            <w:tcW w:w="1048"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104</w:t>
            </w:r>
          </w:p>
        </w:tc>
        <w:tc>
          <w:tcPr>
            <w:tcW w:w="1053"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104</w:t>
            </w:r>
          </w:p>
        </w:tc>
        <w:tc>
          <w:tcPr>
            <w:tcW w:w="1378"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0 (0)</w:t>
            </w:r>
          </w:p>
        </w:tc>
        <w:tc>
          <w:tcPr>
            <w:tcW w:w="1499"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0</w:t>
            </w:r>
          </w:p>
        </w:tc>
        <w:tc>
          <w:tcPr>
            <w:tcW w:w="1499"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0 (0)</w:t>
            </w:r>
          </w:p>
        </w:tc>
      </w:tr>
      <w:tr w:rsidR="00DF28C4" w:rsidRPr="0019172E" w:rsidTr="001F41EF">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2983" w:type="dxa"/>
            <w:tcBorders>
              <w:top w:val="none" w:sz="0" w:space="0" w:color="auto"/>
              <w:bottom w:val="none" w:sz="0" w:space="0" w:color="auto"/>
            </w:tcBorders>
            <w:noWrap/>
            <w:hideMark/>
          </w:tcPr>
          <w:p w:rsidR="00DF28C4" w:rsidRPr="0019172E" w:rsidRDefault="00DF28C4" w:rsidP="0019172E">
            <w:pPr>
              <w:spacing w:before="30" w:after="3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Processed vegetables</w:t>
            </w:r>
          </w:p>
        </w:tc>
        <w:tc>
          <w:tcPr>
            <w:tcW w:w="1048"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299</w:t>
            </w:r>
          </w:p>
        </w:tc>
        <w:tc>
          <w:tcPr>
            <w:tcW w:w="1053"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224</w:t>
            </w:r>
          </w:p>
        </w:tc>
        <w:tc>
          <w:tcPr>
            <w:tcW w:w="1378"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1 (0)</w:t>
            </w:r>
          </w:p>
        </w:tc>
        <w:tc>
          <w:tcPr>
            <w:tcW w:w="1499"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75</w:t>
            </w:r>
          </w:p>
        </w:tc>
        <w:tc>
          <w:tcPr>
            <w:tcW w:w="1499"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3 (1)</w:t>
            </w:r>
          </w:p>
        </w:tc>
      </w:tr>
      <w:tr w:rsidR="00DF28C4" w:rsidRPr="0019172E" w:rsidTr="001F41EF">
        <w:trPr>
          <w:trHeight w:val="227"/>
          <w:jc w:val="center"/>
        </w:trPr>
        <w:tc>
          <w:tcPr>
            <w:cnfStyle w:val="001000000000" w:firstRow="0" w:lastRow="0" w:firstColumn="1" w:lastColumn="0" w:oddVBand="0" w:evenVBand="0" w:oddHBand="0" w:evenHBand="0" w:firstRowFirstColumn="0" w:firstRowLastColumn="0" w:lastRowFirstColumn="0" w:lastRowLastColumn="0"/>
            <w:tcW w:w="2983" w:type="dxa"/>
            <w:noWrap/>
            <w:hideMark/>
          </w:tcPr>
          <w:p w:rsidR="00DF28C4" w:rsidRPr="0019172E" w:rsidRDefault="00DF28C4" w:rsidP="0019172E">
            <w:pPr>
              <w:spacing w:before="30" w:after="3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Unprocessed vegetables</w:t>
            </w:r>
          </w:p>
        </w:tc>
        <w:tc>
          <w:tcPr>
            <w:tcW w:w="1048"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62</w:t>
            </w:r>
          </w:p>
        </w:tc>
        <w:tc>
          <w:tcPr>
            <w:tcW w:w="1053"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62</w:t>
            </w:r>
          </w:p>
        </w:tc>
        <w:tc>
          <w:tcPr>
            <w:tcW w:w="1378"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0 (0)</w:t>
            </w:r>
          </w:p>
        </w:tc>
        <w:tc>
          <w:tcPr>
            <w:tcW w:w="1499"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0</w:t>
            </w:r>
          </w:p>
        </w:tc>
        <w:tc>
          <w:tcPr>
            <w:tcW w:w="1499" w:type="dxa"/>
            <w:noWrap/>
            <w:hideMark/>
          </w:tcPr>
          <w:p w:rsidR="00DF28C4" w:rsidRPr="0019172E" w:rsidRDefault="00DF28C4" w:rsidP="0019172E">
            <w:pPr>
              <w:spacing w:before="30" w:after="3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19172E">
              <w:rPr>
                <w:rFonts w:ascii="Times New Roman" w:eastAsia="Times New Roman" w:hAnsi="Times New Roman" w:cs="Times New Roman"/>
                <w:color w:val="000000"/>
                <w:sz w:val="22"/>
                <w:szCs w:val="22"/>
                <w:lang w:eastAsia="en-GB"/>
              </w:rPr>
              <w:t>0 (0)</w:t>
            </w:r>
          </w:p>
        </w:tc>
      </w:tr>
      <w:tr w:rsidR="00DF28C4" w:rsidRPr="0019172E" w:rsidTr="001F41EF">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2983" w:type="dxa"/>
            <w:tcBorders>
              <w:top w:val="none" w:sz="0" w:space="0" w:color="auto"/>
              <w:bottom w:val="none" w:sz="0" w:space="0" w:color="auto"/>
            </w:tcBorders>
            <w:noWrap/>
            <w:hideMark/>
          </w:tcPr>
          <w:p w:rsidR="00DF28C4" w:rsidRPr="0019172E" w:rsidRDefault="00DF28C4" w:rsidP="0019172E">
            <w:pPr>
              <w:spacing w:before="30" w:after="30"/>
              <w:rPr>
                <w:rFonts w:ascii="Times New Roman" w:eastAsia="Times New Roman" w:hAnsi="Times New Roman" w:cs="Times New Roman"/>
                <w:bCs w:val="0"/>
                <w:color w:val="000000"/>
                <w:sz w:val="22"/>
                <w:szCs w:val="22"/>
                <w:lang w:eastAsia="en-GB"/>
              </w:rPr>
            </w:pPr>
            <w:r w:rsidRPr="0019172E">
              <w:rPr>
                <w:rFonts w:ascii="Times New Roman" w:eastAsia="Times New Roman" w:hAnsi="Times New Roman" w:cs="Times New Roman"/>
                <w:bCs w:val="0"/>
                <w:color w:val="000000"/>
                <w:sz w:val="22"/>
                <w:szCs w:val="22"/>
                <w:lang w:eastAsia="en-GB"/>
              </w:rPr>
              <w:t>Total</w:t>
            </w:r>
          </w:p>
        </w:tc>
        <w:tc>
          <w:tcPr>
            <w:tcW w:w="1048"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2"/>
                <w:szCs w:val="22"/>
                <w:lang w:eastAsia="en-GB"/>
              </w:rPr>
            </w:pPr>
            <w:r w:rsidRPr="0019172E">
              <w:rPr>
                <w:rFonts w:ascii="Times New Roman" w:eastAsia="Times New Roman" w:hAnsi="Times New Roman" w:cs="Times New Roman"/>
                <w:b/>
                <w:bCs/>
                <w:color w:val="000000"/>
                <w:sz w:val="22"/>
                <w:szCs w:val="22"/>
                <w:lang w:eastAsia="en-GB"/>
              </w:rPr>
              <w:t>4919</w:t>
            </w:r>
          </w:p>
        </w:tc>
        <w:tc>
          <w:tcPr>
            <w:tcW w:w="1053"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2"/>
                <w:szCs w:val="22"/>
                <w:lang w:eastAsia="en-GB"/>
              </w:rPr>
            </w:pPr>
            <w:r w:rsidRPr="0019172E">
              <w:rPr>
                <w:rFonts w:ascii="Times New Roman" w:eastAsia="Times New Roman" w:hAnsi="Times New Roman" w:cs="Times New Roman"/>
                <w:b/>
                <w:bCs/>
                <w:color w:val="000000"/>
                <w:sz w:val="22"/>
                <w:szCs w:val="22"/>
                <w:lang w:eastAsia="en-GB"/>
              </w:rPr>
              <w:t>2985</w:t>
            </w:r>
          </w:p>
        </w:tc>
        <w:tc>
          <w:tcPr>
            <w:tcW w:w="1378"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2"/>
                <w:szCs w:val="22"/>
                <w:lang w:eastAsia="en-GB"/>
              </w:rPr>
            </w:pPr>
            <w:r w:rsidRPr="0019172E">
              <w:rPr>
                <w:rFonts w:ascii="Times New Roman" w:eastAsia="Times New Roman" w:hAnsi="Times New Roman" w:cs="Times New Roman"/>
                <w:b/>
                <w:color w:val="000000"/>
                <w:sz w:val="22"/>
                <w:szCs w:val="22"/>
                <w:lang w:eastAsia="en-GB"/>
              </w:rPr>
              <w:t>240 (5)</w:t>
            </w:r>
          </w:p>
        </w:tc>
        <w:tc>
          <w:tcPr>
            <w:tcW w:w="1499"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2"/>
                <w:szCs w:val="22"/>
                <w:lang w:eastAsia="en-GB"/>
              </w:rPr>
            </w:pPr>
            <w:r w:rsidRPr="0019172E">
              <w:rPr>
                <w:rFonts w:ascii="Times New Roman" w:eastAsia="Times New Roman" w:hAnsi="Times New Roman" w:cs="Times New Roman"/>
                <w:b/>
                <w:bCs/>
                <w:color w:val="000000"/>
                <w:sz w:val="22"/>
                <w:szCs w:val="22"/>
                <w:lang w:eastAsia="en-GB"/>
              </w:rPr>
              <w:t>1934</w:t>
            </w:r>
          </w:p>
        </w:tc>
        <w:tc>
          <w:tcPr>
            <w:tcW w:w="1499" w:type="dxa"/>
            <w:tcBorders>
              <w:top w:val="none" w:sz="0" w:space="0" w:color="auto"/>
              <w:bottom w:val="none" w:sz="0" w:space="0" w:color="auto"/>
            </w:tcBorders>
            <w:noWrap/>
            <w:hideMark/>
          </w:tcPr>
          <w:p w:rsidR="00DF28C4" w:rsidRPr="0019172E" w:rsidRDefault="00DF28C4" w:rsidP="0019172E">
            <w:pPr>
              <w:spacing w:before="30" w:after="3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2"/>
                <w:szCs w:val="22"/>
                <w:lang w:eastAsia="en-GB"/>
              </w:rPr>
            </w:pPr>
            <w:r w:rsidRPr="0019172E">
              <w:rPr>
                <w:rFonts w:ascii="Times New Roman" w:eastAsia="Times New Roman" w:hAnsi="Times New Roman" w:cs="Times New Roman"/>
                <w:b/>
                <w:color w:val="000000"/>
                <w:sz w:val="22"/>
                <w:szCs w:val="22"/>
                <w:lang w:eastAsia="en-GB"/>
              </w:rPr>
              <w:t>231 (5)</w:t>
            </w:r>
          </w:p>
        </w:tc>
      </w:tr>
    </w:tbl>
    <w:p w:rsidR="00DF28C4" w:rsidRPr="006D05B7" w:rsidRDefault="00DF28C4" w:rsidP="00DF28C4"/>
    <w:p w:rsidR="00DF28C4" w:rsidRPr="006D05B7" w:rsidRDefault="00DF28C4" w:rsidP="00DF28C4">
      <w:r w:rsidRPr="006D05B7">
        <w:t>Another general indicator of alignment with the dietary guidelines is the number of potential ‘outliers’. That is, the number of FFG foods that may be scoring relatively low HSRs (&lt;3) and discretionary foods scoring relatively high HSRs (≥3). Overall, the stronger total sugars scenario resulted in slightly less discretionary foods receiving a HSR of ≥3 and slightly more FFG foods receiving a HSR of &lt;3 (Table 2).</w:t>
      </w:r>
    </w:p>
    <w:p w:rsidR="00DF28C4" w:rsidRPr="00685E9B" w:rsidRDefault="00DF28C4" w:rsidP="0019172E">
      <w:pPr>
        <w:pStyle w:val="Caption"/>
        <w:keepNext/>
        <w:keepLines/>
        <w:spacing w:before="240" w:after="120"/>
        <w:ind w:left="1128" w:hanging="1128"/>
        <w:rPr>
          <w:rFonts w:ascii="Times New Roman" w:hAnsi="Times New Roman" w:cs="Times New Roman"/>
          <w:color w:val="000000" w:themeColor="text1"/>
          <w:sz w:val="24"/>
          <w:szCs w:val="24"/>
          <w:lang w:eastAsia="en-AU"/>
        </w:rPr>
      </w:pPr>
      <w:r w:rsidRPr="00685E9B">
        <w:rPr>
          <w:rFonts w:ascii="Times New Roman" w:hAnsi="Times New Roman" w:cs="Times New Roman"/>
          <w:color w:val="000000" w:themeColor="text1"/>
          <w:sz w:val="24"/>
          <w:szCs w:val="24"/>
          <w:lang w:eastAsia="en-AU"/>
        </w:rPr>
        <w:t xml:space="preserve">Table 2 </w:t>
      </w:r>
      <w:r w:rsidRPr="00685E9B">
        <w:rPr>
          <w:rFonts w:ascii="Times New Roman" w:hAnsi="Times New Roman" w:cs="Times New Roman"/>
          <w:color w:val="000000" w:themeColor="text1"/>
          <w:sz w:val="24"/>
          <w:szCs w:val="24"/>
          <w:lang w:eastAsia="en-AU"/>
        </w:rPr>
        <w:tab/>
      </w:r>
      <w:r w:rsidRPr="00685E9B">
        <w:rPr>
          <w:rFonts w:ascii="Times New Roman" w:hAnsi="Times New Roman" w:cs="Times New Roman"/>
          <w:color w:val="000000" w:themeColor="text1"/>
          <w:sz w:val="24"/>
          <w:szCs w:val="24"/>
        </w:rPr>
        <w:t>Summary of FFG and discretionary TAG database products in HSR Categories 1D, 2 and 2D affected by the stronger total sugars scenario</w:t>
      </w:r>
    </w:p>
    <w:tbl>
      <w:tblPr>
        <w:tblStyle w:val="PlainTable2"/>
        <w:tblW w:w="9634" w:type="dxa"/>
        <w:tblBorders>
          <w:top w:val="single" w:sz="4" w:space="0" w:color="auto"/>
          <w:left w:val="single" w:sz="4" w:space="0" w:color="auto"/>
          <w:bottom w:val="single" w:sz="4" w:space="0" w:color="auto"/>
          <w:right w:val="single" w:sz="4" w:space="0" w:color="auto"/>
          <w:insideH w:val="single" w:sz="4" w:space="0" w:color="7F7F7F" w:themeColor="text1" w:themeTint="80"/>
        </w:tblBorders>
        <w:tblLook w:val="04A0" w:firstRow="1" w:lastRow="0" w:firstColumn="1" w:lastColumn="0" w:noHBand="0" w:noVBand="1"/>
        <w:tblCaption w:val="Table 2 - Summary of FFG and discretionary TAG database products in HSR Categories 1D, 2 and 2D affected by the stronger total sugars scenario"/>
        <w:tblDescription w:val="Summary of Five Food Group and discretionary TAG database products in HSR Categories 1D, 2 and 2D affected by the stronger total sugars scenario"/>
      </w:tblPr>
      <w:tblGrid>
        <w:gridCol w:w="988"/>
        <w:gridCol w:w="2161"/>
        <w:gridCol w:w="2162"/>
        <w:gridCol w:w="2161"/>
        <w:gridCol w:w="2162"/>
      </w:tblGrid>
      <w:tr w:rsidR="00D13696" w:rsidRPr="00D13696" w:rsidTr="00D136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tcPr>
          <w:p w:rsidR="00D13696" w:rsidRPr="00D13696" w:rsidRDefault="00D13696" w:rsidP="00D13696">
            <w:pPr>
              <w:spacing w:before="40" w:after="40"/>
              <w:rPr>
                <w:sz w:val="20"/>
                <w:szCs w:val="20"/>
                <w:lang w:eastAsia="en-GB"/>
              </w:rPr>
            </w:pPr>
            <w:r w:rsidRPr="00D13696">
              <w:rPr>
                <w:rFonts w:ascii="Times New Roman" w:eastAsia="Times New Roman" w:hAnsi="Times New Roman" w:cs="Times New Roman"/>
                <w:sz w:val="20"/>
                <w:szCs w:val="20"/>
                <w:lang w:eastAsia="en-GB"/>
              </w:rPr>
              <w:t>Health Star Rating</w:t>
            </w:r>
          </w:p>
        </w:tc>
        <w:tc>
          <w:tcPr>
            <w:tcW w:w="2161" w:type="dxa"/>
            <w:shd w:val="clear" w:color="auto" w:fill="D9D9D9" w:themeFill="background1" w:themeFillShade="D9"/>
          </w:tcPr>
          <w:p w:rsidR="00D13696" w:rsidRPr="00D13696" w:rsidRDefault="00D13696" w:rsidP="00D13696">
            <w:pPr>
              <w:spacing w:before="4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D13696">
              <w:rPr>
                <w:rFonts w:ascii="Times New Roman" w:eastAsia="Times New Roman" w:hAnsi="Times New Roman" w:cs="Times New Roman"/>
                <w:bCs w:val="0"/>
                <w:color w:val="000000" w:themeColor="text1"/>
                <w:sz w:val="20"/>
                <w:szCs w:val="20"/>
                <w:lang w:eastAsia="en-GB"/>
              </w:rPr>
              <w:t>Recommended scenario count of products</w:t>
            </w:r>
          </w:p>
          <w:p w:rsidR="00D13696" w:rsidRPr="00D13696" w:rsidRDefault="00D13696" w:rsidP="00D13696">
            <w:pPr>
              <w:spacing w:before="40"/>
              <w:jc w:val="center"/>
              <w:cnfStyle w:val="100000000000" w:firstRow="1" w:lastRow="0" w:firstColumn="0" w:lastColumn="0" w:oddVBand="0" w:evenVBand="0" w:oddHBand="0" w:evenHBand="0" w:firstRowFirstColumn="0" w:firstRowLastColumn="0" w:lastRowFirstColumn="0" w:lastRowLastColumn="0"/>
              <w:rPr>
                <w:sz w:val="20"/>
                <w:szCs w:val="20"/>
                <w:lang w:eastAsia="en-GB"/>
              </w:rPr>
            </w:pPr>
            <w:r w:rsidRPr="00D13696">
              <w:rPr>
                <w:rFonts w:ascii="Times New Roman" w:eastAsia="Times New Roman" w:hAnsi="Times New Roman" w:cs="Times New Roman"/>
                <w:sz w:val="20"/>
                <w:szCs w:val="20"/>
                <w:lang w:eastAsia="en-GB"/>
              </w:rPr>
              <w:t>FFG</w:t>
            </w:r>
          </w:p>
        </w:tc>
        <w:tc>
          <w:tcPr>
            <w:tcW w:w="2162" w:type="dxa"/>
            <w:shd w:val="clear" w:color="auto" w:fill="D9D9D9" w:themeFill="background1" w:themeFillShade="D9"/>
          </w:tcPr>
          <w:p w:rsidR="00D13696" w:rsidRPr="00D13696" w:rsidRDefault="00D13696" w:rsidP="00D13696">
            <w:pPr>
              <w:spacing w:before="4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D13696">
              <w:rPr>
                <w:rFonts w:ascii="Times New Roman" w:eastAsia="Times New Roman" w:hAnsi="Times New Roman" w:cs="Times New Roman"/>
                <w:bCs w:val="0"/>
                <w:color w:val="000000" w:themeColor="text1"/>
                <w:sz w:val="20"/>
                <w:szCs w:val="20"/>
                <w:lang w:eastAsia="en-GB"/>
              </w:rPr>
              <w:t>Recommended scenario count of products</w:t>
            </w:r>
          </w:p>
          <w:p w:rsidR="00D13696" w:rsidRPr="00D13696" w:rsidRDefault="00D13696" w:rsidP="00D13696">
            <w:pPr>
              <w:spacing w:before="40"/>
              <w:jc w:val="center"/>
              <w:cnfStyle w:val="100000000000" w:firstRow="1" w:lastRow="0" w:firstColumn="0" w:lastColumn="0" w:oddVBand="0" w:evenVBand="0" w:oddHBand="0" w:evenHBand="0" w:firstRowFirstColumn="0" w:firstRowLastColumn="0" w:lastRowFirstColumn="0" w:lastRowLastColumn="0"/>
              <w:rPr>
                <w:sz w:val="20"/>
                <w:szCs w:val="20"/>
                <w:lang w:eastAsia="en-GB"/>
              </w:rPr>
            </w:pPr>
            <w:r w:rsidRPr="00D13696">
              <w:rPr>
                <w:rFonts w:ascii="Times New Roman" w:eastAsia="Times New Roman" w:hAnsi="Times New Roman" w:cs="Times New Roman"/>
                <w:sz w:val="20"/>
                <w:szCs w:val="20"/>
                <w:lang w:eastAsia="en-GB"/>
              </w:rPr>
              <w:t>Discretionary</w:t>
            </w:r>
          </w:p>
        </w:tc>
        <w:tc>
          <w:tcPr>
            <w:tcW w:w="2161" w:type="dxa"/>
            <w:shd w:val="clear" w:color="auto" w:fill="D9D9D9" w:themeFill="background1" w:themeFillShade="D9"/>
          </w:tcPr>
          <w:p w:rsidR="00D13696" w:rsidRPr="00D13696" w:rsidRDefault="00D13696" w:rsidP="00D13696">
            <w:pPr>
              <w:spacing w:before="4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D13696">
              <w:rPr>
                <w:rFonts w:ascii="Times New Roman" w:eastAsia="Times New Roman" w:hAnsi="Times New Roman" w:cs="Times New Roman"/>
                <w:bCs w:val="0"/>
                <w:color w:val="000000" w:themeColor="text1"/>
                <w:sz w:val="20"/>
                <w:szCs w:val="20"/>
                <w:lang w:eastAsia="en-GB"/>
              </w:rPr>
              <w:t>Stronger total sugars scenario count of products</w:t>
            </w:r>
          </w:p>
          <w:p w:rsidR="00D13696" w:rsidRPr="00D13696" w:rsidRDefault="00D13696" w:rsidP="00D13696">
            <w:pPr>
              <w:spacing w:before="40"/>
              <w:jc w:val="center"/>
              <w:cnfStyle w:val="100000000000" w:firstRow="1" w:lastRow="0" w:firstColumn="0" w:lastColumn="0" w:oddVBand="0" w:evenVBand="0" w:oddHBand="0" w:evenHBand="0" w:firstRowFirstColumn="0" w:firstRowLastColumn="0" w:lastRowFirstColumn="0" w:lastRowLastColumn="0"/>
              <w:rPr>
                <w:sz w:val="20"/>
                <w:szCs w:val="20"/>
                <w:lang w:eastAsia="en-GB"/>
              </w:rPr>
            </w:pPr>
            <w:r w:rsidRPr="00D13696">
              <w:rPr>
                <w:rFonts w:ascii="Times New Roman" w:eastAsia="Times New Roman" w:hAnsi="Times New Roman" w:cs="Times New Roman"/>
                <w:sz w:val="20"/>
                <w:szCs w:val="20"/>
                <w:lang w:eastAsia="en-GB"/>
              </w:rPr>
              <w:t>FFG</w:t>
            </w:r>
          </w:p>
        </w:tc>
        <w:tc>
          <w:tcPr>
            <w:tcW w:w="2162" w:type="dxa"/>
            <w:shd w:val="clear" w:color="auto" w:fill="D9D9D9" w:themeFill="background1" w:themeFillShade="D9"/>
          </w:tcPr>
          <w:p w:rsidR="00D13696" w:rsidRPr="00D13696" w:rsidRDefault="00D13696" w:rsidP="00D13696">
            <w:pPr>
              <w:spacing w:before="4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D13696">
              <w:rPr>
                <w:rFonts w:ascii="Times New Roman" w:eastAsia="Times New Roman" w:hAnsi="Times New Roman" w:cs="Times New Roman"/>
                <w:bCs w:val="0"/>
                <w:color w:val="000000" w:themeColor="text1"/>
                <w:sz w:val="20"/>
                <w:szCs w:val="20"/>
                <w:lang w:eastAsia="en-GB"/>
              </w:rPr>
              <w:t>Stronger total sugars scenario count of products</w:t>
            </w:r>
          </w:p>
          <w:p w:rsidR="00D13696" w:rsidRPr="00D13696" w:rsidRDefault="00D13696" w:rsidP="00D13696">
            <w:pPr>
              <w:spacing w:before="40" w:after="40"/>
              <w:jc w:val="center"/>
              <w:cnfStyle w:val="100000000000" w:firstRow="1" w:lastRow="0" w:firstColumn="0" w:lastColumn="0" w:oddVBand="0" w:evenVBand="0" w:oddHBand="0" w:evenHBand="0" w:firstRowFirstColumn="0" w:firstRowLastColumn="0" w:lastRowFirstColumn="0" w:lastRowLastColumn="0"/>
              <w:rPr>
                <w:sz w:val="20"/>
                <w:szCs w:val="20"/>
                <w:lang w:eastAsia="en-GB"/>
              </w:rPr>
            </w:pPr>
            <w:r w:rsidRPr="00D13696">
              <w:rPr>
                <w:rFonts w:ascii="Times New Roman" w:eastAsia="Times New Roman" w:hAnsi="Times New Roman" w:cs="Times New Roman"/>
                <w:sz w:val="20"/>
                <w:szCs w:val="20"/>
                <w:lang w:eastAsia="en-GB"/>
              </w:rPr>
              <w:t>Discretionary</w:t>
            </w:r>
          </w:p>
        </w:tc>
      </w:tr>
      <w:tr w:rsidR="00D13696" w:rsidRPr="0019172E" w:rsidTr="00D13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D13696" w:rsidRPr="0019172E" w:rsidRDefault="00D13696" w:rsidP="00D13696">
            <w:pPr>
              <w:spacing w:before="40" w:after="40"/>
              <w:rPr>
                <w:rFonts w:ascii="Times New Roman" w:eastAsia="Times New Roman" w:hAnsi="Times New Roman" w:cs="Times New Roman"/>
                <w:sz w:val="22"/>
                <w:szCs w:val="22"/>
                <w:lang w:eastAsia="en-GB"/>
              </w:rPr>
            </w:pPr>
            <w:r w:rsidRPr="0019172E">
              <w:rPr>
                <w:rFonts w:ascii="Times New Roman" w:eastAsia="Times New Roman" w:hAnsi="Times New Roman" w:cs="Times New Roman"/>
                <w:sz w:val="22"/>
                <w:szCs w:val="22"/>
                <w:lang w:eastAsia="en-GB"/>
              </w:rPr>
              <w:t>&lt;3</w:t>
            </w:r>
          </w:p>
        </w:tc>
        <w:tc>
          <w:tcPr>
            <w:tcW w:w="2161" w:type="dxa"/>
          </w:tcPr>
          <w:p w:rsidR="00D13696" w:rsidRPr="0019172E" w:rsidRDefault="00D13696" w:rsidP="00D13696">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en-GB"/>
              </w:rPr>
            </w:pPr>
            <w:r w:rsidRPr="0019172E">
              <w:rPr>
                <w:rFonts w:ascii="Times New Roman" w:eastAsia="Times New Roman" w:hAnsi="Times New Roman" w:cs="Times New Roman"/>
                <w:sz w:val="22"/>
                <w:szCs w:val="22"/>
                <w:lang w:eastAsia="en-GB"/>
              </w:rPr>
              <w:t>256 (9%)</w:t>
            </w:r>
          </w:p>
        </w:tc>
        <w:tc>
          <w:tcPr>
            <w:tcW w:w="2162" w:type="dxa"/>
          </w:tcPr>
          <w:p w:rsidR="00D13696" w:rsidRPr="0019172E" w:rsidRDefault="00D13696" w:rsidP="00D13696">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en-GB"/>
              </w:rPr>
            </w:pPr>
            <w:r w:rsidRPr="0019172E">
              <w:rPr>
                <w:rFonts w:ascii="Times New Roman" w:eastAsia="Times New Roman" w:hAnsi="Times New Roman" w:cs="Times New Roman"/>
                <w:sz w:val="22"/>
                <w:szCs w:val="22"/>
                <w:lang w:eastAsia="en-GB"/>
              </w:rPr>
              <w:t>1160 (60%)</w:t>
            </w:r>
          </w:p>
        </w:tc>
        <w:tc>
          <w:tcPr>
            <w:tcW w:w="2161" w:type="dxa"/>
          </w:tcPr>
          <w:p w:rsidR="00D13696" w:rsidRPr="0019172E" w:rsidRDefault="00D13696" w:rsidP="00D13696">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en-GB"/>
              </w:rPr>
            </w:pPr>
            <w:r w:rsidRPr="0019172E">
              <w:rPr>
                <w:rFonts w:ascii="Times New Roman" w:eastAsia="Times New Roman" w:hAnsi="Times New Roman" w:cs="Times New Roman"/>
                <w:sz w:val="22"/>
                <w:szCs w:val="22"/>
                <w:lang w:eastAsia="en-GB"/>
              </w:rPr>
              <w:t>288 (10%)</w:t>
            </w:r>
          </w:p>
        </w:tc>
        <w:tc>
          <w:tcPr>
            <w:tcW w:w="2162" w:type="dxa"/>
          </w:tcPr>
          <w:p w:rsidR="00D13696" w:rsidRPr="0019172E" w:rsidRDefault="00D13696" w:rsidP="00D13696">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en-GB"/>
              </w:rPr>
            </w:pPr>
            <w:r w:rsidRPr="0019172E">
              <w:rPr>
                <w:rFonts w:ascii="Times New Roman" w:eastAsia="Times New Roman" w:hAnsi="Times New Roman" w:cs="Times New Roman"/>
                <w:sz w:val="22"/>
                <w:szCs w:val="22"/>
                <w:lang w:eastAsia="en-GB"/>
              </w:rPr>
              <w:t>1181 (61%)</w:t>
            </w:r>
          </w:p>
        </w:tc>
      </w:tr>
      <w:tr w:rsidR="00D13696" w:rsidRPr="0019172E" w:rsidTr="00D13696">
        <w:tc>
          <w:tcPr>
            <w:cnfStyle w:val="001000000000" w:firstRow="0" w:lastRow="0" w:firstColumn="1" w:lastColumn="0" w:oddVBand="0" w:evenVBand="0" w:oddHBand="0" w:evenHBand="0" w:firstRowFirstColumn="0" w:firstRowLastColumn="0" w:lastRowFirstColumn="0" w:lastRowLastColumn="0"/>
            <w:tcW w:w="988" w:type="dxa"/>
          </w:tcPr>
          <w:p w:rsidR="00D13696" w:rsidRPr="0019172E" w:rsidRDefault="00D13696" w:rsidP="00D13696">
            <w:pPr>
              <w:spacing w:before="40" w:after="40"/>
              <w:rPr>
                <w:rFonts w:ascii="Times New Roman" w:eastAsia="Times New Roman" w:hAnsi="Times New Roman" w:cs="Times New Roman"/>
                <w:sz w:val="22"/>
                <w:szCs w:val="22"/>
                <w:lang w:eastAsia="en-GB"/>
              </w:rPr>
            </w:pPr>
            <w:r w:rsidRPr="0019172E">
              <w:rPr>
                <w:rFonts w:ascii="Times New Roman" w:hAnsi="Times New Roman" w:cs="Times New Roman"/>
                <w:sz w:val="22"/>
                <w:szCs w:val="22"/>
              </w:rPr>
              <w:t>≥3</w:t>
            </w:r>
          </w:p>
        </w:tc>
        <w:tc>
          <w:tcPr>
            <w:tcW w:w="2161" w:type="dxa"/>
          </w:tcPr>
          <w:p w:rsidR="00D13696" w:rsidRPr="0019172E" w:rsidRDefault="00D13696" w:rsidP="00D13696">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en-GB"/>
              </w:rPr>
            </w:pPr>
            <w:r w:rsidRPr="0019172E">
              <w:rPr>
                <w:rFonts w:ascii="Times New Roman" w:eastAsia="Times New Roman" w:hAnsi="Times New Roman" w:cs="Times New Roman"/>
                <w:sz w:val="22"/>
                <w:szCs w:val="22"/>
                <w:lang w:eastAsia="en-GB"/>
              </w:rPr>
              <w:t>2729 (91%)</w:t>
            </w:r>
          </w:p>
        </w:tc>
        <w:tc>
          <w:tcPr>
            <w:tcW w:w="2162" w:type="dxa"/>
          </w:tcPr>
          <w:p w:rsidR="00D13696" w:rsidRPr="0019172E" w:rsidRDefault="00D13696" w:rsidP="00D13696">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en-GB"/>
              </w:rPr>
            </w:pPr>
            <w:r w:rsidRPr="0019172E">
              <w:rPr>
                <w:rFonts w:ascii="Times New Roman" w:eastAsia="Times New Roman" w:hAnsi="Times New Roman" w:cs="Times New Roman"/>
                <w:sz w:val="22"/>
                <w:szCs w:val="22"/>
                <w:lang w:eastAsia="en-GB"/>
              </w:rPr>
              <w:t>774 (40%)</w:t>
            </w:r>
          </w:p>
        </w:tc>
        <w:tc>
          <w:tcPr>
            <w:tcW w:w="2161" w:type="dxa"/>
          </w:tcPr>
          <w:p w:rsidR="00D13696" w:rsidRPr="0019172E" w:rsidRDefault="00D13696" w:rsidP="00D13696">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en-GB"/>
              </w:rPr>
            </w:pPr>
            <w:r w:rsidRPr="0019172E">
              <w:rPr>
                <w:rFonts w:ascii="Times New Roman" w:eastAsia="Times New Roman" w:hAnsi="Times New Roman" w:cs="Times New Roman"/>
                <w:sz w:val="22"/>
                <w:szCs w:val="22"/>
                <w:lang w:eastAsia="en-GB"/>
              </w:rPr>
              <w:t>2697 (90)</w:t>
            </w:r>
          </w:p>
        </w:tc>
        <w:tc>
          <w:tcPr>
            <w:tcW w:w="2162" w:type="dxa"/>
          </w:tcPr>
          <w:p w:rsidR="00D13696" w:rsidRPr="0019172E" w:rsidRDefault="00D13696" w:rsidP="00D13696">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en-GB"/>
              </w:rPr>
            </w:pPr>
            <w:r w:rsidRPr="0019172E">
              <w:rPr>
                <w:rFonts w:ascii="Times New Roman" w:eastAsia="Times New Roman" w:hAnsi="Times New Roman" w:cs="Times New Roman"/>
                <w:sz w:val="22"/>
                <w:szCs w:val="22"/>
                <w:lang w:eastAsia="en-GB"/>
              </w:rPr>
              <w:t>753 (39%)</w:t>
            </w:r>
          </w:p>
        </w:tc>
      </w:tr>
      <w:tr w:rsidR="00D13696" w:rsidRPr="0019172E" w:rsidTr="00D13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D13696" w:rsidRPr="0019172E" w:rsidRDefault="00D13696" w:rsidP="00D13696">
            <w:pPr>
              <w:spacing w:before="40" w:after="40"/>
              <w:rPr>
                <w:rFonts w:ascii="Times New Roman" w:eastAsia="Times New Roman" w:hAnsi="Times New Roman" w:cs="Times New Roman"/>
                <w:sz w:val="22"/>
                <w:szCs w:val="22"/>
                <w:lang w:eastAsia="en-GB"/>
              </w:rPr>
            </w:pPr>
            <w:r w:rsidRPr="0019172E">
              <w:rPr>
                <w:rFonts w:ascii="Times New Roman" w:eastAsia="Times New Roman" w:hAnsi="Times New Roman" w:cs="Times New Roman"/>
                <w:sz w:val="22"/>
                <w:szCs w:val="22"/>
                <w:lang w:eastAsia="en-GB"/>
              </w:rPr>
              <w:t>Total</w:t>
            </w:r>
          </w:p>
        </w:tc>
        <w:tc>
          <w:tcPr>
            <w:tcW w:w="2161" w:type="dxa"/>
          </w:tcPr>
          <w:p w:rsidR="00D13696" w:rsidRPr="0019172E" w:rsidRDefault="00D13696" w:rsidP="00D13696">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en-GB"/>
              </w:rPr>
            </w:pPr>
            <w:r w:rsidRPr="0019172E">
              <w:rPr>
                <w:rFonts w:ascii="Times New Roman" w:eastAsia="Times New Roman" w:hAnsi="Times New Roman" w:cs="Times New Roman"/>
                <w:sz w:val="22"/>
                <w:szCs w:val="22"/>
                <w:lang w:eastAsia="en-GB"/>
              </w:rPr>
              <w:t>2985</w:t>
            </w:r>
          </w:p>
        </w:tc>
        <w:tc>
          <w:tcPr>
            <w:tcW w:w="2162" w:type="dxa"/>
          </w:tcPr>
          <w:p w:rsidR="00D13696" w:rsidRPr="0019172E" w:rsidRDefault="00D13696" w:rsidP="00D13696">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en-GB"/>
              </w:rPr>
            </w:pPr>
            <w:r w:rsidRPr="0019172E">
              <w:rPr>
                <w:rFonts w:ascii="Times New Roman" w:eastAsia="Times New Roman" w:hAnsi="Times New Roman" w:cs="Times New Roman"/>
                <w:sz w:val="22"/>
                <w:szCs w:val="22"/>
                <w:lang w:eastAsia="en-GB"/>
              </w:rPr>
              <w:t>1934</w:t>
            </w:r>
          </w:p>
        </w:tc>
        <w:tc>
          <w:tcPr>
            <w:tcW w:w="2161" w:type="dxa"/>
          </w:tcPr>
          <w:p w:rsidR="00D13696" w:rsidRPr="0019172E" w:rsidRDefault="00D13696" w:rsidP="00D13696">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en-GB"/>
              </w:rPr>
            </w:pPr>
            <w:r w:rsidRPr="0019172E">
              <w:rPr>
                <w:rFonts w:ascii="Times New Roman" w:eastAsia="Times New Roman" w:hAnsi="Times New Roman" w:cs="Times New Roman"/>
                <w:sz w:val="22"/>
                <w:szCs w:val="22"/>
                <w:lang w:eastAsia="en-GB"/>
              </w:rPr>
              <w:t>2985</w:t>
            </w:r>
          </w:p>
        </w:tc>
        <w:tc>
          <w:tcPr>
            <w:tcW w:w="2162" w:type="dxa"/>
          </w:tcPr>
          <w:p w:rsidR="00D13696" w:rsidRPr="0019172E" w:rsidRDefault="00D13696" w:rsidP="00D13696">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en-GB"/>
              </w:rPr>
            </w:pPr>
            <w:r w:rsidRPr="0019172E">
              <w:rPr>
                <w:rFonts w:ascii="Times New Roman" w:eastAsia="Times New Roman" w:hAnsi="Times New Roman" w:cs="Times New Roman"/>
                <w:sz w:val="22"/>
                <w:szCs w:val="22"/>
                <w:lang w:eastAsia="en-GB"/>
              </w:rPr>
              <w:t>1934</w:t>
            </w:r>
          </w:p>
        </w:tc>
      </w:tr>
    </w:tbl>
    <w:p w:rsidR="00DF28C4" w:rsidRPr="006D05B7" w:rsidRDefault="00DF28C4" w:rsidP="00DF28C4">
      <w:pPr>
        <w:rPr>
          <w:b/>
        </w:rPr>
      </w:pPr>
    </w:p>
    <w:p w:rsidR="00DF28C4" w:rsidRDefault="00DF28C4" w:rsidP="00DF28C4">
      <w:r w:rsidRPr="006D05B7">
        <w:t xml:space="preserve">Product categories impacted tend to be those previously indicated by stakeholders to be of most concern, with the greatest impact on FFG products seen in the processed fruit (21%), breakfast cereals (19%) and yoghurt/soft cheese (17%) categories and for discretionary foods in the ice cream (22%), confectionery (21%), bakery/cake mixes (20%) and custard/desserts (18%) categories. The majority of affected products received a 0.5 HSR reduction with a small proportion of products receiving a 1 HSR reduction in the breakfast cereals, cream, custards/desserts, and snacks food categories. </w:t>
      </w:r>
    </w:p>
    <w:p w:rsidR="0019172E" w:rsidRPr="00EF0130" w:rsidRDefault="0019172E" w:rsidP="0019172E">
      <w:pPr>
        <w:spacing w:before="240" w:after="240"/>
        <w:rPr>
          <w:i/>
          <w:sz w:val="28"/>
        </w:rPr>
      </w:pPr>
      <w:r w:rsidRPr="00EF0130">
        <w:rPr>
          <w:i/>
          <w:sz w:val="28"/>
        </w:rPr>
        <w:t>Stronger approach to sodium</w:t>
      </w:r>
    </w:p>
    <w:p w:rsidR="00DF28C4" w:rsidRPr="00FE48DD" w:rsidRDefault="00DF28C4" w:rsidP="00DF28C4">
      <w:pPr>
        <w:rPr>
          <w:color w:val="000000" w:themeColor="text1"/>
        </w:rPr>
      </w:pPr>
      <w:r w:rsidRPr="00FE48DD">
        <w:rPr>
          <w:color w:val="000000" w:themeColor="text1"/>
        </w:rPr>
        <w:t>The Forum asked FSANZ to explore the impact of a stronger baseline points scale for sodium, compared the baseline point scale recommended by the Review (Table 3).</w:t>
      </w:r>
    </w:p>
    <w:p w:rsidR="00DF28C4" w:rsidRPr="00FE48DD" w:rsidRDefault="00DF28C4" w:rsidP="0019172E">
      <w:pPr>
        <w:pStyle w:val="Caption"/>
        <w:keepNext/>
        <w:keepLines/>
        <w:spacing w:before="240" w:after="120"/>
        <w:ind w:left="1128" w:hanging="1128"/>
        <w:rPr>
          <w:rFonts w:ascii="Times New Roman" w:hAnsi="Times New Roman" w:cs="Times New Roman"/>
          <w:color w:val="000000" w:themeColor="text1"/>
          <w:sz w:val="24"/>
          <w:szCs w:val="24"/>
          <w:lang w:eastAsia="en-AU"/>
        </w:rPr>
      </w:pPr>
      <w:r w:rsidRPr="00FE48DD">
        <w:rPr>
          <w:rFonts w:ascii="Times New Roman" w:hAnsi="Times New Roman" w:cs="Times New Roman"/>
          <w:color w:val="000000" w:themeColor="text1"/>
          <w:sz w:val="24"/>
          <w:szCs w:val="24"/>
          <w:lang w:eastAsia="en-AU"/>
        </w:rPr>
        <w:lastRenderedPageBreak/>
        <w:t xml:space="preserve">Table 3 </w:t>
      </w:r>
      <w:r w:rsidRPr="00FE48DD">
        <w:rPr>
          <w:rFonts w:ascii="Times New Roman" w:hAnsi="Times New Roman" w:cs="Times New Roman"/>
          <w:color w:val="000000" w:themeColor="text1"/>
          <w:sz w:val="24"/>
          <w:szCs w:val="24"/>
          <w:lang w:eastAsia="en-AU"/>
        </w:rPr>
        <w:tab/>
        <w:t>Recommended and stronger sodium baseline points tables for calculating HSR</w:t>
      </w:r>
    </w:p>
    <w:tbl>
      <w:tblPr>
        <w:tblStyle w:val="PlainTable2"/>
        <w:tblW w:w="9067" w:type="dxa"/>
        <w:tblBorders>
          <w:top w:val="single" w:sz="4" w:space="0" w:color="auto"/>
          <w:left w:val="single" w:sz="4" w:space="0" w:color="auto"/>
          <w:bottom w:val="single" w:sz="4" w:space="0" w:color="auto"/>
          <w:right w:val="single" w:sz="4" w:space="0" w:color="auto"/>
          <w:insideH w:val="single" w:sz="4" w:space="0" w:color="7F7F7F" w:themeColor="text1" w:themeTint="80"/>
        </w:tblBorders>
        <w:tblLayout w:type="fixed"/>
        <w:tblLook w:val="04A0" w:firstRow="1" w:lastRow="0" w:firstColumn="1" w:lastColumn="0" w:noHBand="0" w:noVBand="1"/>
        <w:tblCaption w:val="Tabel 3 - Recommended and stronger sodium baseline points tables for calculating HSR"/>
        <w:tblDescription w:val="Recommended and stronger sodium baseline points tables for calculating HSR"/>
      </w:tblPr>
      <w:tblGrid>
        <w:gridCol w:w="2268"/>
        <w:gridCol w:w="2266"/>
        <w:gridCol w:w="2266"/>
        <w:gridCol w:w="2267"/>
      </w:tblGrid>
      <w:tr w:rsidR="00DF28C4" w:rsidRPr="0019172E" w:rsidTr="00BE1F4F">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2268" w:type="dxa"/>
            <w:tcBorders>
              <w:bottom w:val="none" w:sz="0" w:space="0" w:color="auto"/>
            </w:tcBorders>
            <w:shd w:val="clear" w:color="auto" w:fill="BFBFBF" w:themeFill="background1" w:themeFillShade="BF"/>
            <w:hideMark/>
          </w:tcPr>
          <w:p w:rsidR="00DF28C4" w:rsidRPr="00D13696" w:rsidRDefault="00DF28C4" w:rsidP="0019172E">
            <w:pPr>
              <w:spacing w:before="40" w:after="40"/>
              <w:rPr>
                <w:rFonts w:ascii="Times New Roman" w:eastAsia="Times New Roman" w:hAnsi="Times New Roman" w:cs="Times New Roman"/>
                <w:bCs w:val="0"/>
                <w:color w:val="000000" w:themeColor="text1"/>
                <w:sz w:val="20"/>
                <w:lang w:eastAsia="en-GB"/>
              </w:rPr>
            </w:pPr>
            <w:r w:rsidRPr="00D13696">
              <w:rPr>
                <w:rFonts w:ascii="Times New Roman" w:eastAsia="Times New Roman" w:hAnsi="Times New Roman" w:cs="Times New Roman"/>
                <w:bCs w:val="0"/>
                <w:color w:val="000000" w:themeColor="text1"/>
                <w:sz w:val="20"/>
                <w:lang w:eastAsia="en-GB"/>
              </w:rPr>
              <w:t>Sodium Scenario</w:t>
            </w:r>
          </w:p>
        </w:tc>
        <w:tc>
          <w:tcPr>
            <w:tcW w:w="2266" w:type="dxa"/>
            <w:tcBorders>
              <w:bottom w:val="none" w:sz="0" w:space="0" w:color="auto"/>
            </w:tcBorders>
            <w:shd w:val="clear" w:color="auto" w:fill="BFBFBF" w:themeFill="background1" w:themeFillShade="BF"/>
            <w:hideMark/>
          </w:tcPr>
          <w:p w:rsidR="00DF28C4" w:rsidRPr="00D13696" w:rsidRDefault="00DF28C4" w:rsidP="00D13696">
            <w:pPr>
              <w:spacing w:before="40" w:after="4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20"/>
                <w:lang w:eastAsia="en-GB"/>
              </w:rPr>
            </w:pPr>
            <w:r w:rsidRPr="00D13696">
              <w:rPr>
                <w:rFonts w:ascii="Times New Roman" w:eastAsia="Times New Roman" w:hAnsi="Times New Roman" w:cs="Times New Roman"/>
                <w:bCs w:val="0"/>
                <w:color w:val="000000" w:themeColor="text1"/>
                <w:sz w:val="20"/>
                <w:lang w:eastAsia="en-GB"/>
              </w:rPr>
              <w:t>Maximum baseline points</w:t>
            </w:r>
          </w:p>
        </w:tc>
        <w:tc>
          <w:tcPr>
            <w:tcW w:w="2266" w:type="dxa"/>
            <w:tcBorders>
              <w:bottom w:val="none" w:sz="0" w:space="0" w:color="auto"/>
            </w:tcBorders>
            <w:shd w:val="clear" w:color="auto" w:fill="BFBFBF" w:themeFill="background1" w:themeFillShade="BF"/>
            <w:hideMark/>
          </w:tcPr>
          <w:p w:rsidR="00D13696" w:rsidRPr="00D13696" w:rsidRDefault="00DF28C4" w:rsidP="00D13696">
            <w:pPr>
              <w:spacing w:before="40" w:after="4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20"/>
                <w:lang w:eastAsia="en-GB"/>
              </w:rPr>
            </w:pPr>
            <w:r w:rsidRPr="00D13696">
              <w:rPr>
                <w:rFonts w:ascii="Times New Roman" w:eastAsia="Times New Roman" w:hAnsi="Times New Roman" w:cs="Times New Roman"/>
                <w:bCs w:val="0"/>
                <w:color w:val="000000" w:themeColor="text1"/>
                <w:sz w:val="20"/>
                <w:lang w:eastAsia="en-GB"/>
              </w:rPr>
              <w:t>Maximum sodium concentration</w:t>
            </w:r>
          </w:p>
          <w:p w:rsidR="00DF28C4" w:rsidRPr="00D13696" w:rsidRDefault="00DF28C4" w:rsidP="00D13696">
            <w:pPr>
              <w:spacing w:before="40" w:after="4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20"/>
                <w:lang w:eastAsia="en-GB"/>
              </w:rPr>
            </w:pPr>
            <w:r w:rsidRPr="00D13696">
              <w:rPr>
                <w:rFonts w:ascii="Times New Roman" w:eastAsia="Times New Roman" w:hAnsi="Times New Roman" w:cs="Times New Roman"/>
                <w:bCs w:val="0"/>
                <w:color w:val="000000" w:themeColor="text1"/>
                <w:sz w:val="20"/>
                <w:lang w:eastAsia="en-GB"/>
              </w:rPr>
              <w:t>(mg/100 g)</w:t>
            </w:r>
          </w:p>
        </w:tc>
        <w:tc>
          <w:tcPr>
            <w:tcW w:w="2267" w:type="dxa"/>
            <w:tcBorders>
              <w:bottom w:val="none" w:sz="0" w:space="0" w:color="auto"/>
            </w:tcBorders>
            <w:shd w:val="clear" w:color="auto" w:fill="BFBFBF" w:themeFill="background1" w:themeFillShade="BF"/>
          </w:tcPr>
          <w:p w:rsidR="00D13696" w:rsidRPr="00D13696" w:rsidRDefault="00DF28C4" w:rsidP="00D13696">
            <w:pPr>
              <w:spacing w:before="40" w:after="4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lang w:eastAsia="en-GB"/>
              </w:rPr>
            </w:pPr>
            <w:r w:rsidRPr="00D13696">
              <w:rPr>
                <w:rFonts w:ascii="Times New Roman" w:eastAsia="Times New Roman" w:hAnsi="Times New Roman" w:cs="Times New Roman"/>
                <w:color w:val="000000" w:themeColor="text1"/>
                <w:sz w:val="20"/>
                <w:lang w:eastAsia="en-GB"/>
              </w:rPr>
              <w:t>Sodium increments per baseline point</w:t>
            </w:r>
          </w:p>
          <w:p w:rsidR="00DF28C4" w:rsidRPr="00D13696" w:rsidRDefault="00DF28C4" w:rsidP="00D13696">
            <w:pPr>
              <w:spacing w:before="40" w:after="4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lang w:eastAsia="en-GB"/>
              </w:rPr>
            </w:pPr>
            <w:r w:rsidRPr="00D13696">
              <w:rPr>
                <w:rFonts w:ascii="Times New Roman" w:eastAsia="Times New Roman" w:hAnsi="Times New Roman" w:cs="Times New Roman"/>
                <w:color w:val="000000" w:themeColor="text1"/>
                <w:sz w:val="20"/>
                <w:lang w:eastAsia="en-GB"/>
              </w:rPr>
              <w:t>(mg/100 g)</w:t>
            </w:r>
          </w:p>
        </w:tc>
      </w:tr>
      <w:tr w:rsidR="00DF28C4" w:rsidRPr="0019172E" w:rsidTr="00BE1F4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tcBorders>
            <w:noWrap/>
            <w:hideMark/>
          </w:tcPr>
          <w:p w:rsidR="00DF28C4" w:rsidRPr="0019172E" w:rsidRDefault="00DF28C4" w:rsidP="0019172E">
            <w:pPr>
              <w:spacing w:before="40" w:after="40"/>
              <w:rPr>
                <w:rFonts w:ascii="Times New Roman" w:eastAsia="Times New Roman" w:hAnsi="Times New Roman" w:cs="Times New Roman"/>
                <w:color w:val="000000" w:themeColor="text1"/>
                <w:sz w:val="22"/>
                <w:lang w:eastAsia="en-GB"/>
              </w:rPr>
            </w:pPr>
            <w:r w:rsidRPr="0019172E">
              <w:rPr>
                <w:rFonts w:ascii="Times New Roman" w:eastAsia="Times New Roman" w:hAnsi="Times New Roman" w:cs="Times New Roman"/>
                <w:color w:val="000000" w:themeColor="text1"/>
                <w:sz w:val="22"/>
                <w:lang w:eastAsia="en-GB"/>
              </w:rPr>
              <w:t>Recommended</w:t>
            </w:r>
          </w:p>
        </w:tc>
        <w:tc>
          <w:tcPr>
            <w:tcW w:w="2266"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lang w:eastAsia="en-GB"/>
              </w:rPr>
            </w:pPr>
            <w:r w:rsidRPr="0019172E">
              <w:rPr>
                <w:rFonts w:ascii="Times New Roman" w:eastAsia="Times New Roman" w:hAnsi="Times New Roman" w:cs="Times New Roman"/>
                <w:color w:val="000000" w:themeColor="text1"/>
                <w:sz w:val="22"/>
                <w:lang w:eastAsia="en-GB"/>
              </w:rPr>
              <w:t>30</w:t>
            </w:r>
          </w:p>
        </w:tc>
        <w:tc>
          <w:tcPr>
            <w:tcW w:w="2266"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lang w:eastAsia="en-GB"/>
              </w:rPr>
            </w:pPr>
            <w:r w:rsidRPr="0019172E">
              <w:rPr>
                <w:rFonts w:ascii="Times New Roman" w:eastAsia="Times New Roman" w:hAnsi="Times New Roman" w:cs="Times New Roman"/>
                <w:color w:val="000000" w:themeColor="text1"/>
                <w:sz w:val="22"/>
                <w:lang w:eastAsia="en-GB"/>
              </w:rPr>
              <w:t>&gt;2700</w:t>
            </w:r>
          </w:p>
        </w:tc>
        <w:tc>
          <w:tcPr>
            <w:tcW w:w="2267" w:type="dxa"/>
            <w:tcBorders>
              <w:top w:val="none" w:sz="0" w:space="0" w:color="auto"/>
              <w:bottom w:val="none" w:sz="0" w:space="0" w:color="auto"/>
            </w:tcBorders>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lang w:eastAsia="en-GB"/>
              </w:rPr>
            </w:pPr>
            <w:r w:rsidRPr="0019172E">
              <w:rPr>
                <w:rFonts w:ascii="Times New Roman" w:eastAsia="Times New Roman" w:hAnsi="Times New Roman" w:cs="Times New Roman"/>
                <w:color w:val="000000" w:themeColor="text1"/>
                <w:sz w:val="22"/>
                <w:lang w:eastAsia="en-GB"/>
              </w:rPr>
              <w:t>90</w:t>
            </w:r>
          </w:p>
        </w:tc>
      </w:tr>
      <w:tr w:rsidR="00DF28C4" w:rsidRPr="0019172E" w:rsidTr="00BE1F4F">
        <w:trPr>
          <w:trHeight w:val="227"/>
        </w:trPr>
        <w:tc>
          <w:tcPr>
            <w:cnfStyle w:val="001000000000" w:firstRow="0" w:lastRow="0" w:firstColumn="1" w:lastColumn="0" w:oddVBand="0" w:evenVBand="0" w:oddHBand="0" w:evenHBand="0" w:firstRowFirstColumn="0" w:firstRowLastColumn="0" w:lastRowFirstColumn="0" w:lastRowLastColumn="0"/>
            <w:tcW w:w="2268" w:type="dxa"/>
            <w:noWrap/>
            <w:hideMark/>
          </w:tcPr>
          <w:p w:rsidR="00DF28C4" w:rsidRPr="0019172E" w:rsidRDefault="00DF28C4" w:rsidP="0019172E">
            <w:pPr>
              <w:spacing w:before="40" w:after="40"/>
              <w:rPr>
                <w:rFonts w:ascii="Times New Roman" w:eastAsia="Times New Roman" w:hAnsi="Times New Roman" w:cs="Times New Roman"/>
                <w:color w:val="000000" w:themeColor="text1"/>
                <w:sz w:val="22"/>
                <w:lang w:eastAsia="en-GB"/>
              </w:rPr>
            </w:pPr>
            <w:r w:rsidRPr="0019172E">
              <w:rPr>
                <w:rFonts w:ascii="Times New Roman" w:eastAsia="Times New Roman" w:hAnsi="Times New Roman" w:cs="Times New Roman"/>
                <w:color w:val="000000" w:themeColor="text1"/>
                <w:sz w:val="22"/>
                <w:lang w:eastAsia="en-GB"/>
              </w:rPr>
              <w:t>Stronger approach</w:t>
            </w:r>
          </w:p>
        </w:tc>
        <w:tc>
          <w:tcPr>
            <w:tcW w:w="2266"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lang w:eastAsia="en-GB"/>
              </w:rPr>
            </w:pPr>
            <w:r w:rsidRPr="0019172E">
              <w:rPr>
                <w:rFonts w:ascii="Times New Roman" w:eastAsia="Times New Roman" w:hAnsi="Times New Roman" w:cs="Times New Roman"/>
                <w:color w:val="000000" w:themeColor="text1"/>
                <w:sz w:val="22"/>
                <w:lang w:eastAsia="en-GB"/>
              </w:rPr>
              <w:t>30</w:t>
            </w:r>
          </w:p>
        </w:tc>
        <w:tc>
          <w:tcPr>
            <w:tcW w:w="2266"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lang w:eastAsia="en-GB"/>
              </w:rPr>
            </w:pPr>
            <w:r w:rsidRPr="0019172E">
              <w:rPr>
                <w:rFonts w:ascii="Times New Roman" w:eastAsia="Times New Roman" w:hAnsi="Times New Roman" w:cs="Times New Roman"/>
                <w:color w:val="000000" w:themeColor="text1"/>
                <w:sz w:val="22"/>
                <w:lang w:eastAsia="en-GB"/>
              </w:rPr>
              <w:t>&gt;2250</w:t>
            </w:r>
          </w:p>
        </w:tc>
        <w:tc>
          <w:tcPr>
            <w:tcW w:w="2267" w:type="dxa"/>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lang w:eastAsia="en-GB"/>
              </w:rPr>
            </w:pPr>
            <w:r w:rsidRPr="0019172E">
              <w:rPr>
                <w:rFonts w:ascii="Times New Roman" w:eastAsia="Times New Roman" w:hAnsi="Times New Roman" w:cs="Times New Roman"/>
                <w:color w:val="000000" w:themeColor="text1"/>
                <w:sz w:val="22"/>
                <w:lang w:eastAsia="en-GB"/>
              </w:rPr>
              <w:t>75</w:t>
            </w:r>
          </w:p>
        </w:tc>
      </w:tr>
    </w:tbl>
    <w:p w:rsidR="00DF28C4" w:rsidRPr="00FE48DD" w:rsidRDefault="00DF28C4" w:rsidP="00DF28C4">
      <w:pPr>
        <w:rPr>
          <w:color w:val="000000" w:themeColor="text1"/>
        </w:rPr>
      </w:pPr>
    </w:p>
    <w:p w:rsidR="00DF28C4" w:rsidRPr="00FE48DD" w:rsidRDefault="00DF28C4" w:rsidP="00DF28C4">
      <w:pPr>
        <w:spacing w:after="120"/>
        <w:rPr>
          <w:color w:val="000000" w:themeColor="text1"/>
        </w:rPr>
      </w:pPr>
      <w:r w:rsidRPr="00FE48DD">
        <w:rPr>
          <w:color w:val="000000" w:themeColor="text1"/>
        </w:rPr>
        <w:t>Analysis included HSR Categor</w:t>
      </w:r>
      <w:r w:rsidR="00003B1C">
        <w:rPr>
          <w:color w:val="000000" w:themeColor="text1"/>
        </w:rPr>
        <w:t>ies</w:t>
      </w:r>
      <w:r w:rsidRPr="00FE48DD">
        <w:rPr>
          <w:color w:val="000000" w:themeColor="text1"/>
        </w:rPr>
        <w:t xml:space="preserve"> 3 (fats, oils and oil based spreads) and 3D (cheeses) in addition to HSR Categories 1D (dairy beverages), 2 (all other foods) and 2D (dairy foods) only.</w:t>
      </w:r>
      <w:r>
        <w:rPr>
          <w:color w:val="000000" w:themeColor="text1"/>
        </w:rPr>
        <w:t xml:space="preserve"> </w:t>
      </w:r>
    </w:p>
    <w:p w:rsidR="00DF28C4" w:rsidRPr="00FE48DD" w:rsidRDefault="00DF28C4" w:rsidP="00DF28C4">
      <w:pPr>
        <w:spacing w:after="120"/>
        <w:rPr>
          <w:color w:val="000000" w:themeColor="text1"/>
        </w:rPr>
      </w:pPr>
      <w:r w:rsidRPr="00FE48DD">
        <w:rPr>
          <w:color w:val="000000" w:themeColor="text1"/>
        </w:rPr>
        <w:t>Amending the baseline points table for HSR Category 3D products resulted in 345 (78%) of the 444 cheeses in this category being affected by a reduction in HSR of 0.5 stars, but with some products receiving up to a 1.5 star reduction. As all cheeses are classified as FFG foods, a broad range of FFG foods would be affected, with a greater reduction in HSRs for some reduced fat cheeses, which is not in line with the dietary guidelines recommendation to eat dairy products, preferably reduced fat products. The category fats, oils &amp; oil based spreads, was minimally affected by the proposed changes to the sodium baseline points table, with a total of 12 (13%) of the 93 products in the TAG database affected by a reduction of 0.5 stars.</w:t>
      </w:r>
      <w:r>
        <w:rPr>
          <w:color w:val="000000" w:themeColor="text1"/>
        </w:rPr>
        <w:t xml:space="preserve"> </w:t>
      </w:r>
    </w:p>
    <w:p w:rsidR="00DF28C4" w:rsidRPr="00FE48DD" w:rsidRDefault="00DF28C4" w:rsidP="00DF28C4">
      <w:pPr>
        <w:spacing w:after="120"/>
        <w:rPr>
          <w:color w:val="000000" w:themeColor="text1"/>
          <w:lang w:eastAsia="en-GB"/>
        </w:rPr>
      </w:pPr>
      <w:r w:rsidRPr="00FE48DD">
        <w:rPr>
          <w:color w:val="000000" w:themeColor="text1"/>
        </w:rPr>
        <w:t>Approximately 14% of products in the TAG database in HSR Categories 1D, 2 and 2D were affected by the stronger sodium scenario, with reductions in HSR only. FFG (7%) and discretionary (8%) products were approximately equally impacted.</w:t>
      </w:r>
      <w:r w:rsidR="00135B89">
        <w:rPr>
          <w:color w:val="000000" w:themeColor="text1"/>
        </w:rPr>
        <w:t xml:space="preserve"> </w:t>
      </w:r>
    </w:p>
    <w:p w:rsidR="00DF28C4" w:rsidRPr="004E7E74" w:rsidRDefault="00DF28C4" w:rsidP="00DF28C4">
      <w:pPr>
        <w:spacing w:after="120"/>
        <w:rPr>
          <w:color w:val="000000" w:themeColor="text1"/>
        </w:rPr>
      </w:pPr>
      <w:r w:rsidRPr="00FE48DD">
        <w:rPr>
          <w:color w:val="000000" w:themeColor="text1"/>
        </w:rPr>
        <w:t xml:space="preserve">Food categories with the greatest impact on FFG products as a result of the stronger sodium scenario were bread (22%), plant protein (18%), biscuits (16%), breakfast cereals (15%) and meals/meal bases and nuts (14% respectively), and for discretionary foods in the dressings (44%), dips (32%), sauces/condiments (26%), </w:t>
      </w:r>
      <w:r w:rsidRPr="00FE48DD">
        <w:rPr>
          <w:color w:val="000000" w:themeColor="text1"/>
          <w:lang w:eastAsia="en-GB"/>
        </w:rPr>
        <w:t>yeast spread (25%) and biscuits (20%)</w:t>
      </w:r>
      <w:r w:rsidR="00003B1C">
        <w:rPr>
          <w:color w:val="000000" w:themeColor="text1"/>
          <w:lang w:eastAsia="en-GB"/>
        </w:rPr>
        <w:t xml:space="preserve"> categories</w:t>
      </w:r>
      <w:r w:rsidRPr="00FE48DD">
        <w:rPr>
          <w:color w:val="000000" w:themeColor="text1"/>
        </w:rPr>
        <w:t xml:space="preserve"> (Table 4). The majority of affected products received a 0.5 HSR reduction but with a small proportion of products recei</w:t>
      </w:r>
      <w:r>
        <w:rPr>
          <w:color w:val="000000" w:themeColor="text1"/>
        </w:rPr>
        <w:t xml:space="preserve">ving a 1 or 1.5 star reduction. </w:t>
      </w:r>
    </w:p>
    <w:p w:rsidR="00DF28C4" w:rsidRPr="00FE48DD" w:rsidRDefault="00DF28C4" w:rsidP="00DF28C4">
      <w:pPr>
        <w:spacing w:after="120"/>
        <w:rPr>
          <w:color w:val="000000" w:themeColor="text1"/>
          <w:lang w:eastAsia="en-GB"/>
        </w:rPr>
      </w:pPr>
      <w:r w:rsidRPr="00FE48DD">
        <w:rPr>
          <w:color w:val="000000" w:themeColor="text1"/>
        </w:rPr>
        <w:t xml:space="preserve">The stronger sodium scenario resulted in no or minimal impacts for a range of food categories: </w:t>
      </w:r>
      <w:r w:rsidRPr="00FE48DD">
        <w:rPr>
          <w:color w:val="000000" w:themeColor="text1"/>
          <w:lang w:eastAsia="en-GB"/>
        </w:rPr>
        <w:t>dairy beverage dry mix, cream, cream cheese, miscellaneous foods, pizza, unprocessed fruit, unprocessed vegetables, dairy beverages, yoghurt, soft cheese, processed fruit, confectionery, and ice cream.</w:t>
      </w:r>
      <w:r>
        <w:rPr>
          <w:color w:val="000000" w:themeColor="text1"/>
          <w:lang w:eastAsia="en-GB"/>
        </w:rPr>
        <w:t xml:space="preserve"> </w:t>
      </w:r>
    </w:p>
    <w:p w:rsidR="00DF28C4" w:rsidRPr="00FE48DD" w:rsidRDefault="00DF28C4" w:rsidP="0019172E">
      <w:pPr>
        <w:pStyle w:val="Caption"/>
        <w:keepNext/>
        <w:keepLines/>
        <w:spacing w:before="240" w:after="120"/>
        <w:ind w:left="1128" w:hanging="1128"/>
        <w:rPr>
          <w:rFonts w:ascii="Times New Roman" w:hAnsi="Times New Roman" w:cs="Times New Roman"/>
          <w:color w:val="000000" w:themeColor="text1"/>
          <w:sz w:val="24"/>
          <w:szCs w:val="24"/>
          <w:lang w:eastAsia="en-AU"/>
        </w:rPr>
      </w:pPr>
      <w:r w:rsidRPr="00FE48DD">
        <w:rPr>
          <w:rFonts w:ascii="Times New Roman" w:hAnsi="Times New Roman" w:cs="Times New Roman"/>
          <w:color w:val="000000" w:themeColor="text1"/>
          <w:sz w:val="24"/>
          <w:szCs w:val="24"/>
          <w:lang w:eastAsia="en-AU"/>
        </w:rPr>
        <w:t>Table 4</w:t>
      </w:r>
      <w:r w:rsidRPr="00FE48DD">
        <w:rPr>
          <w:rFonts w:ascii="Times New Roman" w:hAnsi="Times New Roman" w:cs="Times New Roman"/>
          <w:color w:val="000000" w:themeColor="text1"/>
          <w:sz w:val="24"/>
          <w:szCs w:val="24"/>
        </w:rPr>
        <w:t xml:space="preserve"> </w:t>
      </w:r>
      <w:r w:rsidRPr="00FE48DD">
        <w:rPr>
          <w:rFonts w:ascii="Times New Roman" w:hAnsi="Times New Roman" w:cs="Times New Roman"/>
          <w:color w:val="000000" w:themeColor="text1"/>
          <w:sz w:val="24"/>
          <w:szCs w:val="24"/>
        </w:rPr>
        <w:tab/>
        <w:t>Summary of impact of stronger sodium scenario on AGHE categories by ‘FFG’ and ‘Discretionary’ foods flagged products</w:t>
      </w:r>
    </w:p>
    <w:tbl>
      <w:tblPr>
        <w:tblStyle w:val="PlainTable2"/>
        <w:tblW w:w="9204" w:type="dxa"/>
        <w:jc w:val="center"/>
        <w:tblBorders>
          <w:top w:val="single" w:sz="4" w:space="0" w:color="auto"/>
          <w:left w:val="single" w:sz="4" w:space="0" w:color="auto"/>
          <w:bottom w:val="single" w:sz="4" w:space="0" w:color="auto"/>
          <w:right w:val="single" w:sz="4" w:space="0" w:color="auto"/>
          <w:insideH w:val="single" w:sz="4" w:space="0" w:color="7F7F7F" w:themeColor="text1" w:themeTint="80"/>
        </w:tblBorders>
        <w:tblLook w:val="04A0" w:firstRow="1" w:lastRow="0" w:firstColumn="1" w:lastColumn="0" w:noHBand="0" w:noVBand="1"/>
        <w:tblCaption w:val="Table 4 - Summary of impact of stronger sodium scenario on AGHE categories by ‘FFG’ and ‘Discretionary’ foods flagged products"/>
        <w:tblDescription w:val="Summary of impact of stronger sodium scenario on Australian Guide to Healthy Eating categories by ‘Five Food Group’ and ‘Discretionary’ foods flagged products"/>
      </w:tblPr>
      <w:tblGrid>
        <w:gridCol w:w="1989"/>
        <w:gridCol w:w="1361"/>
        <w:gridCol w:w="1361"/>
        <w:gridCol w:w="1483"/>
        <w:gridCol w:w="1576"/>
        <w:gridCol w:w="1576"/>
      </w:tblGrid>
      <w:tr w:rsidR="00DF28C4" w:rsidRPr="00D13696" w:rsidTr="0019172E">
        <w:trPr>
          <w:cnfStyle w:val="100000000000" w:firstRow="1" w:lastRow="0" w:firstColumn="0" w:lastColumn="0" w:oddVBand="0" w:evenVBand="0" w:oddHBand="0" w:evenHBand="0" w:firstRowFirstColumn="0" w:firstRowLastColumn="0" w:lastRowFirstColumn="0" w:lastRowLastColumn="0"/>
          <w:trHeight w:val="227"/>
          <w:tblHeader/>
          <w:jc w:val="center"/>
        </w:trPr>
        <w:tc>
          <w:tcPr>
            <w:cnfStyle w:val="001000000000" w:firstRow="0" w:lastRow="0" w:firstColumn="1" w:lastColumn="0" w:oddVBand="0" w:evenVBand="0" w:oddHBand="0" w:evenHBand="0" w:firstRowFirstColumn="0" w:firstRowLastColumn="0" w:lastRowFirstColumn="0" w:lastRowLastColumn="0"/>
            <w:tcW w:w="1847" w:type="dxa"/>
            <w:tcBorders>
              <w:bottom w:val="none" w:sz="0" w:space="0" w:color="auto"/>
            </w:tcBorders>
            <w:shd w:val="clear" w:color="auto" w:fill="BFBFBF" w:themeFill="background1" w:themeFillShade="BF"/>
            <w:vAlign w:val="center"/>
            <w:hideMark/>
          </w:tcPr>
          <w:p w:rsidR="00DF28C4" w:rsidRPr="00D13696" w:rsidRDefault="00DF28C4" w:rsidP="0019172E">
            <w:pPr>
              <w:spacing w:before="40" w:after="40"/>
              <w:rPr>
                <w:rFonts w:ascii="Times New Roman" w:eastAsia="Times New Roman" w:hAnsi="Times New Roman" w:cs="Times New Roman"/>
                <w:bCs w:val="0"/>
                <w:color w:val="000000" w:themeColor="text1"/>
                <w:sz w:val="20"/>
                <w:szCs w:val="22"/>
                <w:lang w:eastAsia="en-GB"/>
              </w:rPr>
            </w:pPr>
            <w:r w:rsidRPr="00D13696">
              <w:rPr>
                <w:rFonts w:ascii="Times New Roman" w:eastAsia="Times New Roman" w:hAnsi="Times New Roman" w:cs="Times New Roman"/>
                <w:bCs w:val="0"/>
                <w:color w:val="000000" w:themeColor="text1"/>
                <w:sz w:val="20"/>
                <w:szCs w:val="22"/>
                <w:lang w:eastAsia="en-GB"/>
              </w:rPr>
              <w:t>AGHE Category</w:t>
            </w:r>
          </w:p>
        </w:tc>
        <w:tc>
          <w:tcPr>
            <w:tcW w:w="1361" w:type="dxa"/>
            <w:tcBorders>
              <w:bottom w:val="none" w:sz="0" w:space="0" w:color="auto"/>
            </w:tcBorders>
            <w:shd w:val="clear" w:color="auto" w:fill="BFBFBF" w:themeFill="background1" w:themeFillShade="BF"/>
            <w:vAlign w:val="center"/>
            <w:hideMark/>
          </w:tcPr>
          <w:p w:rsidR="00DF28C4" w:rsidRPr="00D13696" w:rsidRDefault="00DF28C4" w:rsidP="0019172E">
            <w:pPr>
              <w:spacing w:before="40" w:after="4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20"/>
                <w:szCs w:val="22"/>
                <w:lang w:eastAsia="en-GB"/>
              </w:rPr>
            </w:pPr>
            <w:r w:rsidRPr="00D13696">
              <w:rPr>
                <w:rFonts w:ascii="Times New Roman" w:eastAsia="Times New Roman" w:hAnsi="Times New Roman" w:cs="Times New Roman"/>
                <w:bCs w:val="0"/>
                <w:color w:val="000000" w:themeColor="text1"/>
                <w:sz w:val="20"/>
                <w:szCs w:val="22"/>
                <w:lang w:eastAsia="en-GB"/>
              </w:rPr>
              <w:t>Count of products</w:t>
            </w:r>
          </w:p>
        </w:tc>
        <w:tc>
          <w:tcPr>
            <w:tcW w:w="1361" w:type="dxa"/>
            <w:tcBorders>
              <w:bottom w:val="none" w:sz="0" w:space="0" w:color="auto"/>
            </w:tcBorders>
            <w:shd w:val="clear" w:color="auto" w:fill="BFBFBF" w:themeFill="background1" w:themeFillShade="BF"/>
            <w:vAlign w:val="center"/>
            <w:hideMark/>
          </w:tcPr>
          <w:p w:rsidR="00DF28C4" w:rsidRPr="00D13696" w:rsidRDefault="00DF28C4" w:rsidP="0019172E">
            <w:pPr>
              <w:spacing w:before="40" w:after="4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20"/>
                <w:szCs w:val="22"/>
                <w:lang w:eastAsia="en-GB"/>
              </w:rPr>
            </w:pPr>
            <w:r w:rsidRPr="00D13696">
              <w:rPr>
                <w:rFonts w:ascii="Times New Roman" w:eastAsia="Times New Roman" w:hAnsi="Times New Roman" w:cs="Times New Roman"/>
                <w:bCs w:val="0"/>
                <w:color w:val="000000" w:themeColor="text1"/>
                <w:sz w:val="20"/>
                <w:szCs w:val="22"/>
                <w:lang w:eastAsia="en-GB"/>
              </w:rPr>
              <w:t>Count of FFG products</w:t>
            </w:r>
          </w:p>
        </w:tc>
        <w:tc>
          <w:tcPr>
            <w:tcW w:w="1483" w:type="dxa"/>
            <w:tcBorders>
              <w:bottom w:val="none" w:sz="0" w:space="0" w:color="auto"/>
            </w:tcBorders>
            <w:shd w:val="clear" w:color="auto" w:fill="BFBFBF" w:themeFill="background1" w:themeFillShade="BF"/>
            <w:vAlign w:val="center"/>
            <w:hideMark/>
          </w:tcPr>
          <w:p w:rsidR="00DF28C4" w:rsidRPr="00D13696" w:rsidRDefault="00DF28C4" w:rsidP="0019172E">
            <w:pPr>
              <w:spacing w:before="40" w:after="4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20"/>
                <w:szCs w:val="22"/>
                <w:lang w:eastAsia="en-GB"/>
              </w:rPr>
            </w:pPr>
            <w:r w:rsidRPr="00D13696">
              <w:rPr>
                <w:rFonts w:ascii="Times New Roman" w:eastAsia="Times New Roman" w:hAnsi="Times New Roman" w:cs="Times New Roman"/>
                <w:bCs w:val="0"/>
                <w:color w:val="000000" w:themeColor="text1"/>
                <w:sz w:val="20"/>
                <w:szCs w:val="22"/>
                <w:lang w:eastAsia="en-GB"/>
              </w:rPr>
              <w:t>SCENARIO Count FFG products affected (%)</w:t>
            </w:r>
          </w:p>
        </w:tc>
        <w:tc>
          <w:tcPr>
            <w:tcW w:w="1576" w:type="dxa"/>
            <w:tcBorders>
              <w:bottom w:val="none" w:sz="0" w:space="0" w:color="auto"/>
            </w:tcBorders>
            <w:shd w:val="clear" w:color="auto" w:fill="BFBFBF" w:themeFill="background1" w:themeFillShade="BF"/>
            <w:vAlign w:val="center"/>
            <w:hideMark/>
          </w:tcPr>
          <w:p w:rsidR="00DF28C4" w:rsidRPr="00D13696" w:rsidRDefault="00DF28C4" w:rsidP="0019172E">
            <w:pPr>
              <w:spacing w:before="40" w:after="4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20"/>
                <w:szCs w:val="22"/>
                <w:lang w:eastAsia="en-GB"/>
              </w:rPr>
            </w:pPr>
            <w:r w:rsidRPr="00D13696">
              <w:rPr>
                <w:rFonts w:ascii="Times New Roman" w:eastAsia="Times New Roman" w:hAnsi="Times New Roman" w:cs="Times New Roman"/>
                <w:bCs w:val="0"/>
                <w:color w:val="000000" w:themeColor="text1"/>
                <w:sz w:val="20"/>
                <w:szCs w:val="22"/>
                <w:lang w:eastAsia="en-GB"/>
              </w:rPr>
              <w:t>Count of discretionary products</w:t>
            </w:r>
          </w:p>
        </w:tc>
        <w:tc>
          <w:tcPr>
            <w:tcW w:w="1576" w:type="dxa"/>
            <w:tcBorders>
              <w:bottom w:val="none" w:sz="0" w:space="0" w:color="auto"/>
            </w:tcBorders>
            <w:shd w:val="clear" w:color="auto" w:fill="BFBFBF" w:themeFill="background1" w:themeFillShade="BF"/>
            <w:vAlign w:val="center"/>
            <w:hideMark/>
          </w:tcPr>
          <w:p w:rsidR="00DF28C4" w:rsidRPr="00D13696" w:rsidRDefault="00DF28C4" w:rsidP="0019172E">
            <w:pPr>
              <w:spacing w:before="40" w:after="4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20"/>
                <w:szCs w:val="22"/>
                <w:lang w:eastAsia="en-GB"/>
              </w:rPr>
            </w:pPr>
            <w:r w:rsidRPr="00D13696">
              <w:rPr>
                <w:rFonts w:ascii="Times New Roman" w:eastAsia="Times New Roman" w:hAnsi="Times New Roman" w:cs="Times New Roman"/>
                <w:bCs w:val="0"/>
                <w:color w:val="000000" w:themeColor="text1"/>
                <w:sz w:val="20"/>
                <w:szCs w:val="22"/>
                <w:lang w:eastAsia="en-GB"/>
              </w:rPr>
              <w:t>SCENARIO Count discretionary products affected (%)</w:t>
            </w:r>
          </w:p>
        </w:tc>
      </w:tr>
      <w:tr w:rsidR="00DF28C4" w:rsidRPr="0019172E" w:rsidTr="0019172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847" w:type="dxa"/>
            <w:tcBorders>
              <w:top w:val="none" w:sz="0" w:space="0" w:color="auto"/>
              <w:bottom w:val="none" w:sz="0" w:space="0" w:color="auto"/>
            </w:tcBorders>
            <w:noWrap/>
            <w:hideMark/>
          </w:tcPr>
          <w:p w:rsidR="00DF28C4" w:rsidRPr="0019172E" w:rsidRDefault="00DF28C4" w:rsidP="0019172E">
            <w:pPr>
              <w:spacing w:before="40" w:after="4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Bread</w:t>
            </w:r>
          </w:p>
        </w:tc>
        <w:tc>
          <w:tcPr>
            <w:tcW w:w="1361"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226</w:t>
            </w:r>
          </w:p>
        </w:tc>
        <w:tc>
          <w:tcPr>
            <w:tcW w:w="1361"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217</w:t>
            </w:r>
          </w:p>
        </w:tc>
        <w:tc>
          <w:tcPr>
            <w:tcW w:w="1483"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50 (22)</w:t>
            </w:r>
          </w:p>
        </w:tc>
        <w:tc>
          <w:tcPr>
            <w:tcW w:w="1576"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9</w:t>
            </w:r>
          </w:p>
        </w:tc>
        <w:tc>
          <w:tcPr>
            <w:tcW w:w="1576"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0 (0)</w:t>
            </w:r>
          </w:p>
        </w:tc>
      </w:tr>
      <w:tr w:rsidR="00DF28C4" w:rsidRPr="0019172E" w:rsidTr="0019172E">
        <w:trPr>
          <w:trHeight w:val="227"/>
          <w:jc w:val="center"/>
        </w:trPr>
        <w:tc>
          <w:tcPr>
            <w:cnfStyle w:val="001000000000" w:firstRow="0" w:lastRow="0" w:firstColumn="1" w:lastColumn="0" w:oddVBand="0" w:evenVBand="0" w:oddHBand="0" w:evenHBand="0" w:firstRowFirstColumn="0" w:firstRowLastColumn="0" w:lastRowFirstColumn="0" w:lastRowLastColumn="0"/>
            <w:tcW w:w="1847" w:type="dxa"/>
            <w:noWrap/>
            <w:hideMark/>
          </w:tcPr>
          <w:p w:rsidR="00DF28C4" w:rsidRPr="0019172E" w:rsidRDefault="00DF28C4" w:rsidP="0019172E">
            <w:pPr>
              <w:spacing w:before="40" w:after="4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Breakfast Cereal</w:t>
            </w:r>
          </w:p>
        </w:tc>
        <w:tc>
          <w:tcPr>
            <w:tcW w:w="1361"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300</w:t>
            </w:r>
          </w:p>
        </w:tc>
        <w:tc>
          <w:tcPr>
            <w:tcW w:w="1361"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275</w:t>
            </w:r>
          </w:p>
        </w:tc>
        <w:tc>
          <w:tcPr>
            <w:tcW w:w="1483"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44 (15)</w:t>
            </w:r>
          </w:p>
        </w:tc>
        <w:tc>
          <w:tcPr>
            <w:tcW w:w="1576"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25</w:t>
            </w:r>
          </w:p>
        </w:tc>
        <w:tc>
          <w:tcPr>
            <w:tcW w:w="1576"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3 (1)</w:t>
            </w:r>
          </w:p>
        </w:tc>
      </w:tr>
      <w:tr w:rsidR="00DF28C4" w:rsidRPr="0019172E" w:rsidTr="0019172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847" w:type="dxa"/>
            <w:tcBorders>
              <w:top w:val="none" w:sz="0" w:space="0" w:color="auto"/>
              <w:bottom w:val="none" w:sz="0" w:space="0" w:color="auto"/>
            </w:tcBorders>
            <w:noWrap/>
            <w:hideMark/>
          </w:tcPr>
          <w:p w:rsidR="00DF28C4" w:rsidRPr="0019172E" w:rsidRDefault="00DF28C4" w:rsidP="0019172E">
            <w:pPr>
              <w:spacing w:before="40" w:after="4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Pasta/flour/grains</w:t>
            </w:r>
          </w:p>
        </w:tc>
        <w:tc>
          <w:tcPr>
            <w:tcW w:w="1361"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185</w:t>
            </w:r>
          </w:p>
        </w:tc>
        <w:tc>
          <w:tcPr>
            <w:tcW w:w="1361"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185</w:t>
            </w:r>
          </w:p>
        </w:tc>
        <w:tc>
          <w:tcPr>
            <w:tcW w:w="1483"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11 (6)</w:t>
            </w:r>
          </w:p>
        </w:tc>
        <w:tc>
          <w:tcPr>
            <w:tcW w:w="1576"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0</w:t>
            </w:r>
          </w:p>
        </w:tc>
        <w:tc>
          <w:tcPr>
            <w:tcW w:w="1576"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0 (0)</w:t>
            </w:r>
          </w:p>
        </w:tc>
      </w:tr>
      <w:tr w:rsidR="00DF28C4" w:rsidRPr="0019172E" w:rsidTr="0019172E">
        <w:trPr>
          <w:trHeight w:val="227"/>
          <w:jc w:val="center"/>
        </w:trPr>
        <w:tc>
          <w:tcPr>
            <w:cnfStyle w:val="001000000000" w:firstRow="0" w:lastRow="0" w:firstColumn="1" w:lastColumn="0" w:oddVBand="0" w:evenVBand="0" w:oddHBand="0" w:evenHBand="0" w:firstRowFirstColumn="0" w:firstRowLastColumn="0" w:lastRowFirstColumn="0" w:lastRowLastColumn="0"/>
            <w:tcW w:w="1847" w:type="dxa"/>
            <w:noWrap/>
            <w:hideMark/>
          </w:tcPr>
          <w:p w:rsidR="00DF28C4" w:rsidRPr="0019172E" w:rsidRDefault="00DF28C4" w:rsidP="0019172E">
            <w:pPr>
              <w:spacing w:before="40" w:after="4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Dairy alternative beverages</w:t>
            </w:r>
          </w:p>
        </w:tc>
        <w:tc>
          <w:tcPr>
            <w:tcW w:w="1361"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64</w:t>
            </w:r>
          </w:p>
        </w:tc>
        <w:tc>
          <w:tcPr>
            <w:tcW w:w="1361"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64</w:t>
            </w:r>
          </w:p>
        </w:tc>
        <w:tc>
          <w:tcPr>
            <w:tcW w:w="1483"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6 (9)</w:t>
            </w:r>
          </w:p>
        </w:tc>
        <w:tc>
          <w:tcPr>
            <w:tcW w:w="1576"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0</w:t>
            </w:r>
          </w:p>
        </w:tc>
        <w:tc>
          <w:tcPr>
            <w:tcW w:w="1576"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0 (0)</w:t>
            </w:r>
          </w:p>
        </w:tc>
      </w:tr>
      <w:tr w:rsidR="00DF28C4" w:rsidRPr="0019172E" w:rsidTr="0019172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847" w:type="dxa"/>
            <w:tcBorders>
              <w:top w:val="none" w:sz="0" w:space="0" w:color="auto"/>
              <w:bottom w:val="none" w:sz="0" w:space="0" w:color="auto"/>
            </w:tcBorders>
            <w:noWrap/>
            <w:hideMark/>
          </w:tcPr>
          <w:p w:rsidR="00DF28C4" w:rsidRPr="0019172E" w:rsidRDefault="00DF28C4" w:rsidP="0019172E">
            <w:pPr>
              <w:spacing w:before="40" w:after="4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Dairy beverages</w:t>
            </w:r>
          </w:p>
        </w:tc>
        <w:tc>
          <w:tcPr>
            <w:tcW w:w="1361"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485</w:t>
            </w:r>
          </w:p>
        </w:tc>
        <w:tc>
          <w:tcPr>
            <w:tcW w:w="1361"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461</w:t>
            </w:r>
          </w:p>
        </w:tc>
        <w:tc>
          <w:tcPr>
            <w:tcW w:w="1483"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3 (1)</w:t>
            </w:r>
          </w:p>
        </w:tc>
        <w:tc>
          <w:tcPr>
            <w:tcW w:w="1576"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24</w:t>
            </w:r>
          </w:p>
        </w:tc>
        <w:tc>
          <w:tcPr>
            <w:tcW w:w="1576"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0 (0)</w:t>
            </w:r>
          </w:p>
        </w:tc>
      </w:tr>
      <w:tr w:rsidR="00DF28C4" w:rsidRPr="0019172E" w:rsidTr="0019172E">
        <w:trPr>
          <w:trHeight w:val="227"/>
          <w:jc w:val="center"/>
        </w:trPr>
        <w:tc>
          <w:tcPr>
            <w:cnfStyle w:val="001000000000" w:firstRow="0" w:lastRow="0" w:firstColumn="1" w:lastColumn="0" w:oddVBand="0" w:evenVBand="0" w:oddHBand="0" w:evenHBand="0" w:firstRowFirstColumn="0" w:firstRowLastColumn="0" w:lastRowFirstColumn="0" w:lastRowLastColumn="0"/>
            <w:tcW w:w="1847" w:type="dxa"/>
            <w:noWrap/>
            <w:hideMark/>
          </w:tcPr>
          <w:p w:rsidR="00DF28C4" w:rsidRPr="0019172E" w:rsidRDefault="00DF28C4" w:rsidP="0019172E">
            <w:pPr>
              <w:spacing w:before="40" w:after="4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Beverages dry mix/milk powder</w:t>
            </w:r>
          </w:p>
        </w:tc>
        <w:tc>
          <w:tcPr>
            <w:tcW w:w="1361"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2</w:t>
            </w:r>
          </w:p>
        </w:tc>
        <w:tc>
          <w:tcPr>
            <w:tcW w:w="1361"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2</w:t>
            </w:r>
          </w:p>
        </w:tc>
        <w:tc>
          <w:tcPr>
            <w:tcW w:w="1483"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0 (0)</w:t>
            </w:r>
          </w:p>
        </w:tc>
        <w:tc>
          <w:tcPr>
            <w:tcW w:w="1576"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0</w:t>
            </w:r>
          </w:p>
        </w:tc>
        <w:tc>
          <w:tcPr>
            <w:tcW w:w="1576"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0 (0)</w:t>
            </w:r>
          </w:p>
        </w:tc>
      </w:tr>
      <w:tr w:rsidR="00DF28C4" w:rsidRPr="0019172E" w:rsidTr="0019172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847" w:type="dxa"/>
            <w:tcBorders>
              <w:top w:val="none" w:sz="0" w:space="0" w:color="auto"/>
              <w:bottom w:val="none" w:sz="0" w:space="0" w:color="auto"/>
            </w:tcBorders>
            <w:noWrap/>
            <w:hideMark/>
          </w:tcPr>
          <w:p w:rsidR="00DF28C4" w:rsidRPr="0019172E" w:rsidRDefault="00DF28C4" w:rsidP="0019172E">
            <w:pPr>
              <w:spacing w:before="40" w:after="4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Yoghurt, soft cheese</w:t>
            </w:r>
          </w:p>
        </w:tc>
        <w:tc>
          <w:tcPr>
            <w:tcW w:w="1361"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415</w:t>
            </w:r>
          </w:p>
        </w:tc>
        <w:tc>
          <w:tcPr>
            <w:tcW w:w="1361"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412</w:t>
            </w:r>
          </w:p>
        </w:tc>
        <w:tc>
          <w:tcPr>
            <w:tcW w:w="1483"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14 (3)</w:t>
            </w:r>
          </w:p>
        </w:tc>
        <w:tc>
          <w:tcPr>
            <w:tcW w:w="1576"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3</w:t>
            </w:r>
          </w:p>
        </w:tc>
        <w:tc>
          <w:tcPr>
            <w:tcW w:w="1576"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0 (0)</w:t>
            </w:r>
          </w:p>
        </w:tc>
      </w:tr>
      <w:tr w:rsidR="00DF28C4" w:rsidRPr="0019172E" w:rsidTr="0019172E">
        <w:trPr>
          <w:trHeight w:val="227"/>
          <w:jc w:val="center"/>
        </w:trPr>
        <w:tc>
          <w:tcPr>
            <w:cnfStyle w:val="001000000000" w:firstRow="0" w:lastRow="0" w:firstColumn="1" w:lastColumn="0" w:oddVBand="0" w:evenVBand="0" w:oddHBand="0" w:evenHBand="0" w:firstRowFirstColumn="0" w:firstRowLastColumn="0" w:lastRowFirstColumn="0" w:lastRowLastColumn="0"/>
            <w:tcW w:w="1847" w:type="dxa"/>
            <w:noWrap/>
            <w:hideMark/>
          </w:tcPr>
          <w:p w:rsidR="00DF28C4" w:rsidRPr="0019172E" w:rsidRDefault="00DF28C4" w:rsidP="0019172E">
            <w:pPr>
              <w:spacing w:before="40" w:after="4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lastRenderedPageBreak/>
              <w:t>Cream</w:t>
            </w:r>
          </w:p>
        </w:tc>
        <w:tc>
          <w:tcPr>
            <w:tcW w:w="1361"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68</w:t>
            </w:r>
          </w:p>
        </w:tc>
        <w:tc>
          <w:tcPr>
            <w:tcW w:w="1361"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4</w:t>
            </w:r>
          </w:p>
        </w:tc>
        <w:tc>
          <w:tcPr>
            <w:tcW w:w="1483"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0 (0)</w:t>
            </w:r>
          </w:p>
        </w:tc>
        <w:tc>
          <w:tcPr>
            <w:tcW w:w="1576"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64</w:t>
            </w:r>
          </w:p>
        </w:tc>
        <w:tc>
          <w:tcPr>
            <w:tcW w:w="1576"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0 (0)</w:t>
            </w:r>
          </w:p>
        </w:tc>
      </w:tr>
      <w:tr w:rsidR="00DF28C4" w:rsidRPr="0019172E" w:rsidTr="0019172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847" w:type="dxa"/>
            <w:tcBorders>
              <w:top w:val="none" w:sz="0" w:space="0" w:color="auto"/>
              <w:bottom w:val="none" w:sz="0" w:space="0" w:color="auto"/>
            </w:tcBorders>
            <w:noWrap/>
            <w:hideMark/>
          </w:tcPr>
          <w:p w:rsidR="00DF28C4" w:rsidRPr="0019172E" w:rsidRDefault="00DF28C4" w:rsidP="0019172E">
            <w:pPr>
              <w:spacing w:before="40" w:after="4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Cream cheese</w:t>
            </w:r>
          </w:p>
        </w:tc>
        <w:tc>
          <w:tcPr>
            <w:tcW w:w="1361"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67</w:t>
            </w:r>
          </w:p>
        </w:tc>
        <w:tc>
          <w:tcPr>
            <w:tcW w:w="1361"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67</w:t>
            </w:r>
          </w:p>
        </w:tc>
        <w:tc>
          <w:tcPr>
            <w:tcW w:w="1483"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0 (0)</w:t>
            </w:r>
          </w:p>
        </w:tc>
        <w:tc>
          <w:tcPr>
            <w:tcW w:w="1576"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0</w:t>
            </w:r>
          </w:p>
        </w:tc>
        <w:tc>
          <w:tcPr>
            <w:tcW w:w="1576"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0 (0)</w:t>
            </w:r>
          </w:p>
        </w:tc>
      </w:tr>
      <w:tr w:rsidR="00DF28C4" w:rsidRPr="0019172E" w:rsidTr="0019172E">
        <w:trPr>
          <w:trHeight w:val="227"/>
          <w:jc w:val="center"/>
        </w:trPr>
        <w:tc>
          <w:tcPr>
            <w:cnfStyle w:val="001000000000" w:firstRow="0" w:lastRow="0" w:firstColumn="1" w:lastColumn="0" w:oddVBand="0" w:evenVBand="0" w:oddHBand="0" w:evenHBand="0" w:firstRowFirstColumn="0" w:firstRowLastColumn="0" w:lastRowFirstColumn="0" w:lastRowLastColumn="0"/>
            <w:tcW w:w="1847" w:type="dxa"/>
            <w:noWrap/>
            <w:hideMark/>
          </w:tcPr>
          <w:p w:rsidR="00DF28C4" w:rsidRPr="0019172E" w:rsidRDefault="00DF28C4" w:rsidP="0019172E">
            <w:pPr>
              <w:spacing w:before="40" w:after="4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Processed fruit</w:t>
            </w:r>
          </w:p>
        </w:tc>
        <w:tc>
          <w:tcPr>
            <w:tcW w:w="1361"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124</w:t>
            </w:r>
          </w:p>
        </w:tc>
        <w:tc>
          <w:tcPr>
            <w:tcW w:w="1361"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94</w:t>
            </w:r>
          </w:p>
        </w:tc>
        <w:tc>
          <w:tcPr>
            <w:tcW w:w="1483"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2 (2)</w:t>
            </w:r>
          </w:p>
        </w:tc>
        <w:tc>
          <w:tcPr>
            <w:tcW w:w="1576"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30</w:t>
            </w:r>
          </w:p>
        </w:tc>
        <w:tc>
          <w:tcPr>
            <w:tcW w:w="1576"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0 (0)</w:t>
            </w:r>
          </w:p>
        </w:tc>
      </w:tr>
      <w:tr w:rsidR="00DF28C4" w:rsidRPr="0019172E" w:rsidTr="0019172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847" w:type="dxa"/>
            <w:tcBorders>
              <w:top w:val="none" w:sz="0" w:space="0" w:color="auto"/>
              <w:bottom w:val="none" w:sz="0" w:space="0" w:color="auto"/>
            </w:tcBorders>
            <w:noWrap/>
            <w:hideMark/>
          </w:tcPr>
          <w:p w:rsidR="00DF28C4" w:rsidRPr="0019172E" w:rsidRDefault="00DF28C4" w:rsidP="0019172E">
            <w:pPr>
              <w:spacing w:before="40" w:after="4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Unprocessed fruit</w:t>
            </w:r>
          </w:p>
        </w:tc>
        <w:tc>
          <w:tcPr>
            <w:tcW w:w="1361"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33</w:t>
            </w:r>
          </w:p>
        </w:tc>
        <w:tc>
          <w:tcPr>
            <w:tcW w:w="1361"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33</w:t>
            </w:r>
          </w:p>
        </w:tc>
        <w:tc>
          <w:tcPr>
            <w:tcW w:w="1483"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0 (0)</w:t>
            </w:r>
          </w:p>
        </w:tc>
        <w:tc>
          <w:tcPr>
            <w:tcW w:w="1576"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0</w:t>
            </w:r>
          </w:p>
        </w:tc>
        <w:tc>
          <w:tcPr>
            <w:tcW w:w="1576"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0 (0)</w:t>
            </w:r>
          </w:p>
        </w:tc>
      </w:tr>
      <w:tr w:rsidR="00DF28C4" w:rsidRPr="0019172E" w:rsidTr="0019172E">
        <w:trPr>
          <w:trHeight w:val="227"/>
          <w:jc w:val="center"/>
        </w:trPr>
        <w:tc>
          <w:tcPr>
            <w:cnfStyle w:val="001000000000" w:firstRow="0" w:lastRow="0" w:firstColumn="1" w:lastColumn="0" w:oddVBand="0" w:evenVBand="0" w:oddHBand="0" w:evenHBand="0" w:firstRowFirstColumn="0" w:firstRowLastColumn="0" w:lastRowFirstColumn="0" w:lastRowLastColumn="0"/>
            <w:tcW w:w="1847" w:type="dxa"/>
            <w:noWrap/>
            <w:hideMark/>
          </w:tcPr>
          <w:p w:rsidR="00DF28C4" w:rsidRPr="0019172E" w:rsidRDefault="00DF28C4" w:rsidP="0019172E">
            <w:pPr>
              <w:spacing w:before="40" w:after="4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Bakery/cake mixes</w:t>
            </w:r>
          </w:p>
        </w:tc>
        <w:tc>
          <w:tcPr>
            <w:tcW w:w="1361"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122</w:t>
            </w:r>
          </w:p>
        </w:tc>
        <w:tc>
          <w:tcPr>
            <w:tcW w:w="1361"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13</w:t>
            </w:r>
          </w:p>
        </w:tc>
        <w:tc>
          <w:tcPr>
            <w:tcW w:w="1483"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3 (2)</w:t>
            </w:r>
          </w:p>
        </w:tc>
        <w:tc>
          <w:tcPr>
            <w:tcW w:w="1576"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109</w:t>
            </w:r>
          </w:p>
        </w:tc>
        <w:tc>
          <w:tcPr>
            <w:tcW w:w="1576"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20 (16)</w:t>
            </w:r>
          </w:p>
        </w:tc>
      </w:tr>
      <w:tr w:rsidR="00DF28C4" w:rsidRPr="0019172E" w:rsidTr="0019172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847" w:type="dxa"/>
            <w:tcBorders>
              <w:top w:val="none" w:sz="0" w:space="0" w:color="auto"/>
              <w:bottom w:val="none" w:sz="0" w:space="0" w:color="auto"/>
            </w:tcBorders>
            <w:noWrap/>
            <w:hideMark/>
          </w:tcPr>
          <w:p w:rsidR="00DF28C4" w:rsidRPr="0019172E" w:rsidRDefault="00DF28C4" w:rsidP="0019172E">
            <w:pPr>
              <w:spacing w:before="40" w:after="4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Biscuits</w:t>
            </w:r>
          </w:p>
        </w:tc>
        <w:tc>
          <w:tcPr>
            <w:tcW w:w="1361"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258</w:t>
            </w:r>
          </w:p>
        </w:tc>
        <w:tc>
          <w:tcPr>
            <w:tcW w:w="1361"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70</w:t>
            </w:r>
          </w:p>
        </w:tc>
        <w:tc>
          <w:tcPr>
            <w:tcW w:w="1483"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41 (16)</w:t>
            </w:r>
          </w:p>
        </w:tc>
        <w:tc>
          <w:tcPr>
            <w:tcW w:w="1576"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188</w:t>
            </w:r>
          </w:p>
        </w:tc>
        <w:tc>
          <w:tcPr>
            <w:tcW w:w="1576"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51 (20)</w:t>
            </w:r>
          </w:p>
        </w:tc>
      </w:tr>
      <w:tr w:rsidR="00DF28C4" w:rsidRPr="0019172E" w:rsidTr="0019172E">
        <w:trPr>
          <w:trHeight w:val="227"/>
          <w:jc w:val="center"/>
        </w:trPr>
        <w:tc>
          <w:tcPr>
            <w:cnfStyle w:val="001000000000" w:firstRow="0" w:lastRow="0" w:firstColumn="1" w:lastColumn="0" w:oddVBand="0" w:evenVBand="0" w:oddHBand="0" w:evenHBand="0" w:firstRowFirstColumn="0" w:firstRowLastColumn="0" w:lastRowFirstColumn="0" w:lastRowLastColumn="0"/>
            <w:tcW w:w="1847" w:type="dxa"/>
            <w:noWrap/>
            <w:hideMark/>
          </w:tcPr>
          <w:p w:rsidR="00DF28C4" w:rsidRPr="0019172E" w:rsidRDefault="00DF28C4" w:rsidP="0019172E">
            <w:pPr>
              <w:spacing w:before="40" w:after="4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Confectionery</w:t>
            </w:r>
          </w:p>
        </w:tc>
        <w:tc>
          <w:tcPr>
            <w:tcW w:w="1361"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94</w:t>
            </w:r>
          </w:p>
        </w:tc>
        <w:tc>
          <w:tcPr>
            <w:tcW w:w="1361"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0</w:t>
            </w:r>
          </w:p>
        </w:tc>
        <w:tc>
          <w:tcPr>
            <w:tcW w:w="1483"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0 (0)</w:t>
            </w:r>
          </w:p>
        </w:tc>
        <w:tc>
          <w:tcPr>
            <w:tcW w:w="1576"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94</w:t>
            </w:r>
          </w:p>
        </w:tc>
        <w:tc>
          <w:tcPr>
            <w:tcW w:w="1576"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1 (1)</w:t>
            </w:r>
          </w:p>
        </w:tc>
      </w:tr>
      <w:tr w:rsidR="00DF28C4" w:rsidRPr="0019172E" w:rsidTr="0019172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847" w:type="dxa"/>
            <w:tcBorders>
              <w:top w:val="none" w:sz="0" w:space="0" w:color="auto"/>
              <w:bottom w:val="none" w:sz="0" w:space="0" w:color="auto"/>
            </w:tcBorders>
            <w:noWrap/>
            <w:hideMark/>
          </w:tcPr>
          <w:p w:rsidR="00DF28C4" w:rsidRPr="0019172E" w:rsidRDefault="00DF28C4" w:rsidP="0019172E">
            <w:pPr>
              <w:spacing w:before="40" w:after="4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custard/desserts</w:t>
            </w:r>
          </w:p>
        </w:tc>
        <w:tc>
          <w:tcPr>
            <w:tcW w:w="1361"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82</w:t>
            </w:r>
          </w:p>
        </w:tc>
        <w:tc>
          <w:tcPr>
            <w:tcW w:w="1361"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33</w:t>
            </w:r>
          </w:p>
        </w:tc>
        <w:tc>
          <w:tcPr>
            <w:tcW w:w="1483"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4 (5)</w:t>
            </w:r>
          </w:p>
        </w:tc>
        <w:tc>
          <w:tcPr>
            <w:tcW w:w="1576"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49</w:t>
            </w:r>
          </w:p>
        </w:tc>
        <w:tc>
          <w:tcPr>
            <w:tcW w:w="1576"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6 (7)</w:t>
            </w:r>
          </w:p>
        </w:tc>
      </w:tr>
      <w:tr w:rsidR="00DF28C4" w:rsidRPr="0019172E" w:rsidTr="0019172E">
        <w:trPr>
          <w:trHeight w:val="227"/>
          <w:jc w:val="center"/>
        </w:trPr>
        <w:tc>
          <w:tcPr>
            <w:cnfStyle w:val="001000000000" w:firstRow="0" w:lastRow="0" w:firstColumn="1" w:lastColumn="0" w:oddVBand="0" w:evenVBand="0" w:oddHBand="0" w:evenHBand="0" w:firstRowFirstColumn="0" w:firstRowLastColumn="0" w:lastRowFirstColumn="0" w:lastRowLastColumn="0"/>
            <w:tcW w:w="1847" w:type="dxa"/>
            <w:noWrap/>
            <w:hideMark/>
          </w:tcPr>
          <w:p w:rsidR="00DF28C4" w:rsidRPr="0019172E" w:rsidRDefault="00DF28C4" w:rsidP="0019172E">
            <w:pPr>
              <w:spacing w:before="40" w:after="4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Dips</w:t>
            </w:r>
          </w:p>
        </w:tc>
        <w:tc>
          <w:tcPr>
            <w:tcW w:w="1361"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28</w:t>
            </w:r>
          </w:p>
        </w:tc>
        <w:tc>
          <w:tcPr>
            <w:tcW w:w="1361"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0</w:t>
            </w:r>
          </w:p>
        </w:tc>
        <w:tc>
          <w:tcPr>
            <w:tcW w:w="1483"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0 (0)</w:t>
            </w:r>
          </w:p>
        </w:tc>
        <w:tc>
          <w:tcPr>
            <w:tcW w:w="1576"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28</w:t>
            </w:r>
          </w:p>
        </w:tc>
        <w:tc>
          <w:tcPr>
            <w:tcW w:w="1576"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9 (32)</w:t>
            </w:r>
          </w:p>
        </w:tc>
      </w:tr>
      <w:tr w:rsidR="00DF28C4" w:rsidRPr="0019172E" w:rsidTr="0019172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847" w:type="dxa"/>
            <w:tcBorders>
              <w:top w:val="none" w:sz="0" w:space="0" w:color="auto"/>
              <w:bottom w:val="none" w:sz="0" w:space="0" w:color="auto"/>
            </w:tcBorders>
            <w:noWrap/>
            <w:hideMark/>
          </w:tcPr>
          <w:p w:rsidR="00DF28C4" w:rsidRPr="0019172E" w:rsidRDefault="00DF28C4" w:rsidP="0019172E">
            <w:pPr>
              <w:spacing w:before="40" w:after="4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Dressings</w:t>
            </w:r>
          </w:p>
        </w:tc>
        <w:tc>
          <w:tcPr>
            <w:tcW w:w="1361"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95</w:t>
            </w:r>
          </w:p>
        </w:tc>
        <w:tc>
          <w:tcPr>
            <w:tcW w:w="1361"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4</w:t>
            </w:r>
          </w:p>
        </w:tc>
        <w:tc>
          <w:tcPr>
            <w:tcW w:w="1483"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1 (1)</w:t>
            </w:r>
          </w:p>
        </w:tc>
        <w:tc>
          <w:tcPr>
            <w:tcW w:w="1576"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91</w:t>
            </w:r>
          </w:p>
        </w:tc>
        <w:tc>
          <w:tcPr>
            <w:tcW w:w="1576"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42 (44)</w:t>
            </w:r>
          </w:p>
        </w:tc>
      </w:tr>
      <w:tr w:rsidR="00DF28C4" w:rsidRPr="0019172E" w:rsidTr="0019172E">
        <w:trPr>
          <w:trHeight w:val="227"/>
          <w:jc w:val="center"/>
        </w:trPr>
        <w:tc>
          <w:tcPr>
            <w:cnfStyle w:val="001000000000" w:firstRow="0" w:lastRow="0" w:firstColumn="1" w:lastColumn="0" w:oddVBand="0" w:evenVBand="0" w:oddHBand="0" w:evenHBand="0" w:firstRowFirstColumn="0" w:firstRowLastColumn="0" w:lastRowFirstColumn="0" w:lastRowLastColumn="0"/>
            <w:tcW w:w="1847" w:type="dxa"/>
            <w:noWrap/>
            <w:hideMark/>
          </w:tcPr>
          <w:p w:rsidR="00DF28C4" w:rsidRPr="0019172E" w:rsidRDefault="00DF28C4" w:rsidP="0019172E">
            <w:pPr>
              <w:spacing w:before="40" w:after="4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Ice cream</w:t>
            </w:r>
          </w:p>
        </w:tc>
        <w:tc>
          <w:tcPr>
            <w:tcW w:w="1361"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179</w:t>
            </w:r>
          </w:p>
        </w:tc>
        <w:tc>
          <w:tcPr>
            <w:tcW w:w="1361"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0</w:t>
            </w:r>
          </w:p>
        </w:tc>
        <w:tc>
          <w:tcPr>
            <w:tcW w:w="1483"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0 (0)</w:t>
            </w:r>
          </w:p>
        </w:tc>
        <w:tc>
          <w:tcPr>
            <w:tcW w:w="1576"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179</w:t>
            </w:r>
          </w:p>
        </w:tc>
        <w:tc>
          <w:tcPr>
            <w:tcW w:w="1576"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6 (3)</w:t>
            </w:r>
          </w:p>
        </w:tc>
      </w:tr>
      <w:tr w:rsidR="00DF28C4" w:rsidRPr="0019172E" w:rsidTr="0019172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847" w:type="dxa"/>
            <w:tcBorders>
              <w:top w:val="none" w:sz="0" w:space="0" w:color="auto"/>
              <w:bottom w:val="none" w:sz="0" w:space="0" w:color="auto"/>
            </w:tcBorders>
            <w:noWrap/>
            <w:hideMark/>
          </w:tcPr>
          <w:p w:rsidR="00DF28C4" w:rsidRPr="0019172E" w:rsidRDefault="00DF28C4" w:rsidP="0019172E">
            <w:pPr>
              <w:spacing w:before="40" w:after="4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Meals/meal bases</w:t>
            </w:r>
          </w:p>
        </w:tc>
        <w:tc>
          <w:tcPr>
            <w:tcW w:w="1361"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292</w:t>
            </w:r>
          </w:p>
        </w:tc>
        <w:tc>
          <w:tcPr>
            <w:tcW w:w="1361"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171</w:t>
            </w:r>
          </w:p>
        </w:tc>
        <w:tc>
          <w:tcPr>
            <w:tcW w:w="1483"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40 (14)</w:t>
            </w:r>
          </w:p>
        </w:tc>
        <w:tc>
          <w:tcPr>
            <w:tcW w:w="1576"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121</w:t>
            </w:r>
          </w:p>
        </w:tc>
        <w:tc>
          <w:tcPr>
            <w:tcW w:w="1576"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19 (7)</w:t>
            </w:r>
          </w:p>
        </w:tc>
      </w:tr>
      <w:tr w:rsidR="00DF28C4" w:rsidRPr="0019172E" w:rsidTr="0019172E">
        <w:trPr>
          <w:trHeight w:val="227"/>
          <w:jc w:val="center"/>
        </w:trPr>
        <w:tc>
          <w:tcPr>
            <w:cnfStyle w:val="001000000000" w:firstRow="0" w:lastRow="0" w:firstColumn="1" w:lastColumn="0" w:oddVBand="0" w:evenVBand="0" w:oddHBand="0" w:evenHBand="0" w:firstRowFirstColumn="0" w:firstRowLastColumn="0" w:lastRowFirstColumn="0" w:lastRowLastColumn="0"/>
            <w:tcW w:w="1847" w:type="dxa"/>
            <w:noWrap/>
            <w:hideMark/>
          </w:tcPr>
          <w:p w:rsidR="00DF28C4" w:rsidRPr="0019172E" w:rsidRDefault="00DF28C4" w:rsidP="0019172E">
            <w:pPr>
              <w:spacing w:before="40" w:after="4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Miscellaneous</w:t>
            </w:r>
          </w:p>
        </w:tc>
        <w:tc>
          <w:tcPr>
            <w:tcW w:w="1361"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25</w:t>
            </w:r>
          </w:p>
        </w:tc>
        <w:tc>
          <w:tcPr>
            <w:tcW w:w="1361"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13</w:t>
            </w:r>
          </w:p>
        </w:tc>
        <w:tc>
          <w:tcPr>
            <w:tcW w:w="1483"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0 (0)</w:t>
            </w:r>
          </w:p>
        </w:tc>
        <w:tc>
          <w:tcPr>
            <w:tcW w:w="1576"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12</w:t>
            </w:r>
          </w:p>
        </w:tc>
        <w:tc>
          <w:tcPr>
            <w:tcW w:w="1576"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0 (0)</w:t>
            </w:r>
          </w:p>
        </w:tc>
      </w:tr>
      <w:tr w:rsidR="00DF28C4" w:rsidRPr="0019172E" w:rsidTr="0019172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847" w:type="dxa"/>
            <w:tcBorders>
              <w:top w:val="none" w:sz="0" w:space="0" w:color="auto"/>
              <w:bottom w:val="none" w:sz="0" w:space="0" w:color="auto"/>
            </w:tcBorders>
            <w:noWrap/>
            <w:hideMark/>
          </w:tcPr>
          <w:p w:rsidR="00DF28C4" w:rsidRPr="0019172E" w:rsidRDefault="00DF28C4" w:rsidP="0019172E">
            <w:pPr>
              <w:spacing w:before="40" w:after="4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Pizza</w:t>
            </w:r>
          </w:p>
        </w:tc>
        <w:tc>
          <w:tcPr>
            <w:tcW w:w="1361"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3</w:t>
            </w:r>
          </w:p>
        </w:tc>
        <w:tc>
          <w:tcPr>
            <w:tcW w:w="1361"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1</w:t>
            </w:r>
          </w:p>
        </w:tc>
        <w:tc>
          <w:tcPr>
            <w:tcW w:w="1483"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0 (0)</w:t>
            </w:r>
          </w:p>
        </w:tc>
        <w:tc>
          <w:tcPr>
            <w:tcW w:w="1576"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2</w:t>
            </w:r>
          </w:p>
        </w:tc>
        <w:tc>
          <w:tcPr>
            <w:tcW w:w="1576"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0 (0)</w:t>
            </w:r>
          </w:p>
        </w:tc>
      </w:tr>
      <w:tr w:rsidR="00DF28C4" w:rsidRPr="0019172E" w:rsidTr="0019172E">
        <w:trPr>
          <w:trHeight w:val="227"/>
          <w:jc w:val="center"/>
        </w:trPr>
        <w:tc>
          <w:tcPr>
            <w:cnfStyle w:val="001000000000" w:firstRow="0" w:lastRow="0" w:firstColumn="1" w:lastColumn="0" w:oddVBand="0" w:evenVBand="0" w:oddHBand="0" w:evenHBand="0" w:firstRowFirstColumn="0" w:firstRowLastColumn="0" w:lastRowFirstColumn="0" w:lastRowLastColumn="0"/>
            <w:tcW w:w="1847" w:type="dxa"/>
            <w:noWrap/>
            <w:hideMark/>
          </w:tcPr>
          <w:p w:rsidR="00DF28C4" w:rsidRPr="0019172E" w:rsidRDefault="00DF28C4" w:rsidP="0019172E">
            <w:pPr>
              <w:spacing w:before="40" w:after="4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Sauces/condiments</w:t>
            </w:r>
          </w:p>
        </w:tc>
        <w:tc>
          <w:tcPr>
            <w:tcW w:w="1361"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344</w:t>
            </w:r>
          </w:p>
        </w:tc>
        <w:tc>
          <w:tcPr>
            <w:tcW w:w="1361"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11</w:t>
            </w:r>
          </w:p>
        </w:tc>
        <w:tc>
          <w:tcPr>
            <w:tcW w:w="1483"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2 (1)</w:t>
            </w:r>
          </w:p>
        </w:tc>
        <w:tc>
          <w:tcPr>
            <w:tcW w:w="1576"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333</w:t>
            </w:r>
          </w:p>
        </w:tc>
        <w:tc>
          <w:tcPr>
            <w:tcW w:w="1576"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89 (26)</w:t>
            </w:r>
          </w:p>
        </w:tc>
      </w:tr>
      <w:tr w:rsidR="00DF28C4" w:rsidRPr="0019172E" w:rsidTr="0019172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847" w:type="dxa"/>
            <w:tcBorders>
              <w:top w:val="none" w:sz="0" w:space="0" w:color="auto"/>
              <w:bottom w:val="none" w:sz="0" w:space="0" w:color="auto"/>
            </w:tcBorders>
            <w:noWrap/>
            <w:hideMark/>
          </w:tcPr>
          <w:p w:rsidR="00DF28C4" w:rsidRPr="0019172E" w:rsidRDefault="00DF28C4" w:rsidP="0019172E">
            <w:pPr>
              <w:spacing w:before="40" w:after="4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Snacks</w:t>
            </w:r>
          </w:p>
        </w:tc>
        <w:tc>
          <w:tcPr>
            <w:tcW w:w="1361"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310</w:t>
            </w:r>
          </w:p>
        </w:tc>
        <w:tc>
          <w:tcPr>
            <w:tcW w:w="1361"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34</w:t>
            </w:r>
          </w:p>
        </w:tc>
        <w:tc>
          <w:tcPr>
            <w:tcW w:w="1483"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5 (2)</w:t>
            </w:r>
          </w:p>
        </w:tc>
        <w:tc>
          <w:tcPr>
            <w:tcW w:w="1576"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276</w:t>
            </w:r>
          </w:p>
        </w:tc>
        <w:tc>
          <w:tcPr>
            <w:tcW w:w="1576"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50 (16)</w:t>
            </w:r>
          </w:p>
        </w:tc>
      </w:tr>
      <w:tr w:rsidR="00DF28C4" w:rsidRPr="0019172E" w:rsidTr="0019172E">
        <w:trPr>
          <w:trHeight w:val="227"/>
          <w:jc w:val="center"/>
        </w:trPr>
        <w:tc>
          <w:tcPr>
            <w:cnfStyle w:val="001000000000" w:firstRow="0" w:lastRow="0" w:firstColumn="1" w:lastColumn="0" w:oddVBand="0" w:evenVBand="0" w:oddHBand="0" w:evenHBand="0" w:firstRowFirstColumn="0" w:firstRowLastColumn="0" w:lastRowFirstColumn="0" w:lastRowLastColumn="0"/>
            <w:tcW w:w="1847" w:type="dxa"/>
            <w:noWrap/>
            <w:hideMark/>
          </w:tcPr>
          <w:p w:rsidR="00DF28C4" w:rsidRPr="0019172E" w:rsidRDefault="00DF28C4" w:rsidP="0019172E">
            <w:pPr>
              <w:spacing w:before="40" w:after="4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Soups/stocks</w:t>
            </w:r>
          </w:p>
        </w:tc>
        <w:tc>
          <w:tcPr>
            <w:tcW w:w="1361"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245</w:t>
            </w:r>
          </w:p>
        </w:tc>
        <w:tc>
          <w:tcPr>
            <w:tcW w:w="1361"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136</w:t>
            </w:r>
          </w:p>
        </w:tc>
        <w:tc>
          <w:tcPr>
            <w:tcW w:w="1483"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26 (11)</w:t>
            </w:r>
          </w:p>
        </w:tc>
        <w:tc>
          <w:tcPr>
            <w:tcW w:w="1576"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109</w:t>
            </w:r>
          </w:p>
        </w:tc>
        <w:tc>
          <w:tcPr>
            <w:tcW w:w="1576"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15 (6)</w:t>
            </w:r>
          </w:p>
        </w:tc>
      </w:tr>
      <w:tr w:rsidR="00DF28C4" w:rsidRPr="0019172E" w:rsidTr="0019172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847" w:type="dxa"/>
            <w:tcBorders>
              <w:top w:val="none" w:sz="0" w:space="0" w:color="auto"/>
              <w:bottom w:val="none" w:sz="0" w:space="0" w:color="auto"/>
            </w:tcBorders>
            <w:noWrap/>
            <w:hideMark/>
          </w:tcPr>
          <w:p w:rsidR="00DF28C4" w:rsidRPr="0019172E" w:rsidRDefault="00DF28C4" w:rsidP="0019172E">
            <w:pPr>
              <w:spacing w:before="40" w:after="4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Yeast spread</w:t>
            </w:r>
          </w:p>
        </w:tc>
        <w:tc>
          <w:tcPr>
            <w:tcW w:w="1361"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4</w:t>
            </w:r>
          </w:p>
        </w:tc>
        <w:tc>
          <w:tcPr>
            <w:tcW w:w="1361"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0</w:t>
            </w:r>
          </w:p>
        </w:tc>
        <w:tc>
          <w:tcPr>
            <w:tcW w:w="1483"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0 (0)</w:t>
            </w:r>
          </w:p>
        </w:tc>
        <w:tc>
          <w:tcPr>
            <w:tcW w:w="1576"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4</w:t>
            </w:r>
          </w:p>
        </w:tc>
        <w:tc>
          <w:tcPr>
            <w:tcW w:w="1576"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1 (25)</w:t>
            </w:r>
          </w:p>
        </w:tc>
      </w:tr>
      <w:tr w:rsidR="00DF28C4" w:rsidRPr="0019172E" w:rsidTr="0019172E">
        <w:trPr>
          <w:trHeight w:val="227"/>
          <w:jc w:val="center"/>
        </w:trPr>
        <w:tc>
          <w:tcPr>
            <w:cnfStyle w:val="001000000000" w:firstRow="0" w:lastRow="0" w:firstColumn="1" w:lastColumn="0" w:oddVBand="0" w:evenVBand="0" w:oddHBand="0" w:evenHBand="0" w:firstRowFirstColumn="0" w:firstRowLastColumn="0" w:lastRowFirstColumn="0" w:lastRowLastColumn="0"/>
            <w:tcW w:w="1847" w:type="dxa"/>
            <w:noWrap/>
            <w:hideMark/>
          </w:tcPr>
          <w:p w:rsidR="00DF28C4" w:rsidRPr="0019172E" w:rsidRDefault="00DF28C4" w:rsidP="0019172E">
            <w:pPr>
              <w:spacing w:before="40" w:after="4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Meats/fish</w:t>
            </w:r>
          </w:p>
        </w:tc>
        <w:tc>
          <w:tcPr>
            <w:tcW w:w="1361"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328</w:t>
            </w:r>
          </w:p>
        </w:tc>
        <w:tc>
          <w:tcPr>
            <w:tcW w:w="1361"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221</w:t>
            </w:r>
          </w:p>
        </w:tc>
        <w:tc>
          <w:tcPr>
            <w:tcW w:w="1483"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41 (13)</w:t>
            </w:r>
          </w:p>
        </w:tc>
        <w:tc>
          <w:tcPr>
            <w:tcW w:w="1576"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107</w:t>
            </w:r>
          </w:p>
        </w:tc>
        <w:tc>
          <w:tcPr>
            <w:tcW w:w="1576"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44 (13)</w:t>
            </w:r>
          </w:p>
        </w:tc>
      </w:tr>
      <w:tr w:rsidR="00DF28C4" w:rsidRPr="0019172E" w:rsidTr="0019172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847" w:type="dxa"/>
            <w:tcBorders>
              <w:top w:val="none" w:sz="0" w:space="0" w:color="auto"/>
              <w:bottom w:val="none" w:sz="0" w:space="0" w:color="auto"/>
            </w:tcBorders>
            <w:noWrap/>
            <w:hideMark/>
          </w:tcPr>
          <w:p w:rsidR="00DF28C4" w:rsidRPr="0019172E" w:rsidRDefault="00DF28C4" w:rsidP="0019172E">
            <w:pPr>
              <w:spacing w:before="40" w:after="4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Nuts</w:t>
            </w:r>
          </w:p>
        </w:tc>
        <w:tc>
          <w:tcPr>
            <w:tcW w:w="1361"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76</w:t>
            </w:r>
          </w:p>
        </w:tc>
        <w:tc>
          <w:tcPr>
            <w:tcW w:w="1361"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74</w:t>
            </w:r>
          </w:p>
        </w:tc>
        <w:tc>
          <w:tcPr>
            <w:tcW w:w="1483"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11 (14)</w:t>
            </w:r>
          </w:p>
        </w:tc>
        <w:tc>
          <w:tcPr>
            <w:tcW w:w="1576"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2</w:t>
            </w:r>
          </w:p>
        </w:tc>
        <w:tc>
          <w:tcPr>
            <w:tcW w:w="1576"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0 (0)</w:t>
            </w:r>
          </w:p>
        </w:tc>
      </w:tr>
      <w:tr w:rsidR="00DF28C4" w:rsidRPr="0019172E" w:rsidTr="0019172E">
        <w:trPr>
          <w:trHeight w:val="227"/>
          <w:jc w:val="center"/>
        </w:trPr>
        <w:tc>
          <w:tcPr>
            <w:cnfStyle w:val="001000000000" w:firstRow="0" w:lastRow="0" w:firstColumn="1" w:lastColumn="0" w:oddVBand="0" w:evenVBand="0" w:oddHBand="0" w:evenHBand="0" w:firstRowFirstColumn="0" w:firstRowLastColumn="0" w:lastRowFirstColumn="0" w:lastRowLastColumn="0"/>
            <w:tcW w:w="1847" w:type="dxa"/>
            <w:noWrap/>
            <w:hideMark/>
          </w:tcPr>
          <w:p w:rsidR="00DF28C4" w:rsidRPr="0019172E" w:rsidRDefault="00DF28C4" w:rsidP="0019172E">
            <w:pPr>
              <w:spacing w:before="40" w:after="4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Plant proteins</w:t>
            </w:r>
          </w:p>
        </w:tc>
        <w:tc>
          <w:tcPr>
            <w:tcW w:w="1361"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104</w:t>
            </w:r>
          </w:p>
        </w:tc>
        <w:tc>
          <w:tcPr>
            <w:tcW w:w="1361"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104</w:t>
            </w:r>
          </w:p>
        </w:tc>
        <w:tc>
          <w:tcPr>
            <w:tcW w:w="1483"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19 (18)</w:t>
            </w:r>
          </w:p>
        </w:tc>
        <w:tc>
          <w:tcPr>
            <w:tcW w:w="1576"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0</w:t>
            </w:r>
          </w:p>
        </w:tc>
        <w:tc>
          <w:tcPr>
            <w:tcW w:w="1576"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0 (0)</w:t>
            </w:r>
          </w:p>
        </w:tc>
      </w:tr>
      <w:tr w:rsidR="00DF28C4" w:rsidRPr="0019172E" w:rsidTr="0019172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847" w:type="dxa"/>
            <w:tcBorders>
              <w:top w:val="none" w:sz="0" w:space="0" w:color="auto"/>
              <w:bottom w:val="none" w:sz="0" w:space="0" w:color="auto"/>
            </w:tcBorders>
            <w:noWrap/>
            <w:hideMark/>
          </w:tcPr>
          <w:p w:rsidR="00DF28C4" w:rsidRPr="0019172E" w:rsidRDefault="00DF28C4" w:rsidP="0019172E">
            <w:pPr>
              <w:spacing w:before="40" w:after="4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Processed vegetables</w:t>
            </w:r>
          </w:p>
        </w:tc>
        <w:tc>
          <w:tcPr>
            <w:tcW w:w="1361"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299</w:t>
            </w:r>
          </w:p>
        </w:tc>
        <w:tc>
          <w:tcPr>
            <w:tcW w:w="1361"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224</w:t>
            </w:r>
          </w:p>
        </w:tc>
        <w:tc>
          <w:tcPr>
            <w:tcW w:w="1483"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9 (3)</w:t>
            </w:r>
          </w:p>
        </w:tc>
        <w:tc>
          <w:tcPr>
            <w:tcW w:w="1576"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75</w:t>
            </w:r>
          </w:p>
        </w:tc>
        <w:tc>
          <w:tcPr>
            <w:tcW w:w="1576"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17 (6)</w:t>
            </w:r>
          </w:p>
        </w:tc>
      </w:tr>
      <w:tr w:rsidR="00DF28C4" w:rsidRPr="0019172E" w:rsidTr="0019172E">
        <w:trPr>
          <w:trHeight w:val="227"/>
          <w:jc w:val="center"/>
        </w:trPr>
        <w:tc>
          <w:tcPr>
            <w:cnfStyle w:val="001000000000" w:firstRow="0" w:lastRow="0" w:firstColumn="1" w:lastColumn="0" w:oddVBand="0" w:evenVBand="0" w:oddHBand="0" w:evenHBand="0" w:firstRowFirstColumn="0" w:firstRowLastColumn="0" w:lastRowFirstColumn="0" w:lastRowLastColumn="0"/>
            <w:tcW w:w="1847" w:type="dxa"/>
            <w:noWrap/>
            <w:hideMark/>
          </w:tcPr>
          <w:p w:rsidR="00DF28C4" w:rsidRPr="0019172E" w:rsidRDefault="00DF28C4" w:rsidP="0019172E">
            <w:pPr>
              <w:spacing w:before="40" w:after="4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Unprocessed vegetables</w:t>
            </w:r>
          </w:p>
        </w:tc>
        <w:tc>
          <w:tcPr>
            <w:tcW w:w="1361"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62</w:t>
            </w:r>
          </w:p>
        </w:tc>
        <w:tc>
          <w:tcPr>
            <w:tcW w:w="1361"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62</w:t>
            </w:r>
          </w:p>
        </w:tc>
        <w:tc>
          <w:tcPr>
            <w:tcW w:w="1483"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0 (0)</w:t>
            </w:r>
          </w:p>
        </w:tc>
        <w:tc>
          <w:tcPr>
            <w:tcW w:w="1576"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0</w:t>
            </w:r>
          </w:p>
        </w:tc>
        <w:tc>
          <w:tcPr>
            <w:tcW w:w="1576" w:type="dxa"/>
            <w:noWrap/>
            <w:hideMark/>
          </w:tcPr>
          <w:p w:rsidR="00DF28C4" w:rsidRPr="0019172E" w:rsidRDefault="00DF28C4" w:rsidP="0019172E">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lang w:eastAsia="en-GB"/>
              </w:rPr>
            </w:pPr>
            <w:r w:rsidRPr="0019172E">
              <w:rPr>
                <w:rFonts w:ascii="Times New Roman" w:eastAsia="Times New Roman" w:hAnsi="Times New Roman" w:cs="Times New Roman"/>
                <w:color w:val="000000" w:themeColor="text1"/>
                <w:sz w:val="22"/>
                <w:szCs w:val="22"/>
                <w:lang w:eastAsia="en-GB"/>
              </w:rPr>
              <w:t>0 (0)</w:t>
            </w:r>
          </w:p>
        </w:tc>
      </w:tr>
      <w:tr w:rsidR="00DF28C4" w:rsidRPr="0019172E" w:rsidTr="0019172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847" w:type="dxa"/>
            <w:tcBorders>
              <w:top w:val="none" w:sz="0" w:space="0" w:color="auto"/>
              <w:bottom w:val="none" w:sz="0" w:space="0" w:color="auto"/>
            </w:tcBorders>
            <w:noWrap/>
            <w:hideMark/>
          </w:tcPr>
          <w:p w:rsidR="00DF28C4" w:rsidRPr="0019172E" w:rsidRDefault="00DF28C4" w:rsidP="0019172E">
            <w:pPr>
              <w:spacing w:before="40" w:after="40"/>
              <w:rPr>
                <w:rFonts w:ascii="Times New Roman" w:eastAsia="Times New Roman" w:hAnsi="Times New Roman" w:cs="Times New Roman"/>
                <w:bCs w:val="0"/>
                <w:color w:val="000000" w:themeColor="text1"/>
                <w:sz w:val="22"/>
                <w:szCs w:val="22"/>
                <w:lang w:eastAsia="en-GB"/>
              </w:rPr>
            </w:pPr>
            <w:r w:rsidRPr="0019172E">
              <w:rPr>
                <w:rFonts w:ascii="Times New Roman" w:eastAsia="Times New Roman" w:hAnsi="Times New Roman" w:cs="Times New Roman"/>
                <w:bCs w:val="0"/>
                <w:color w:val="000000" w:themeColor="text1"/>
                <w:sz w:val="22"/>
                <w:szCs w:val="22"/>
                <w:lang w:eastAsia="en-GB"/>
              </w:rPr>
              <w:t>Total</w:t>
            </w:r>
          </w:p>
        </w:tc>
        <w:tc>
          <w:tcPr>
            <w:tcW w:w="1361"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2"/>
                <w:szCs w:val="22"/>
                <w:lang w:eastAsia="en-GB"/>
              </w:rPr>
            </w:pPr>
            <w:r w:rsidRPr="0019172E">
              <w:rPr>
                <w:rFonts w:ascii="Times New Roman" w:eastAsia="Times New Roman" w:hAnsi="Times New Roman" w:cs="Times New Roman"/>
                <w:b/>
                <w:bCs/>
                <w:color w:val="000000" w:themeColor="text1"/>
                <w:sz w:val="22"/>
                <w:szCs w:val="22"/>
                <w:lang w:eastAsia="en-GB"/>
              </w:rPr>
              <w:t>4919</w:t>
            </w:r>
          </w:p>
        </w:tc>
        <w:tc>
          <w:tcPr>
            <w:tcW w:w="1361"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2"/>
                <w:szCs w:val="22"/>
                <w:lang w:eastAsia="en-GB"/>
              </w:rPr>
            </w:pPr>
            <w:r w:rsidRPr="0019172E">
              <w:rPr>
                <w:rFonts w:ascii="Times New Roman" w:eastAsia="Times New Roman" w:hAnsi="Times New Roman" w:cs="Times New Roman"/>
                <w:b/>
                <w:bCs/>
                <w:color w:val="000000" w:themeColor="text1"/>
                <w:sz w:val="22"/>
                <w:szCs w:val="22"/>
                <w:lang w:eastAsia="en-GB"/>
              </w:rPr>
              <w:t>2985</w:t>
            </w:r>
          </w:p>
        </w:tc>
        <w:tc>
          <w:tcPr>
            <w:tcW w:w="1483"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2"/>
                <w:szCs w:val="22"/>
                <w:lang w:eastAsia="en-GB"/>
              </w:rPr>
            </w:pPr>
            <w:r w:rsidRPr="0019172E">
              <w:rPr>
                <w:rFonts w:ascii="Times New Roman" w:eastAsia="Times New Roman" w:hAnsi="Times New Roman" w:cs="Times New Roman"/>
                <w:b/>
                <w:color w:val="000000" w:themeColor="text1"/>
                <w:sz w:val="22"/>
                <w:szCs w:val="22"/>
                <w:lang w:eastAsia="en-GB"/>
              </w:rPr>
              <w:t>332 (7)</w:t>
            </w:r>
          </w:p>
        </w:tc>
        <w:tc>
          <w:tcPr>
            <w:tcW w:w="1576"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2"/>
                <w:szCs w:val="22"/>
                <w:lang w:eastAsia="en-GB"/>
              </w:rPr>
            </w:pPr>
            <w:r w:rsidRPr="0019172E">
              <w:rPr>
                <w:rFonts w:ascii="Times New Roman" w:eastAsia="Times New Roman" w:hAnsi="Times New Roman" w:cs="Times New Roman"/>
                <w:b/>
                <w:bCs/>
                <w:color w:val="000000" w:themeColor="text1"/>
                <w:sz w:val="22"/>
                <w:szCs w:val="22"/>
                <w:lang w:eastAsia="en-GB"/>
              </w:rPr>
              <w:t>1934</w:t>
            </w:r>
          </w:p>
        </w:tc>
        <w:tc>
          <w:tcPr>
            <w:tcW w:w="1576" w:type="dxa"/>
            <w:tcBorders>
              <w:top w:val="none" w:sz="0" w:space="0" w:color="auto"/>
              <w:bottom w:val="none" w:sz="0" w:space="0" w:color="auto"/>
            </w:tcBorders>
            <w:noWrap/>
            <w:hideMark/>
          </w:tcPr>
          <w:p w:rsidR="00DF28C4" w:rsidRPr="0019172E" w:rsidRDefault="00DF28C4" w:rsidP="0019172E">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2"/>
                <w:szCs w:val="22"/>
                <w:lang w:eastAsia="en-GB"/>
              </w:rPr>
            </w:pPr>
            <w:r w:rsidRPr="0019172E">
              <w:rPr>
                <w:rFonts w:ascii="Times New Roman" w:eastAsia="Times New Roman" w:hAnsi="Times New Roman" w:cs="Times New Roman"/>
                <w:b/>
                <w:color w:val="000000" w:themeColor="text1"/>
                <w:sz w:val="22"/>
                <w:szCs w:val="22"/>
                <w:lang w:eastAsia="en-GB"/>
              </w:rPr>
              <w:t>373 (8)</w:t>
            </w:r>
          </w:p>
        </w:tc>
      </w:tr>
    </w:tbl>
    <w:p w:rsidR="00DF28C4" w:rsidRPr="00FE48DD" w:rsidRDefault="00DF28C4" w:rsidP="00DF28C4">
      <w:pPr>
        <w:rPr>
          <w:color w:val="000000" w:themeColor="text1"/>
          <w:lang w:eastAsia="en-GB"/>
        </w:rPr>
      </w:pPr>
    </w:p>
    <w:p w:rsidR="00DF28C4" w:rsidRDefault="00DF28C4" w:rsidP="00DF28C4">
      <w:pPr>
        <w:rPr>
          <w:color w:val="000000" w:themeColor="text1"/>
        </w:rPr>
      </w:pPr>
      <w:r w:rsidRPr="00FE48DD">
        <w:rPr>
          <w:color w:val="000000" w:themeColor="text1"/>
        </w:rPr>
        <w:t>As with the total sugars scenario, the number of FFG foods that may be scoring relatively low (&lt;3) HSRs and discretionary foods scoring relatively high HSRs (≥3) was also investigated (Table 5). There was a small increase in the proportion of FFG foods receiving &lt;3 stars and a small decrease in the proportion of discretionary foods receiving ≥3 stars.</w:t>
      </w:r>
    </w:p>
    <w:p w:rsidR="00BE1F4F" w:rsidRDefault="00BE1F4F" w:rsidP="00DF28C4">
      <w:pPr>
        <w:rPr>
          <w:color w:val="000000" w:themeColor="text1"/>
        </w:rPr>
      </w:pPr>
    </w:p>
    <w:p w:rsidR="00DF28C4" w:rsidRDefault="00DF28C4" w:rsidP="0019172E">
      <w:pPr>
        <w:pStyle w:val="Caption"/>
        <w:keepNext/>
        <w:keepLines/>
        <w:spacing w:before="240" w:after="120"/>
        <w:ind w:left="1128" w:hanging="1128"/>
        <w:rPr>
          <w:rFonts w:ascii="Times New Roman" w:hAnsi="Times New Roman" w:cs="Times New Roman"/>
          <w:color w:val="000000" w:themeColor="text1"/>
          <w:sz w:val="24"/>
          <w:szCs w:val="24"/>
        </w:rPr>
      </w:pPr>
      <w:r w:rsidRPr="00FE48DD">
        <w:rPr>
          <w:rFonts w:ascii="Times New Roman" w:hAnsi="Times New Roman" w:cs="Times New Roman"/>
          <w:color w:val="000000" w:themeColor="text1"/>
          <w:sz w:val="24"/>
          <w:szCs w:val="24"/>
          <w:lang w:eastAsia="en-AU"/>
        </w:rPr>
        <w:lastRenderedPageBreak/>
        <w:t>Table 5</w:t>
      </w:r>
      <w:r w:rsidRPr="00FE48DD">
        <w:rPr>
          <w:rFonts w:ascii="Times New Roman" w:hAnsi="Times New Roman" w:cs="Times New Roman"/>
          <w:color w:val="000000" w:themeColor="text1"/>
          <w:sz w:val="24"/>
          <w:szCs w:val="24"/>
        </w:rPr>
        <w:t xml:space="preserve"> </w:t>
      </w:r>
      <w:r w:rsidRPr="00FE48DD">
        <w:rPr>
          <w:rFonts w:ascii="Times New Roman" w:hAnsi="Times New Roman" w:cs="Times New Roman"/>
          <w:color w:val="000000" w:themeColor="text1"/>
          <w:sz w:val="24"/>
          <w:szCs w:val="24"/>
        </w:rPr>
        <w:tab/>
        <w:t>Summary of FFG and discretionary TAG database products in HSR Categories 1D, 2 and 2D affected by the stronger sodium scenario</w:t>
      </w:r>
    </w:p>
    <w:tbl>
      <w:tblPr>
        <w:tblStyle w:val="PlainTable2"/>
        <w:tblW w:w="9493" w:type="dxa"/>
        <w:tblBorders>
          <w:top w:val="single" w:sz="4" w:space="0" w:color="auto"/>
          <w:left w:val="single" w:sz="4" w:space="0" w:color="auto"/>
          <w:bottom w:val="single" w:sz="4" w:space="0" w:color="auto"/>
          <w:right w:val="single" w:sz="4" w:space="0" w:color="auto"/>
          <w:insideH w:val="single" w:sz="4" w:space="0" w:color="7F7F7F" w:themeColor="text1" w:themeTint="80"/>
        </w:tblBorders>
        <w:tblLook w:val="04A0" w:firstRow="1" w:lastRow="0" w:firstColumn="1" w:lastColumn="0" w:noHBand="0" w:noVBand="1"/>
        <w:tblCaption w:val="Table 5 - Summary of FFG and discretionary TAG database products in HSR Categories 1D, 2 and 2D affected by the stronger sodium scenario"/>
        <w:tblDescription w:val="Summary of Five Foof Group and discretionary TAG database products in HSR Categories 1D, 2 and 2D affected by the stronger sodium scenario"/>
      </w:tblPr>
      <w:tblGrid>
        <w:gridCol w:w="852"/>
        <w:gridCol w:w="2160"/>
        <w:gridCol w:w="2160"/>
        <w:gridCol w:w="2160"/>
        <w:gridCol w:w="2161"/>
      </w:tblGrid>
      <w:tr w:rsidR="00DF28C4" w:rsidRPr="00D13696" w:rsidTr="00D136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2" w:type="dxa"/>
            <w:tcBorders>
              <w:bottom w:val="none" w:sz="0" w:space="0" w:color="auto"/>
            </w:tcBorders>
            <w:shd w:val="clear" w:color="auto" w:fill="D9D9D9" w:themeFill="background1" w:themeFillShade="D9"/>
          </w:tcPr>
          <w:p w:rsidR="00DF28C4" w:rsidRPr="00D13696" w:rsidRDefault="00DF28C4" w:rsidP="00D13696">
            <w:pPr>
              <w:keepNext/>
              <w:spacing w:before="40" w:after="40"/>
              <w:jc w:val="center"/>
              <w:rPr>
                <w:rFonts w:ascii="Times New Roman" w:eastAsia="Times New Roman" w:hAnsi="Times New Roman" w:cs="Times New Roman"/>
                <w:color w:val="000000" w:themeColor="text1"/>
                <w:sz w:val="20"/>
                <w:lang w:eastAsia="en-GB"/>
              </w:rPr>
            </w:pPr>
            <w:r w:rsidRPr="00D13696">
              <w:rPr>
                <w:rFonts w:ascii="Times New Roman" w:eastAsia="Times New Roman" w:hAnsi="Times New Roman" w:cs="Times New Roman"/>
                <w:color w:val="000000" w:themeColor="text1"/>
                <w:sz w:val="20"/>
                <w:lang w:eastAsia="en-GB"/>
              </w:rPr>
              <w:t>Health Star Rating</w:t>
            </w:r>
          </w:p>
        </w:tc>
        <w:tc>
          <w:tcPr>
            <w:tcW w:w="2160" w:type="dxa"/>
            <w:tcBorders>
              <w:bottom w:val="none" w:sz="0" w:space="0" w:color="auto"/>
            </w:tcBorders>
            <w:shd w:val="clear" w:color="auto" w:fill="D9D9D9" w:themeFill="background1" w:themeFillShade="D9"/>
          </w:tcPr>
          <w:p w:rsidR="00D13696" w:rsidRPr="00D13696" w:rsidRDefault="00D13696" w:rsidP="00D13696">
            <w:pPr>
              <w:keepNext/>
              <w:spacing w:before="4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lang w:eastAsia="en-GB"/>
              </w:rPr>
            </w:pPr>
            <w:r w:rsidRPr="00D13696">
              <w:rPr>
                <w:rFonts w:ascii="Times New Roman" w:eastAsia="Times New Roman" w:hAnsi="Times New Roman" w:cs="Times New Roman"/>
                <w:color w:val="000000" w:themeColor="text1"/>
                <w:sz w:val="20"/>
                <w:lang w:eastAsia="en-GB"/>
              </w:rPr>
              <w:t>Recommended scenario count of products</w:t>
            </w:r>
          </w:p>
          <w:p w:rsidR="00DF28C4" w:rsidRPr="00D13696" w:rsidRDefault="00DF28C4" w:rsidP="00D13696">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lang w:eastAsia="en-GB"/>
              </w:rPr>
            </w:pPr>
            <w:r w:rsidRPr="00D13696">
              <w:rPr>
                <w:rFonts w:ascii="Times New Roman" w:eastAsia="Times New Roman" w:hAnsi="Times New Roman" w:cs="Times New Roman"/>
                <w:color w:val="000000" w:themeColor="text1"/>
                <w:sz w:val="20"/>
                <w:lang w:eastAsia="en-GB"/>
              </w:rPr>
              <w:t>FFG</w:t>
            </w:r>
          </w:p>
        </w:tc>
        <w:tc>
          <w:tcPr>
            <w:tcW w:w="2160" w:type="dxa"/>
            <w:tcBorders>
              <w:bottom w:val="none" w:sz="0" w:space="0" w:color="auto"/>
            </w:tcBorders>
            <w:shd w:val="clear" w:color="auto" w:fill="D9D9D9" w:themeFill="background1" w:themeFillShade="D9"/>
          </w:tcPr>
          <w:p w:rsidR="00D13696" w:rsidRPr="00D13696" w:rsidRDefault="00D13696" w:rsidP="00D13696">
            <w:pPr>
              <w:keepNext/>
              <w:spacing w:before="4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lang w:eastAsia="en-GB"/>
              </w:rPr>
            </w:pPr>
            <w:r w:rsidRPr="00D13696">
              <w:rPr>
                <w:rFonts w:ascii="Times New Roman" w:eastAsia="Times New Roman" w:hAnsi="Times New Roman" w:cs="Times New Roman"/>
                <w:color w:val="000000" w:themeColor="text1"/>
                <w:sz w:val="20"/>
                <w:lang w:eastAsia="en-GB"/>
              </w:rPr>
              <w:t>Recommended scenario count of products</w:t>
            </w:r>
          </w:p>
          <w:p w:rsidR="00DF28C4" w:rsidRPr="00D13696" w:rsidRDefault="00DF28C4" w:rsidP="00D13696">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lang w:eastAsia="en-GB"/>
              </w:rPr>
            </w:pPr>
            <w:r w:rsidRPr="00D13696">
              <w:rPr>
                <w:rFonts w:ascii="Times New Roman" w:eastAsia="Times New Roman" w:hAnsi="Times New Roman" w:cs="Times New Roman"/>
                <w:color w:val="000000" w:themeColor="text1"/>
                <w:sz w:val="20"/>
                <w:lang w:eastAsia="en-GB"/>
              </w:rPr>
              <w:t>Discretionary</w:t>
            </w:r>
          </w:p>
        </w:tc>
        <w:tc>
          <w:tcPr>
            <w:tcW w:w="2160" w:type="dxa"/>
            <w:tcBorders>
              <w:bottom w:val="none" w:sz="0" w:space="0" w:color="auto"/>
            </w:tcBorders>
            <w:shd w:val="clear" w:color="auto" w:fill="D9D9D9" w:themeFill="background1" w:themeFillShade="D9"/>
          </w:tcPr>
          <w:p w:rsidR="00D13696" w:rsidRPr="00D13696" w:rsidRDefault="00D13696" w:rsidP="00D13696">
            <w:pPr>
              <w:keepNext/>
              <w:spacing w:before="4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lang w:eastAsia="en-GB"/>
              </w:rPr>
            </w:pPr>
            <w:r w:rsidRPr="00D13696">
              <w:rPr>
                <w:rFonts w:ascii="Times New Roman" w:eastAsia="Times New Roman" w:hAnsi="Times New Roman" w:cs="Times New Roman"/>
                <w:color w:val="000000" w:themeColor="text1"/>
                <w:sz w:val="20"/>
                <w:lang w:eastAsia="en-GB"/>
              </w:rPr>
              <w:t>Stronger sodium scenario count of products</w:t>
            </w:r>
          </w:p>
          <w:p w:rsidR="00DF28C4" w:rsidRPr="00D13696" w:rsidRDefault="00DF28C4" w:rsidP="00D13696">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lang w:eastAsia="en-GB"/>
              </w:rPr>
            </w:pPr>
            <w:r w:rsidRPr="00D13696">
              <w:rPr>
                <w:rFonts w:ascii="Times New Roman" w:eastAsia="Times New Roman" w:hAnsi="Times New Roman" w:cs="Times New Roman"/>
                <w:color w:val="000000" w:themeColor="text1"/>
                <w:sz w:val="20"/>
                <w:lang w:eastAsia="en-GB"/>
              </w:rPr>
              <w:t>FFG</w:t>
            </w:r>
          </w:p>
        </w:tc>
        <w:tc>
          <w:tcPr>
            <w:tcW w:w="2161" w:type="dxa"/>
            <w:tcBorders>
              <w:bottom w:val="none" w:sz="0" w:space="0" w:color="auto"/>
            </w:tcBorders>
            <w:shd w:val="clear" w:color="auto" w:fill="D9D9D9" w:themeFill="background1" w:themeFillShade="D9"/>
          </w:tcPr>
          <w:p w:rsidR="00D13696" w:rsidRPr="00D13696" w:rsidRDefault="00D13696" w:rsidP="00D13696">
            <w:pPr>
              <w:keepNext/>
              <w:spacing w:before="4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lang w:eastAsia="en-GB"/>
              </w:rPr>
            </w:pPr>
            <w:r w:rsidRPr="00D13696">
              <w:rPr>
                <w:rFonts w:ascii="Times New Roman" w:eastAsia="Times New Roman" w:hAnsi="Times New Roman" w:cs="Times New Roman"/>
                <w:color w:val="000000" w:themeColor="text1"/>
                <w:sz w:val="20"/>
                <w:lang w:eastAsia="en-GB"/>
              </w:rPr>
              <w:t>Stronger sodium scenario count of products</w:t>
            </w:r>
          </w:p>
          <w:p w:rsidR="00DF28C4" w:rsidRPr="00D13696" w:rsidRDefault="00DF28C4" w:rsidP="00D13696">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lang w:eastAsia="en-GB"/>
              </w:rPr>
            </w:pPr>
            <w:r w:rsidRPr="00D13696">
              <w:rPr>
                <w:rFonts w:ascii="Times New Roman" w:eastAsia="Times New Roman" w:hAnsi="Times New Roman" w:cs="Times New Roman"/>
                <w:color w:val="000000" w:themeColor="text1"/>
                <w:sz w:val="20"/>
                <w:lang w:eastAsia="en-GB"/>
              </w:rPr>
              <w:t>Discretionary</w:t>
            </w:r>
          </w:p>
        </w:tc>
      </w:tr>
      <w:tr w:rsidR="00DF28C4" w:rsidRPr="0019172E" w:rsidTr="00D13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dxa"/>
          </w:tcPr>
          <w:p w:rsidR="00DF28C4" w:rsidRPr="0019172E" w:rsidRDefault="00DF28C4" w:rsidP="0019172E">
            <w:pPr>
              <w:keepNext/>
              <w:spacing w:before="40" w:after="40"/>
              <w:rPr>
                <w:rFonts w:ascii="Times New Roman" w:eastAsia="Times New Roman" w:hAnsi="Times New Roman" w:cs="Times New Roman"/>
                <w:color w:val="000000" w:themeColor="text1"/>
                <w:sz w:val="22"/>
                <w:lang w:eastAsia="en-GB"/>
              </w:rPr>
            </w:pPr>
            <w:r w:rsidRPr="0019172E">
              <w:rPr>
                <w:rFonts w:ascii="Times New Roman" w:eastAsia="Times New Roman" w:hAnsi="Times New Roman" w:cs="Times New Roman"/>
                <w:color w:val="000000" w:themeColor="text1"/>
                <w:sz w:val="22"/>
                <w:lang w:eastAsia="en-GB"/>
              </w:rPr>
              <w:t>&lt;3</w:t>
            </w:r>
          </w:p>
        </w:tc>
        <w:tc>
          <w:tcPr>
            <w:tcW w:w="2160" w:type="dxa"/>
          </w:tcPr>
          <w:p w:rsidR="00DF28C4" w:rsidRPr="0019172E" w:rsidRDefault="00DF28C4" w:rsidP="0019172E">
            <w:pPr>
              <w:keepNext/>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lang w:eastAsia="en-GB"/>
              </w:rPr>
            </w:pPr>
            <w:r w:rsidRPr="0019172E">
              <w:rPr>
                <w:rFonts w:ascii="Times New Roman" w:eastAsia="Times New Roman" w:hAnsi="Times New Roman" w:cs="Times New Roman"/>
                <w:color w:val="000000" w:themeColor="text1"/>
                <w:sz w:val="22"/>
                <w:lang w:eastAsia="en-GB"/>
              </w:rPr>
              <w:t>256 (9%)</w:t>
            </w:r>
          </w:p>
        </w:tc>
        <w:tc>
          <w:tcPr>
            <w:tcW w:w="2160" w:type="dxa"/>
          </w:tcPr>
          <w:p w:rsidR="00DF28C4" w:rsidRPr="0019172E" w:rsidRDefault="00DF28C4" w:rsidP="0019172E">
            <w:pPr>
              <w:keepNext/>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lang w:eastAsia="en-GB"/>
              </w:rPr>
            </w:pPr>
            <w:r w:rsidRPr="0019172E">
              <w:rPr>
                <w:rFonts w:ascii="Times New Roman" w:eastAsia="Times New Roman" w:hAnsi="Times New Roman" w:cs="Times New Roman"/>
                <w:color w:val="000000" w:themeColor="text1"/>
                <w:sz w:val="22"/>
                <w:lang w:eastAsia="en-GB"/>
              </w:rPr>
              <w:t>1160 (60%)</w:t>
            </w:r>
          </w:p>
        </w:tc>
        <w:tc>
          <w:tcPr>
            <w:tcW w:w="2160" w:type="dxa"/>
          </w:tcPr>
          <w:p w:rsidR="00DF28C4" w:rsidRPr="0019172E" w:rsidRDefault="00DF28C4" w:rsidP="0019172E">
            <w:pPr>
              <w:keepNext/>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lang w:eastAsia="en-GB"/>
              </w:rPr>
            </w:pPr>
            <w:r w:rsidRPr="0019172E">
              <w:rPr>
                <w:rFonts w:ascii="Times New Roman" w:eastAsia="Times New Roman" w:hAnsi="Times New Roman" w:cs="Times New Roman"/>
                <w:color w:val="000000" w:themeColor="text1"/>
                <w:sz w:val="22"/>
                <w:lang w:eastAsia="en-GB"/>
              </w:rPr>
              <w:t>314 (11%)</w:t>
            </w:r>
          </w:p>
        </w:tc>
        <w:tc>
          <w:tcPr>
            <w:tcW w:w="2161" w:type="dxa"/>
          </w:tcPr>
          <w:p w:rsidR="00DF28C4" w:rsidRPr="0019172E" w:rsidRDefault="00DF28C4" w:rsidP="0019172E">
            <w:pPr>
              <w:keepNext/>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lang w:eastAsia="en-GB"/>
              </w:rPr>
            </w:pPr>
            <w:r w:rsidRPr="0019172E">
              <w:rPr>
                <w:rFonts w:ascii="Times New Roman" w:eastAsia="Times New Roman" w:hAnsi="Times New Roman" w:cs="Times New Roman"/>
                <w:color w:val="000000" w:themeColor="text1"/>
                <w:sz w:val="22"/>
                <w:lang w:eastAsia="en-GB"/>
              </w:rPr>
              <w:t>1219 (63%)</w:t>
            </w:r>
          </w:p>
        </w:tc>
      </w:tr>
      <w:tr w:rsidR="00DF28C4" w:rsidRPr="0019172E" w:rsidTr="00D13696">
        <w:tc>
          <w:tcPr>
            <w:cnfStyle w:val="001000000000" w:firstRow="0" w:lastRow="0" w:firstColumn="1" w:lastColumn="0" w:oddVBand="0" w:evenVBand="0" w:oddHBand="0" w:evenHBand="0" w:firstRowFirstColumn="0" w:firstRowLastColumn="0" w:lastRowFirstColumn="0" w:lastRowLastColumn="0"/>
            <w:tcW w:w="852" w:type="dxa"/>
          </w:tcPr>
          <w:p w:rsidR="00DF28C4" w:rsidRPr="0019172E" w:rsidRDefault="00DF28C4" w:rsidP="0019172E">
            <w:pPr>
              <w:keepNext/>
              <w:spacing w:before="40" w:after="40"/>
              <w:rPr>
                <w:rFonts w:ascii="Times New Roman" w:eastAsia="Times New Roman" w:hAnsi="Times New Roman" w:cs="Times New Roman"/>
                <w:color w:val="000000" w:themeColor="text1"/>
                <w:sz w:val="22"/>
                <w:lang w:eastAsia="en-GB"/>
              </w:rPr>
            </w:pPr>
            <w:r w:rsidRPr="0019172E">
              <w:rPr>
                <w:rFonts w:ascii="Times New Roman" w:hAnsi="Times New Roman" w:cs="Times New Roman"/>
                <w:color w:val="000000" w:themeColor="text1"/>
                <w:sz w:val="22"/>
              </w:rPr>
              <w:t>≥3</w:t>
            </w:r>
          </w:p>
        </w:tc>
        <w:tc>
          <w:tcPr>
            <w:tcW w:w="2160" w:type="dxa"/>
          </w:tcPr>
          <w:p w:rsidR="00DF28C4" w:rsidRPr="0019172E" w:rsidRDefault="00DF28C4" w:rsidP="0019172E">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lang w:eastAsia="en-GB"/>
              </w:rPr>
            </w:pPr>
            <w:r w:rsidRPr="0019172E">
              <w:rPr>
                <w:rFonts w:ascii="Times New Roman" w:eastAsia="Times New Roman" w:hAnsi="Times New Roman" w:cs="Times New Roman"/>
                <w:color w:val="000000" w:themeColor="text1"/>
                <w:sz w:val="22"/>
                <w:lang w:eastAsia="en-GB"/>
              </w:rPr>
              <w:t>2729 (91%)</w:t>
            </w:r>
          </w:p>
        </w:tc>
        <w:tc>
          <w:tcPr>
            <w:tcW w:w="2160" w:type="dxa"/>
          </w:tcPr>
          <w:p w:rsidR="00DF28C4" w:rsidRPr="0019172E" w:rsidRDefault="00DF28C4" w:rsidP="0019172E">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lang w:eastAsia="en-GB"/>
              </w:rPr>
            </w:pPr>
            <w:r w:rsidRPr="0019172E">
              <w:rPr>
                <w:rFonts w:ascii="Times New Roman" w:eastAsia="Times New Roman" w:hAnsi="Times New Roman" w:cs="Times New Roman"/>
                <w:color w:val="000000" w:themeColor="text1"/>
                <w:sz w:val="22"/>
                <w:lang w:eastAsia="en-GB"/>
              </w:rPr>
              <w:t>774 (40%)</w:t>
            </w:r>
          </w:p>
        </w:tc>
        <w:tc>
          <w:tcPr>
            <w:tcW w:w="2160" w:type="dxa"/>
          </w:tcPr>
          <w:p w:rsidR="00DF28C4" w:rsidRPr="0019172E" w:rsidRDefault="00DF28C4" w:rsidP="0019172E">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lang w:eastAsia="en-GB"/>
              </w:rPr>
            </w:pPr>
            <w:r w:rsidRPr="0019172E">
              <w:rPr>
                <w:rFonts w:ascii="Times New Roman" w:eastAsia="Times New Roman" w:hAnsi="Times New Roman" w:cs="Times New Roman"/>
                <w:color w:val="000000" w:themeColor="text1"/>
                <w:sz w:val="22"/>
                <w:lang w:eastAsia="en-GB"/>
              </w:rPr>
              <w:t>2671 (89%)</w:t>
            </w:r>
          </w:p>
        </w:tc>
        <w:tc>
          <w:tcPr>
            <w:tcW w:w="2161" w:type="dxa"/>
          </w:tcPr>
          <w:p w:rsidR="00DF28C4" w:rsidRPr="0019172E" w:rsidRDefault="00DF28C4" w:rsidP="0019172E">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lang w:eastAsia="en-GB"/>
              </w:rPr>
            </w:pPr>
            <w:r w:rsidRPr="0019172E">
              <w:rPr>
                <w:rFonts w:ascii="Times New Roman" w:eastAsia="Times New Roman" w:hAnsi="Times New Roman" w:cs="Times New Roman"/>
                <w:color w:val="000000" w:themeColor="text1"/>
                <w:sz w:val="22"/>
                <w:lang w:eastAsia="en-GB"/>
              </w:rPr>
              <w:t>715 (37%)</w:t>
            </w:r>
          </w:p>
        </w:tc>
      </w:tr>
      <w:tr w:rsidR="00DF28C4" w:rsidRPr="0019172E" w:rsidTr="00D13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dxa"/>
          </w:tcPr>
          <w:p w:rsidR="00DF28C4" w:rsidRPr="0019172E" w:rsidRDefault="00DF28C4" w:rsidP="0019172E">
            <w:pPr>
              <w:keepNext/>
              <w:spacing w:before="40" w:after="40"/>
              <w:rPr>
                <w:rFonts w:ascii="Times New Roman" w:eastAsia="Times New Roman" w:hAnsi="Times New Roman" w:cs="Times New Roman"/>
                <w:color w:val="000000" w:themeColor="text1"/>
                <w:sz w:val="22"/>
                <w:lang w:eastAsia="en-GB"/>
              </w:rPr>
            </w:pPr>
            <w:r w:rsidRPr="0019172E">
              <w:rPr>
                <w:rFonts w:ascii="Times New Roman" w:eastAsia="Times New Roman" w:hAnsi="Times New Roman" w:cs="Times New Roman"/>
                <w:color w:val="000000" w:themeColor="text1"/>
                <w:sz w:val="22"/>
                <w:lang w:eastAsia="en-GB"/>
              </w:rPr>
              <w:t>Total</w:t>
            </w:r>
          </w:p>
        </w:tc>
        <w:tc>
          <w:tcPr>
            <w:tcW w:w="2160" w:type="dxa"/>
          </w:tcPr>
          <w:p w:rsidR="00DF28C4" w:rsidRPr="0019172E" w:rsidRDefault="00DF28C4" w:rsidP="0019172E">
            <w:pPr>
              <w:keepNext/>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lang w:eastAsia="en-GB"/>
              </w:rPr>
            </w:pPr>
            <w:r w:rsidRPr="0019172E">
              <w:rPr>
                <w:rFonts w:ascii="Times New Roman" w:eastAsia="Times New Roman" w:hAnsi="Times New Roman" w:cs="Times New Roman"/>
                <w:color w:val="000000" w:themeColor="text1"/>
                <w:sz w:val="22"/>
                <w:lang w:eastAsia="en-GB"/>
              </w:rPr>
              <w:t>2985</w:t>
            </w:r>
          </w:p>
        </w:tc>
        <w:tc>
          <w:tcPr>
            <w:tcW w:w="2160" w:type="dxa"/>
          </w:tcPr>
          <w:p w:rsidR="00DF28C4" w:rsidRPr="0019172E" w:rsidRDefault="00DF28C4" w:rsidP="0019172E">
            <w:pPr>
              <w:keepNext/>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lang w:eastAsia="en-GB"/>
              </w:rPr>
            </w:pPr>
            <w:r w:rsidRPr="0019172E">
              <w:rPr>
                <w:rFonts w:ascii="Times New Roman" w:eastAsia="Times New Roman" w:hAnsi="Times New Roman" w:cs="Times New Roman"/>
                <w:color w:val="000000" w:themeColor="text1"/>
                <w:sz w:val="22"/>
                <w:lang w:eastAsia="en-GB"/>
              </w:rPr>
              <w:t>1934</w:t>
            </w:r>
          </w:p>
        </w:tc>
        <w:tc>
          <w:tcPr>
            <w:tcW w:w="2160" w:type="dxa"/>
          </w:tcPr>
          <w:p w:rsidR="00DF28C4" w:rsidRPr="0019172E" w:rsidRDefault="00DF28C4" w:rsidP="0019172E">
            <w:pPr>
              <w:keepNext/>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lang w:eastAsia="en-GB"/>
              </w:rPr>
            </w:pPr>
            <w:r w:rsidRPr="0019172E">
              <w:rPr>
                <w:rFonts w:ascii="Times New Roman" w:eastAsia="Times New Roman" w:hAnsi="Times New Roman" w:cs="Times New Roman"/>
                <w:color w:val="000000" w:themeColor="text1"/>
                <w:sz w:val="22"/>
                <w:lang w:eastAsia="en-GB"/>
              </w:rPr>
              <w:t>2985</w:t>
            </w:r>
          </w:p>
        </w:tc>
        <w:tc>
          <w:tcPr>
            <w:tcW w:w="2161" w:type="dxa"/>
          </w:tcPr>
          <w:p w:rsidR="00DF28C4" w:rsidRPr="0019172E" w:rsidRDefault="00DF28C4" w:rsidP="0019172E">
            <w:pPr>
              <w:keepNext/>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lang w:eastAsia="en-GB"/>
              </w:rPr>
            </w:pPr>
            <w:r w:rsidRPr="0019172E">
              <w:rPr>
                <w:rFonts w:ascii="Times New Roman" w:eastAsia="Times New Roman" w:hAnsi="Times New Roman" w:cs="Times New Roman"/>
                <w:color w:val="000000" w:themeColor="text1"/>
                <w:sz w:val="22"/>
                <w:lang w:eastAsia="en-GB"/>
              </w:rPr>
              <w:t>1934</w:t>
            </w:r>
          </w:p>
        </w:tc>
      </w:tr>
    </w:tbl>
    <w:p w:rsidR="00DF28C4" w:rsidRPr="00FE48DD" w:rsidRDefault="00DF28C4" w:rsidP="00DF28C4">
      <w:pPr>
        <w:keepNext/>
        <w:rPr>
          <w:color w:val="000000" w:themeColor="text1"/>
        </w:rPr>
      </w:pPr>
    </w:p>
    <w:p w:rsidR="00DF28C4" w:rsidRPr="00FE48DD" w:rsidRDefault="00DF28C4" w:rsidP="00DF28C4">
      <w:pPr>
        <w:spacing w:after="120"/>
        <w:rPr>
          <w:color w:val="000000" w:themeColor="text1"/>
        </w:rPr>
      </w:pPr>
      <w:r w:rsidRPr="00FE48DD">
        <w:rPr>
          <w:color w:val="000000" w:themeColor="text1"/>
        </w:rPr>
        <w:t xml:space="preserve">Given that there are relatively few products with sodium concentrations &gt;900 mg/100 g in the TAG database the majority of products receiving a reduction in star points had a sodium concentration of ≤900 mg/100 g sodium. </w:t>
      </w:r>
    </w:p>
    <w:p w:rsidR="00DF28C4" w:rsidRDefault="00DF28C4" w:rsidP="00DF28C4">
      <w:pPr>
        <w:spacing w:after="120"/>
        <w:rPr>
          <w:color w:val="000000" w:themeColor="text1"/>
        </w:rPr>
      </w:pPr>
      <w:r w:rsidRPr="00FE48DD">
        <w:rPr>
          <w:color w:val="000000" w:themeColor="text1"/>
        </w:rPr>
        <w:t>The impact on specific food classifications that have generally been of greater concern was investigated. Approximately 25% of salty snacks were affected by a 0.5-1.5 HSR reduction, 39% of gravy mixes were affected by a 0.5 HSR reduction, 21% of recipe and sauce mixes were affected by a 0.5 HSR reduction, and 43% of processed meats had a 0.5-1 HSR reduction. For nut and nut products, 15% were affected by a reduction of 0.5 HSR, all of which had a sodium concentration of ≥380 mg/100 g. There was generally already a differentiation in HSR in the recommended HSR calculator between salted and unsalted nuts and nut products.</w:t>
      </w:r>
    </w:p>
    <w:p w:rsidR="0019172E" w:rsidRPr="00BE1F4F" w:rsidRDefault="0019172E" w:rsidP="0019172E">
      <w:pPr>
        <w:spacing w:before="240" w:after="240"/>
        <w:rPr>
          <w:i/>
          <w:color w:val="000000" w:themeColor="text1"/>
          <w:sz w:val="28"/>
        </w:rPr>
      </w:pPr>
      <w:r w:rsidRPr="00BE1F4F">
        <w:rPr>
          <w:i/>
          <w:color w:val="000000" w:themeColor="text1"/>
          <w:sz w:val="28"/>
        </w:rPr>
        <w:t>Combined stronger total sugars and sodium scenario</w:t>
      </w:r>
    </w:p>
    <w:p w:rsidR="00DF28C4" w:rsidRPr="00FE48DD" w:rsidRDefault="00DF28C4" w:rsidP="00DF28C4">
      <w:pPr>
        <w:spacing w:after="120"/>
      </w:pPr>
      <w:r w:rsidRPr="00FE48DD">
        <w:t>In order to assess the impact of the combined impact of the total sugars and sodium scenarios described above compared to the recommended HSR, a combined scenario was modelled. This scenario was applied to only HSR Categories 1D, 2 and 2D. Impacts of a combined scenario for Categor</w:t>
      </w:r>
      <w:r w:rsidR="00003B1C">
        <w:t>ies</w:t>
      </w:r>
      <w:r w:rsidRPr="00FE48DD">
        <w:t xml:space="preserve"> 3 and 3D are the same as for the stronger sodium scenario.</w:t>
      </w:r>
      <w:r>
        <w:t xml:space="preserve"> </w:t>
      </w:r>
    </w:p>
    <w:p w:rsidR="00DF28C4" w:rsidRPr="00FE48DD" w:rsidRDefault="00DF28C4" w:rsidP="00DF28C4">
      <w:pPr>
        <w:spacing w:after="120"/>
      </w:pPr>
      <w:r w:rsidRPr="00FE48DD">
        <w:t>The FSANZ analysis of a combined scenario for HSR Categor</w:t>
      </w:r>
      <w:r w:rsidR="00003B1C">
        <w:t>ies</w:t>
      </w:r>
      <w:r w:rsidRPr="00FE48DD">
        <w:t xml:space="preserve"> 1D, 2 and 2D indicated that approximately 23% of products would be affected by a reduction in HSR, compared to the Recommended scenario (Table 6), with the proportion of FFG (11%) and discretionary (12%) products impacted being approximately equal (Table 7).</w:t>
      </w:r>
      <w:r>
        <w:t xml:space="preserve"> </w:t>
      </w:r>
    </w:p>
    <w:p w:rsidR="00DF28C4" w:rsidRPr="00FE48DD" w:rsidRDefault="00DF28C4" w:rsidP="00DF28C4">
      <w:pPr>
        <w:spacing w:after="120"/>
      </w:pPr>
      <w:r w:rsidRPr="00FE48DD">
        <w:t>Of those products affected in the Combined Scenario, 10% were affected by both the total sugars and sodium HSR baseline point adjustments. Product categories impacted by reductions in HSR in the Combined Scenario reflected those impacted in the separate total sugars scenario and the sodium scenario. More than 90% of products in the TAG database affected by the Combined Scenario received a 0.5 HSR reduction with a small proportion of products receiving a 1-1.5 HSR reduction.</w:t>
      </w:r>
    </w:p>
    <w:p w:rsidR="00DF28C4" w:rsidRPr="00FE48DD" w:rsidRDefault="00DF28C4" w:rsidP="0019172E">
      <w:pPr>
        <w:pStyle w:val="Caption"/>
        <w:keepNext/>
        <w:keepLines/>
        <w:spacing w:after="120"/>
        <w:ind w:left="1128" w:hanging="1128"/>
        <w:rPr>
          <w:rFonts w:ascii="Times New Roman" w:hAnsi="Times New Roman" w:cs="Times New Roman"/>
          <w:color w:val="000000" w:themeColor="text1"/>
          <w:sz w:val="24"/>
          <w:szCs w:val="24"/>
          <w:lang w:eastAsia="en-AU"/>
        </w:rPr>
      </w:pPr>
      <w:r w:rsidRPr="00FE48DD">
        <w:rPr>
          <w:rFonts w:ascii="Times New Roman" w:hAnsi="Times New Roman" w:cs="Times New Roman"/>
          <w:color w:val="000000" w:themeColor="text1"/>
          <w:sz w:val="24"/>
          <w:szCs w:val="24"/>
          <w:lang w:eastAsia="en-AU"/>
        </w:rPr>
        <w:lastRenderedPageBreak/>
        <w:t xml:space="preserve">Table 6 </w:t>
      </w:r>
      <w:r w:rsidRPr="00FE48DD">
        <w:rPr>
          <w:rFonts w:ascii="Times New Roman" w:hAnsi="Times New Roman" w:cs="Times New Roman"/>
          <w:color w:val="000000" w:themeColor="text1"/>
          <w:sz w:val="24"/>
          <w:szCs w:val="24"/>
          <w:lang w:eastAsia="en-AU"/>
        </w:rPr>
        <w:tab/>
        <w:t>Summary of number of HSR Categor</w:t>
      </w:r>
      <w:r w:rsidR="00003B1C">
        <w:rPr>
          <w:rFonts w:ascii="Times New Roman" w:hAnsi="Times New Roman" w:cs="Times New Roman"/>
          <w:color w:val="000000" w:themeColor="text1"/>
          <w:sz w:val="24"/>
          <w:szCs w:val="24"/>
          <w:lang w:eastAsia="en-AU"/>
        </w:rPr>
        <w:t>ies</w:t>
      </w:r>
      <w:r w:rsidRPr="00FE48DD">
        <w:rPr>
          <w:rFonts w:ascii="Times New Roman" w:hAnsi="Times New Roman" w:cs="Times New Roman"/>
          <w:color w:val="000000" w:themeColor="text1"/>
          <w:sz w:val="24"/>
          <w:szCs w:val="24"/>
          <w:lang w:eastAsia="en-AU"/>
        </w:rPr>
        <w:t xml:space="preserve"> 1D, 2 and 2D TAG database products affected by the total sugars scenario, sodium scenario and combined scenario</w:t>
      </w:r>
    </w:p>
    <w:tbl>
      <w:tblPr>
        <w:tblStyle w:val="PlainTable2"/>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6 - Summary of number of HSR Categories 1D, 2 and 2D TAG database products affected by the total sugars scenario, sodium scenario and combined scenario"/>
        <w:tblDescription w:val="Summary of number of HSR Categories 1D, 2 and 2D TAG database products affected by the total sugars scenario, sodium scenario and combined scenario"/>
      </w:tblPr>
      <w:tblGrid>
        <w:gridCol w:w="2608"/>
        <w:gridCol w:w="992"/>
        <w:gridCol w:w="1276"/>
        <w:gridCol w:w="1275"/>
        <w:gridCol w:w="1309"/>
        <w:gridCol w:w="1246"/>
        <w:gridCol w:w="1246"/>
      </w:tblGrid>
      <w:tr w:rsidR="00DF28C4" w:rsidRPr="0019172E" w:rsidTr="00D13696">
        <w:trPr>
          <w:cnfStyle w:val="100000000000" w:firstRow="1" w:lastRow="0" w:firstColumn="0" w:lastColumn="0" w:oddVBand="0" w:evenVBand="0" w:oddHBand="0" w:evenHBand="0" w:firstRowFirstColumn="0" w:firstRowLastColumn="0" w:lastRowFirstColumn="0" w:lastRowLastColumn="0"/>
          <w:trHeight w:val="340"/>
          <w:tblHeader/>
          <w:jc w:val="center"/>
        </w:trPr>
        <w:tc>
          <w:tcPr>
            <w:cnfStyle w:val="001000000000" w:firstRow="0" w:lastRow="0" w:firstColumn="1" w:lastColumn="0" w:oddVBand="0" w:evenVBand="0" w:oddHBand="0" w:evenHBand="0" w:firstRowFirstColumn="0" w:firstRowLastColumn="0" w:lastRowFirstColumn="0" w:lastRowLastColumn="0"/>
            <w:tcW w:w="2608" w:type="dxa"/>
            <w:tcBorders>
              <w:bottom w:val="none" w:sz="0" w:space="0" w:color="auto"/>
            </w:tcBorders>
            <w:shd w:val="clear" w:color="auto" w:fill="BFBFBF" w:themeFill="background1" w:themeFillShade="BF"/>
          </w:tcPr>
          <w:p w:rsidR="00DF28C4" w:rsidRPr="0019172E" w:rsidRDefault="00DF28C4" w:rsidP="00DF28C4">
            <w:pPr>
              <w:keepNext/>
              <w:keepLines/>
              <w:jc w:val="center"/>
              <w:rPr>
                <w:rFonts w:ascii="Times New Roman" w:hAnsi="Times New Roman" w:cs="Times New Roman"/>
                <w:color w:val="000000" w:themeColor="text1"/>
                <w:sz w:val="22"/>
              </w:rPr>
            </w:pPr>
            <w:r w:rsidRPr="0019172E">
              <w:rPr>
                <w:rFonts w:ascii="Times New Roman" w:hAnsi="Times New Roman" w:cs="Times New Roman"/>
                <w:color w:val="000000" w:themeColor="text1"/>
                <w:sz w:val="22"/>
              </w:rPr>
              <w:t>Scenario</w:t>
            </w:r>
          </w:p>
        </w:tc>
        <w:tc>
          <w:tcPr>
            <w:tcW w:w="992" w:type="dxa"/>
            <w:tcBorders>
              <w:bottom w:val="none" w:sz="0" w:space="0" w:color="auto"/>
            </w:tcBorders>
            <w:shd w:val="clear" w:color="auto" w:fill="BFBFBF" w:themeFill="background1" w:themeFillShade="BF"/>
          </w:tcPr>
          <w:p w:rsidR="00DF28C4" w:rsidRPr="0019172E" w:rsidRDefault="00DF28C4" w:rsidP="00DF28C4">
            <w:pPr>
              <w:keepNext/>
              <w:keepLine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19172E">
              <w:rPr>
                <w:rFonts w:ascii="Times New Roman" w:hAnsi="Times New Roman" w:cs="Times New Roman"/>
                <w:color w:val="000000" w:themeColor="text1"/>
                <w:sz w:val="20"/>
              </w:rPr>
              <w:t>Total number of products</w:t>
            </w:r>
          </w:p>
        </w:tc>
        <w:tc>
          <w:tcPr>
            <w:tcW w:w="1276" w:type="dxa"/>
            <w:tcBorders>
              <w:bottom w:val="none" w:sz="0" w:space="0" w:color="auto"/>
            </w:tcBorders>
            <w:shd w:val="clear" w:color="auto" w:fill="BFBFBF" w:themeFill="background1" w:themeFillShade="BF"/>
          </w:tcPr>
          <w:p w:rsidR="00DF28C4" w:rsidRPr="0019172E" w:rsidRDefault="00DF28C4" w:rsidP="00DF28C4">
            <w:pPr>
              <w:keepNext/>
              <w:keepLine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19172E">
              <w:rPr>
                <w:rFonts w:ascii="Times New Roman" w:hAnsi="Times New Roman" w:cs="Times New Roman"/>
                <w:color w:val="000000" w:themeColor="text1"/>
                <w:sz w:val="20"/>
              </w:rPr>
              <w:t>Number of affected products (proportion of total)</w:t>
            </w:r>
          </w:p>
          <w:p w:rsidR="00DF28C4" w:rsidRPr="0019172E" w:rsidRDefault="00DF28C4" w:rsidP="00DF28C4">
            <w:pPr>
              <w:keepNext/>
              <w:keepLine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rPr>
            </w:pPr>
          </w:p>
        </w:tc>
        <w:tc>
          <w:tcPr>
            <w:tcW w:w="1275" w:type="dxa"/>
            <w:tcBorders>
              <w:bottom w:val="none" w:sz="0" w:space="0" w:color="auto"/>
            </w:tcBorders>
            <w:shd w:val="clear" w:color="auto" w:fill="BFBFBF" w:themeFill="background1" w:themeFillShade="BF"/>
          </w:tcPr>
          <w:p w:rsidR="00DF28C4" w:rsidRPr="0019172E" w:rsidRDefault="00DF28C4" w:rsidP="00DF28C4">
            <w:pPr>
              <w:keepNext/>
              <w:keepLine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19172E">
              <w:rPr>
                <w:rFonts w:ascii="Times New Roman" w:hAnsi="Times New Roman" w:cs="Times New Roman"/>
                <w:color w:val="000000" w:themeColor="text1"/>
                <w:sz w:val="20"/>
              </w:rPr>
              <w:t>Number of affected products</w:t>
            </w:r>
          </w:p>
          <w:p w:rsidR="00DF28C4" w:rsidRPr="0019172E" w:rsidRDefault="00DF28C4" w:rsidP="00DF28C4">
            <w:pPr>
              <w:keepNext/>
              <w:keepLine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lang w:eastAsia="en-GB"/>
              </w:rPr>
            </w:pPr>
            <w:r w:rsidRPr="0019172E">
              <w:rPr>
                <w:rFonts w:ascii="Times New Roman" w:hAnsi="Times New Roman" w:cs="Times New Roman"/>
                <w:color w:val="000000" w:themeColor="text1"/>
                <w:sz w:val="20"/>
              </w:rPr>
              <w:t>(proportion of affected products)</w:t>
            </w:r>
          </w:p>
        </w:tc>
        <w:tc>
          <w:tcPr>
            <w:tcW w:w="1309" w:type="dxa"/>
            <w:tcBorders>
              <w:bottom w:val="none" w:sz="0" w:space="0" w:color="auto"/>
            </w:tcBorders>
            <w:shd w:val="clear" w:color="auto" w:fill="BFBFBF" w:themeFill="background1" w:themeFillShade="BF"/>
          </w:tcPr>
          <w:p w:rsidR="00DF28C4" w:rsidRPr="0019172E" w:rsidRDefault="00DF28C4" w:rsidP="00DF28C4">
            <w:pPr>
              <w:keepNext/>
              <w:keepLine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19172E">
              <w:rPr>
                <w:rFonts w:ascii="Times New Roman" w:eastAsia="Times New Roman" w:hAnsi="Times New Roman" w:cs="Times New Roman"/>
                <w:color w:val="000000" w:themeColor="text1"/>
                <w:sz w:val="20"/>
                <w:lang w:eastAsia="en-GB"/>
              </w:rPr>
              <w:t>Number with 0.5 star reduction (proportion of affected products)</w:t>
            </w:r>
          </w:p>
        </w:tc>
        <w:tc>
          <w:tcPr>
            <w:tcW w:w="1246" w:type="dxa"/>
            <w:tcBorders>
              <w:bottom w:val="none" w:sz="0" w:space="0" w:color="auto"/>
            </w:tcBorders>
            <w:shd w:val="clear" w:color="auto" w:fill="BFBFBF" w:themeFill="background1" w:themeFillShade="BF"/>
          </w:tcPr>
          <w:p w:rsidR="00DF28C4" w:rsidRPr="0019172E" w:rsidRDefault="00DF28C4" w:rsidP="00DF28C4">
            <w:pPr>
              <w:keepNext/>
              <w:keepLine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19172E">
              <w:rPr>
                <w:rFonts w:ascii="Times New Roman" w:eastAsia="Times New Roman" w:hAnsi="Times New Roman" w:cs="Times New Roman"/>
                <w:color w:val="000000" w:themeColor="text1"/>
                <w:sz w:val="20"/>
                <w:lang w:eastAsia="en-GB"/>
              </w:rPr>
              <w:t>Number with 1 star reduction (proportion of affected products)</w:t>
            </w:r>
          </w:p>
        </w:tc>
        <w:tc>
          <w:tcPr>
            <w:tcW w:w="1246" w:type="dxa"/>
            <w:tcBorders>
              <w:bottom w:val="none" w:sz="0" w:space="0" w:color="auto"/>
            </w:tcBorders>
            <w:shd w:val="clear" w:color="auto" w:fill="BFBFBF" w:themeFill="background1" w:themeFillShade="BF"/>
          </w:tcPr>
          <w:p w:rsidR="00DF28C4" w:rsidRPr="0019172E" w:rsidRDefault="00DF28C4" w:rsidP="00DF28C4">
            <w:pPr>
              <w:keepNext/>
              <w:keepLine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19172E">
              <w:rPr>
                <w:rFonts w:ascii="Times New Roman" w:eastAsia="Times New Roman" w:hAnsi="Times New Roman" w:cs="Times New Roman"/>
                <w:color w:val="000000" w:themeColor="text1"/>
                <w:sz w:val="20"/>
                <w:lang w:eastAsia="en-GB"/>
              </w:rPr>
              <w:t>Number with 1.5 star reduction (proportion of affected products)</w:t>
            </w:r>
          </w:p>
        </w:tc>
      </w:tr>
      <w:tr w:rsidR="00DF28C4" w:rsidRPr="0019172E" w:rsidTr="0019172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608" w:type="dxa"/>
            <w:tcBorders>
              <w:top w:val="none" w:sz="0" w:space="0" w:color="auto"/>
              <w:bottom w:val="none" w:sz="0" w:space="0" w:color="auto"/>
            </w:tcBorders>
          </w:tcPr>
          <w:p w:rsidR="00DF28C4" w:rsidRPr="0019172E" w:rsidRDefault="00DF28C4" w:rsidP="00DF28C4">
            <w:pPr>
              <w:keepNext/>
              <w:rPr>
                <w:rFonts w:ascii="Times New Roman" w:hAnsi="Times New Roman" w:cs="Times New Roman"/>
                <w:color w:val="000000" w:themeColor="text1"/>
                <w:sz w:val="22"/>
              </w:rPr>
            </w:pPr>
            <w:r w:rsidRPr="0019172E">
              <w:rPr>
                <w:rFonts w:ascii="Times New Roman" w:hAnsi="Times New Roman" w:cs="Times New Roman"/>
                <w:color w:val="000000" w:themeColor="text1"/>
                <w:sz w:val="22"/>
              </w:rPr>
              <w:t>Total Sugars Scenario</w:t>
            </w:r>
          </w:p>
        </w:tc>
        <w:tc>
          <w:tcPr>
            <w:tcW w:w="992" w:type="dxa"/>
            <w:tcBorders>
              <w:top w:val="none" w:sz="0" w:space="0" w:color="auto"/>
              <w:bottom w:val="none" w:sz="0" w:space="0" w:color="auto"/>
            </w:tcBorders>
          </w:tcPr>
          <w:p w:rsidR="00DF28C4" w:rsidRPr="0019172E" w:rsidRDefault="00DF28C4" w:rsidP="00DF28C4">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rPr>
            </w:pPr>
            <w:r w:rsidRPr="0019172E">
              <w:rPr>
                <w:rFonts w:ascii="Times New Roman" w:hAnsi="Times New Roman" w:cs="Times New Roman"/>
                <w:color w:val="000000" w:themeColor="text1"/>
                <w:sz w:val="22"/>
              </w:rPr>
              <w:t>4919</w:t>
            </w:r>
          </w:p>
        </w:tc>
        <w:tc>
          <w:tcPr>
            <w:tcW w:w="1276" w:type="dxa"/>
            <w:tcBorders>
              <w:top w:val="none" w:sz="0" w:space="0" w:color="auto"/>
              <w:bottom w:val="none" w:sz="0" w:space="0" w:color="auto"/>
            </w:tcBorders>
          </w:tcPr>
          <w:p w:rsidR="00DF28C4" w:rsidRPr="0019172E" w:rsidRDefault="00DF28C4" w:rsidP="00DF28C4">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rPr>
            </w:pPr>
            <w:r w:rsidRPr="0019172E">
              <w:rPr>
                <w:rFonts w:ascii="Times New Roman" w:hAnsi="Times New Roman" w:cs="Times New Roman"/>
                <w:color w:val="000000" w:themeColor="text1"/>
                <w:sz w:val="22"/>
              </w:rPr>
              <w:t>471 (10%)</w:t>
            </w:r>
          </w:p>
        </w:tc>
        <w:tc>
          <w:tcPr>
            <w:tcW w:w="1275" w:type="dxa"/>
            <w:tcBorders>
              <w:top w:val="none" w:sz="0" w:space="0" w:color="auto"/>
              <w:bottom w:val="none" w:sz="0" w:space="0" w:color="auto"/>
            </w:tcBorders>
          </w:tcPr>
          <w:p w:rsidR="00DF28C4" w:rsidRPr="0019172E" w:rsidRDefault="00BE1F4F" w:rsidP="00BE1F4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rPr>
            </w:pPr>
            <w:r>
              <w:rPr>
                <w:rFonts w:ascii="Times New Roman" w:hAnsi="Times New Roman" w:cs="Times New Roman"/>
                <w:color w:val="000000" w:themeColor="text1"/>
                <w:sz w:val="22"/>
              </w:rPr>
              <w:t>-</w:t>
            </w:r>
          </w:p>
        </w:tc>
        <w:tc>
          <w:tcPr>
            <w:tcW w:w="1309" w:type="dxa"/>
            <w:tcBorders>
              <w:top w:val="none" w:sz="0" w:space="0" w:color="auto"/>
              <w:bottom w:val="none" w:sz="0" w:space="0" w:color="auto"/>
            </w:tcBorders>
          </w:tcPr>
          <w:p w:rsidR="00DF28C4" w:rsidRPr="0019172E" w:rsidRDefault="00DF28C4" w:rsidP="00DF28C4">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rPr>
            </w:pPr>
            <w:r w:rsidRPr="0019172E">
              <w:rPr>
                <w:rFonts w:ascii="Times New Roman" w:hAnsi="Times New Roman" w:cs="Times New Roman"/>
                <w:color w:val="000000" w:themeColor="text1"/>
                <w:sz w:val="22"/>
              </w:rPr>
              <w:t>448 (95%)</w:t>
            </w:r>
          </w:p>
        </w:tc>
        <w:tc>
          <w:tcPr>
            <w:tcW w:w="1246" w:type="dxa"/>
            <w:tcBorders>
              <w:top w:val="none" w:sz="0" w:space="0" w:color="auto"/>
              <w:bottom w:val="none" w:sz="0" w:space="0" w:color="auto"/>
            </w:tcBorders>
          </w:tcPr>
          <w:p w:rsidR="00DF28C4" w:rsidRPr="0019172E" w:rsidRDefault="00DF28C4" w:rsidP="00DF28C4">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rPr>
            </w:pPr>
            <w:r w:rsidRPr="0019172E">
              <w:rPr>
                <w:rFonts w:ascii="Times New Roman" w:hAnsi="Times New Roman" w:cs="Times New Roman"/>
                <w:color w:val="000000" w:themeColor="text1"/>
                <w:sz w:val="22"/>
              </w:rPr>
              <w:t>23(5%)</w:t>
            </w:r>
          </w:p>
        </w:tc>
        <w:tc>
          <w:tcPr>
            <w:tcW w:w="1246" w:type="dxa"/>
            <w:tcBorders>
              <w:top w:val="none" w:sz="0" w:space="0" w:color="auto"/>
              <w:bottom w:val="none" w:sz="0" w:space="0" w:color="auto"/>
            </w:tcBorders>
          </w:tcPr>
          <w:p w:rsidR="00DF28C4" w:rsidRPr="0019172E" w:rsidRDefault="00DF28C4" w:rsidP="00BE1F4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rPr>
            </w:pPr>
            <w:r w:rsidRPr="0019172E">
              <w:rPr>
                <w:rFonts w:ascii="Times New Roman" w:hAnsi="Times New Roman" w:cs="Times New Roman"/>
                <w:color w:val="000000" w:themeColor="text1"/>
                <w:sz w:val="22"/>
              </w:rPr>
              <w:t>-</w:t>
            </w:r>
          </w:p>
        </w:tc>
      </w:tr>
      <w:tr w:rsidR="00DF28C4" w:rsidRPr="0019172E" w:rsidTr="0019172E">
        <w:trPr>
          <w:trHeight w:val="340"/>
          <w:jc w:val="center"/>
        </w:trPr>
        <w:tc>
          <w:tcPr>
            <w:cnfStyle w:val="001000000000" w:firstRow="0" w:lastRow="0" w:firstColumn="1" w:lastColumn="0" w:oddVBand="0" w:evenVBand="0" w:oddHBand="0" w:evenHBand="0" w:firstRowFirstColumn="0" w:firstRowLastColumn="0" w:lastRowFirstColumn="0" w:lastRowLastColumn="0"/>
            <w:tcW w:w="2608" w:type="dxa"/>
          </w:tcPr>
          <w:p w:rsidR="00DF28C4" w:rsidRPr="0019172E" w:rsidRDefault="00DF28C4" w:rsidP="00DF28C4">
            <w:pPr>
              <w:keepNext/>
              <w:rPr>
                <w:rFonts w:ascii="Times New Roman" w:hAnsi="Times New Roman" w:cs="Times New Roman"/>
                <w:color w:val="000000" w:themeColor="text1"/>
                <w:sz w:val="22"/>
              </w:rPr>
            </w:pPr>
            <w:r w:rsidRPr="0019172E">
              <w:rPr>
                <w:rFonts w:ascii="Times New Roman" w:hAnsi="Times New Roman" w:cs="Times New Roman"/>
                <w:color w:val="000000" w:themeColor="text1"/>
                <w:sz w:val="22"/>
              </w:rPr>
              <w:t>Sodium Scenario</w:t>
            </w:r>
          </w:p>
        </w:tc>
        <w:tc>
          <w:tcPr>
            <w:tcW w:w="992" w:type="dxa"/>
          </w:tcPr>
          <w:p w:rsidR="00DF28C4" w:rsidRPr="0019172E" w:rsidRDefault="00DF28C4" w:rsidP="00DF28C4">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rPr>
            </w:pPr>
            <w:r w:rsidRPr="0019172E">
              <w:rPr>
                <w:rFonts w:ascii="Times New Roman" w:hAnsi="Times New Roman" w:cs="Times New Roman"/>
                <w:color w:val="000000" w:themeColor="text1"/>
                <w:sz w:val="22"/>
              </w:rPr>
              <w:t>4919</w:t>
            </w:r>
          </w:p>
        </w:tc>
        <w:tc>
          <w:tcPr>
            <w:tcW w:w="1276" w:type="dxa"/>
          </w:tcPr>
          <w:p w:rsidR="00DF28C4" w:rsidRPr="0019172E" w:rsidRDefault="00DF28C4" w:rsidP="00DF28C4">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rPr>
            </w:pPr>
            <w:r w:rsidRPr="0019172E">
              <w:rPr>
                <w:rFonts w:ascii="Times New Roman" w:hAnsi="Times New Roman" w:cs="Times New Roman"/>
                <w:color w:val="000000" w:themeColor="text1"/>
                <w:sz w:val="22"/>
              </w:rPr>
              <w:t>705 (14%)</w:t>
            </w:r>
          </w:p>
        </w:tc>
        <w:tc>
          <w:tcPr>
            <w:tcW w:w="1275" w:type="dxa"/>
          </w:tcPr>
          <w:p w:rsidR="00DF28C4" w:rsidRPr="0019172E" w:rsidRDefault="00BE1F4F" w:rsidP="00BE1F4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rPr>
            </w:pPr>
            <w:r>
              <w:rPr>
                <w:rFonts w:ascii="Times New Roman" w:hAnsi="Times New Roman" w:cs="Times New Roman"/>
                <w:color w:val="000000" w:themeColor="text1"/>
                <w:sz w:val="22"/>
              </w:rPr>
              <w:t>-</w:t>
            </w:r>
          </w:p>
        </w:tc>
        <w:tc>
          <w:tcPr>
            <w:tcW w:w="1309" w:type="dxa"/>
          </w:tcPr>
          <w:p w:rsidR="00DF28C4" w:rsidRPr="0019172E" w:rsidRDefault="00DF28C4" w:rsidP="00DF28C4">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rPr>
            </w:pPr>
            <w:r w:rsidRPr="0019172E">
              <w:rPr>
                <w:rFonts w:ascii="Times New Roman" w:hAnsi="Times New Roman" w:cs="Times New Roman"/>
                <w:color w:val="000000" w:themeColor="text1"/>
                <w:sz w:val="22"/>
              </w:rPr>
              <w:t>654 (93%)</w:t>
            </w:r>
          </w:p>
        </w:tc>
        <w:tc>
          <w:tcPr>
            <w:tcW w:w="1246" w:type="dxa"/>
          </w:tcPr>
          <w:p w:rsidR="00DF28C4" w:rsidRPr="0019172E" w:rsidRDefault="00DF28C4" w:rsidP="00DF28C4">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rPr>
            </w:pPr>
            <w:r w:rsidRPr="0019172E">
              <w:rPr>
                <w:rFonts w:ascii="Times New Roman" w:hAnsi="Times New Roman" w:cs="Times New Roman"/>
                <w:color w:val="000000" w:themeColor="text1"/>
                <w:sz w:val="22"/>
              </w:rPr>
              <w:t xml:space="preserve">45 (6%) </w:t>
            </w:r>
          </w:p>
        </w:tc>
        <w:tc>
          <w:tcPr>
            <w:tcW w:w="1246" w:type="dxa"/>
          </w:tcPr>
          <w:p w:rsidR="00DF28C4" w:rsidRPr="0019172E" w:rsidRDefault="00DF28C4" w:rsidP="00DF28C4">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rPr>
            </w:pPr>
            <w:r w:rsidRPr="0019172E">
              <w:rPr>
                <w:rFonts w:ascii="Times New Roman" w:hAnsi="Times New Roman" w:cs="Times New Roman"/>
                <w:color w:val="000000" w:themeColor="text1"/>
                <w:sz w:val="22"/>
              </w:rPr>
              <w:t>6 (1%)</w:t>
            </w:r>
          </w:p>
        </w:tc>
      </w:tr>
      <w:tr w:rsidR="00DF28C4" w:rsidRPr="0019172E" w:rsidTr="0019172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608" w:type="dxa"/>
            <w:tcBorders>
              <w:top w:val="none" w:sz="0" w:space="0" w:color="auto"/>
              <w:bottom w:val="none" w:sz="0" w:space="0" w:color="auto"/>
            </w:tcBorders>
          </w:tcPr>
          <w:p w:rsidR="00DF28C4" w:rsidRPr="0019172E" w:rsidRDefault="00DF28C4" w:rsidP="00BE1F4F">
            <w:pPr>
              <w:keepNext/>
              <w:rPr>
                <w:rFonts w:ascii="Times New Roman" w:hAnsi="Times New Roman" w:cs="Times New Roman"/>
                <w:color w:val="000000" w:themeColor="text1"/>
                <w:sz w:val="22"/>
              </w:rPr>
            </w:pPr>
            <w:r w:rsidRPr="0019172E">
              <w:rPr>
                <w:rFonts w:ascii="Times New Roman" w:hAnsi="Times New Roman" w:cs="Times New Roman"/>
                <w:color w:val="000000" w:themeColor="text1"/>
                <w:sz w:val="22"/>
              </w:rPr>
              <w:t>Combined Scenario</w:t>
            </w:r>
          </w:p>
        </w:tc>
        <w:tc>
          <w:tcPr>
            <w:tcW w:w="992" w:type="dxa"/>
            <w:tcBorders>
              <w:top w:val="none" w:sz="0" w:space="0" w:color="auto"/>
              <w:bottom w:val="none" w:sz="0" w:space="0" w:color="auto"/>
            </w:tcBorders>
          </w:tcPr>
          <w:p w:rsidR="00DF28C4" w:rsidRPr="0019172E" w:rsidRDefault="00DF28C4" w:rsidP="00DF28C4">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rPr>
            </w:pPr>
            <w:r w:rsidRPr="0019172E">
              <w:rPr>
                <w:rFonts w:ascii="Times New Roman" w:hAnsi="Times New Roman" w:cs="Times New Roman"/>
                <w:color w:val="000000" w:themeColor="text1"/>
                <w:sz w:val="22"/>
              </w:rPr>
              <w:t>4919</w:t>
            </w:r>
          </w:p>
        </w:tc>
        <w:tc>
          <w:tcPr>
            <w:tcW w:w="1276" w:type="dxa"/>
            <w:tcBorders>
              <w:top w:val="none" w:sz="0" w:space="0" w:color="auto"/>
              <w:bottom w:val="none" w:sz="0" w:space="0" w:color="auto"/>
            </w:tcBorders>
          </w:tcPr>
          <w:p w:rsidR="00DF28C4" w:rsidRPr="0019172E" w:rsidRDefault="00DF28C4" w:rsidP="00BE1F4F">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rPr>
            </w:pPr>
            <w:r w:rsidRPr="0019172E">
              <w:rPr>
                <w:rFonts w:ascii="Times New Roman" w:hAnsi="Times New Roman" w:cs="Times New Roman"/>
                <w:color w:val="000000" w:themeColor="text1"/>
                <w:sz w:val="22"/>
              </w:rPr>
              <w:t>1143 (23%)</w:t>
            </w:r>
          </w:p>
        </w:tc>
        <w:tc>
          <w:tcPr>
            <w:tcW w:w="1275" w:type="dxa"/>
            <w:tcBorders>
              <w:top w:val="none" w:sz="0" w:space="0" w:color="auto"/>
              <w:bottom w:val="none" w:sz="0" w:space="0" w:color="auto"/>
            </w:tcBorders>
          </w:tcPr>
          <w:p w:rsidR="00DF28C4" w:rsidRPr="0019172E" w:rsidRDefault="00BE1F4F" w:rsidP="00BE1F4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rPr>
            </w:pPr>
            <w:r>
              <w:rPr>
                <w:rFonts w:ascii="Times New Roman" w:hAnsi="Times New Roman" w:cs="Times New Roman"/>
                <w:color w:val="000000" w:themeColor="text1"/>
                <w:sz w:val="22"/>
              </w:rPr>
              <w:t>-</w:t>
            </w:r>
          </w:p>
        </w:tc>
        <w:tc>
          <w:tcPr>
            <w:tcW w:w="1309" w:type="dxa"/>
            <w:tcBorders>
              <w:top w:val="none" w:sz="0" w:space="0" w:color="auto"/>
              <w:bottom w:val="none" w:sz="0" w:space="0" w:color="auto"/>
            </w:tcBorders>
          </w:tcPr>
          <w:p w:rsidR="00DF28C4" w:rsidRPr="0019172E" w:rsidRDefault="00DF28C4" w:rsidP="00DF28C4">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rPr>
            </w:pPr>
            <w:r w:rsidRPr="0019172E">
              <w:rPr>
                <w:rFonts w:ascii="Times New Roman" w:hAnsi="Times New Roman" w:cs="Times New Roman"/>
                <w:color w:val="000000" w:themeColor="text1"/>
                <w:sz w:val="22"/>
              </w:rPr>
              <w:t>1065 (93%)</w:t>
            </w:r>
          </w:p>
        </w:tc>
        <w:tc>
          <w:tcPr>
            <w:tcW w:w="1246" w:type="dxa"/>
            <w:tcBorders>
              <w:top w:val="none" w:sz="0" w:space="0" w:color="auto"/>
              <w:bottom w:val="none" w:sz="0" w:space="0" w:color="auto"/>
            </w:tcBorders>
          </w:tcPr>
          <w:p w:rsidR="00DF28C4" w:rsidRPr="0019172E" w:rsidRDefault="00DF28C4" w:rsidP="00DF28C4">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rPr>
            </w:pPr>
            <w:r w:rsidRPr="0019172E">
              <w:rPr>
                <w:rFonts w:ascii="Times New Roman" w:hAnsi="Times New Roman" w:cs="Times New Roman"/>
                <w:color w:val="000000" w:themeColor="text1"/>
                <w:sz w:val="22"/>
              </w:rPr>
              <w:t>71 (6%)</w:t>
            </w:r>
          </w:p>
        </w:tc>
        <w:tc>
          <w:tcPr>
            <w:tcW w:w="1246" w:type="dxa"/>
            <w:tcBorders>
              <w:top w:val="none" w:sz="0" w:space="0" w:color="auto"/>
              <w:bottom w:val="none" w:sz="0" w:space="0" w:color="auto"/>
            </w:tcBorders>
          </w:tcPr>
          <w:p w:rsidR="00DF28C4" w:rsidRPr="0019172E" w:rsidRDefault="00DF28C4" w:rsidP="00DF28C4">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rPr>
            </w:pPr>
            <w:r w:rsidRPr="0019172E">
              <w:rPr>
                <w:rFonts w:ascii="Times New Roman" w:hAnsi="Times New Roman" w:cs="Times New Roman"/>
                <w:color w:val="000000" w:themeColor="text1"/>
                <w:sz w:val="22"/>
              </w:rPr>
              <w:t>7 (1%)</w:t>
            </w:r>
          </w:p>
        </w:tc>
      </w:tr>
      <w:tr w:rsidR="00BE1F4F" w:rsidRPr="0019172E" w:rsidTr="0019172E">
        <w:trPr>
          <w:trHeight w:val="340"/>
          <w:jc w:val="center"/>
        </w:trPr>
        <w:tc>
          <w:tcPr>
            <w:cnfStyle w:val="001000000000" w:firstRow="0" w:lastRow="0" w:firstColumn="1" w:lastColumn="0" w:oddVBand="0" w:evenVBand="0" w:oddHBand="0" w:evenHBand="0" w:firstRowFirstColumn="0" w:firstRowLastColumn="0" w:lastRowFirstColumn="0" w:lastRowLastColumn="0"/>
            <w:tcW w:w="2608" w:type="dxa"/>
          </w:tcPr>
          <w:p w:rsidR="00BE1F4F" w:rsidRPr="00BE1F4F" w:rsidRDefault="00BE1F4F" w:rsidP="00BE1F4F">
            <w:pPr>
              <w:keepNext/>
              <w:jc w:val="right"/>
              <w:rPr>
                <w:color w:val="000000" w:themeColor="text1"/>
                <w:sz w:val="20"/>
              </w:rPr>
            </w:pPr>
            <w:r w:rsidRPr="00BE1F4F">
              <w:rPr>
                <w:rFonts w:ascii="Times New Roman" w:hAnsi="Times New Roman" w:cs="Times New Roman"/>
                <w:i/>
                <w:color w:val="000000" w:themeColor="text1"/>
                <w:sz w:val="20"/>
              </w:rPr>
              <w:t>Affected by either Total Sugars or Sodium Scenario</w:t>
            </w:r>
          </w:p>
        </w:tc>
        <w:tc>
          <w:tcPr>
            <w:tcW w:w="992" w:type="dxa"/>
          </w:tcPr>
          <w:p w:rsidR="00BE1F4F" w:rsidRPr="0019172E" w:rsidRDefault="00BE1F4F" w:rsidP="00BE1F4F">
            <w:pPr>
              <w:keepNext/>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Pr>
                <w:rFonts w:ascii="Times New Roman" w:hAnsi="Times New Roman" w:cs="Times New Roman"/>
                <w:color w:val="000000" w:themeColor="text1"/>
                <w:sz w:val="22"/>
              </w:rPr>
              <w:t>-</w:t>
            </w:r>
          </w:p>
        </w:tc>
        <w:tc>
          <w:tcPr>
            <w:tcW w:w="1276" w:type="dxa"/>
          </w:tcPr>
          <w:p w:rsidR="00BE1F4F" w:rsidRPr="0019172E" w:rsidRDefault="00BE1F4F" w:rsidP="00BE1F4F">
            <w:pPr>
              <w:keepNext/>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Pr>
                <w:rFonts w:ascii="Times New Roman" w:hAnsi="Times New Roman" w:cs="Times New Roman"/>
                <w:color w:val="000000" w:themeColor="text1"/>
                <w:sz w:val="22"/>
              </w:rPr>
              <w:t>-</w:t>
            </w:r>
          </w:p>
        </w:tc>
        <w:tc>
          <w:tcPr>
            <w:tcW w:w="1275" w:type="dxa"/>
          </w:tcPr>
          <w:p w:rsidR="00BE1F4F" w:rsidRPr="0019172E" w:rsidRDefault="00BE1F4F" w:rsidP="00BE1F4F">
            <w:pPr>
              <w:keepNext/>
              <w:ind w:right="233"/>
              <w:jc w:val="right"/>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19172E">
              <w:rPr>
                <w:rFonts w:ascii="Times New Roman" w:hAnsi="Times New Roman" w:cs="Times New Roman"/>
                <w:i/>
                <w:color w:val="000000" w:themeColor="text1"/>
                <w:sz w:val="22"/>
              </w:rPr>
              <w:t>959</w:t>
            </w:r>
            <w:r>
              <w:rPr>
                <w:rFonts w:ascii="Times New Roman" w:hAnsi="Times New Roman" w:cs="Times New Roman"/>
                <w:i/>
                <w:color w:val="000000" w:themeColor="text1"/>
                <w:sz w:val="22"/>
              </w:rPr>
              <w:t xml:space="preserve"> </w:t>
            </w:r>
            <w:r w:rsidRPr="0019172E">
              <w:rPr>
                <w:rFonts w:ascii="Times New Roman" w:hAnsi="Times New Roman" w:cs="Times New Roman"/>
                <w:i/>
                <w:color w:val="000000" w:themeColor="text1"/>
                <w:sz w:val="22"/>
              </w:rPr>
              <w:t>(83%)</w:t>
            </w:r>
          </w:p>
        </w:tc>
        <w:tc>
          <w:tcPr>
            <w:tcW w:w="1309" w:type="dxa"/>
          </w:tcPr>
          <w:p w:rsidR="00BE1F4F" w:rsidRPr="0019172E" w:rsidRDefault="00BE1F4F" w:rsidP="00BE1F4F">
            <w:pPr>
              <w:keepNext/>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Pr>
                <w:rFonts w:ascii="Times New Roman" w:hAnsi="Times New Roman" w:cs="Times New Roman"/>
                <w:color w:val="000000" w:themeColor="text1"/>
                <w:sz w:val="22"/>
              </w:rPr>
              <w:t>-</w:t>
            </w:r>
          </w:p>
        </w:tc>
        <w:tc>
          <w:tcPr>
            <w:tcW w:w="1246" w:type="dxa"/>
          </w:tcPr>
          <w:p w:rsidR="00BE1F4F" w:rsidRPr="0019172E" w:rsidRDefault="00BE1F4F" w:rsidP="00BE1F4F">
            <w:pPr>
              <w:keepNext/>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Pr>
                <w:rFonts w:ascii="Times New Roman" w:hAnsi="Times New Roman" w:cs="Times New Roman"/>
                <w:color w:val="000000" w:themeColor="text1"/>
                <w:sz w:val="22"/>
              </w:rPr>
              <w:t>-</w:t>
            </w:r>
          </w:p>
        </w:tc>
        <w:tc>
          <w:tcPr>
            <w:tcW w:w="1246" w:type="dxa"/>
          </w:tcPr>
          <w:p w:rsidR="00BE1F4F" w:rsidRPr="0019172E" w:rsidRDefault="00BE1F4F" w:rsidP="00BE1F4F">
            <w:pPr>
              <w:keepNext/>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Pr>
                <w:rFonts w:ascii="Times New Roman" w:hAnsi="Times New Roman" w:cs="Times New Roman"/>
                <w:color w:val="000000" w:themeColor="text1"/>
                <w:sz w:val="22"/>
              </w:rPr>
              <w:t>-</w:t>
            </w:r>
          </w:p>
        </w:tc>
      </w:tr>
      <w:tr w:rsidR="00BE1F4F" w:rsidRPr="0019172E" w:rsidTr="0019172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608" w:type="dxa"/>
          </w:tcPr>
          <w:p w:rsidR="00BE1F4F" w:rsidRPr="00BE1F4F" w:rsidRDefault="00BE1F4F" w:rsidP="00BE1F4F">
            <w:pPr>
              <w:keepNext/>
              <w:jc w:val="right"/>
              <w:rPr>
                <w:color w:val="000000" w:themeColor="text1"/>
                <w:sz w:val="20"/>
              </w:rPr>
            </w:pPr>
            <w:r w:rsidRPr="00BE1F4F">
              <w:rPr>
                <w:rFonts w:ascii="Times New Roman" w:hAnsi="Times New Roman" w:cs="Times New Roman"/>
                <w:i/>
                <w:color w:val="000000" w:themeColor="text1"/>
                <w:sz w:val="20"/>
              </w:rPr>
              <w:t>Affected by both Total Sugars and Sodium Scenario</w:t>
            </w:r>
          </w:p>
        </w:tc>
        <w:tc>
          <w:tcPr>
            <w:tcW w:w="992" w:type="dxa"/>
          </w:tcPr>
          <w:p w:rsidR="00BE1F4F" w:rsidRPr="0019172E" w:rsidRDefault="00BE1F4F" w:rsidP="00BE1F4F">
            <w:pPr>
              <w:keepNext/>
              <w:jc w:val="center"/>
              <w:cnfStyle w:val="000000100000" w:firstRow="0" w:lastRow="0" w:firstColumn="0" w:lastColumn="0" w:oddVBand="0" w:evenVBand="0" w:oddHBand="1" w:evenHBand="0" w:firstRowFirstColumn="0" w:firstRowLastColumn="0" w:lastRowFirstColumn="0" w:lastRowLastColumn="0"/>
              <w:rPr>
                <w:color w:val="000000" w:themeColor="text1"/>
                <w:sz w:val="22"/>
              </w:rPr>
            </w:pPr>
            <w:r>
              <w:rPr>
                <w:rFonts w:ascii="Times New Roman" w:hAnsi="Times New Roman" w:cs="Times New Roman"/>
                <w:color w:val="000000" w:themeColor="text1"/>
                <w:sz w:val="22"/>
              </w:rPr>
              <w:t>-</w:t>
            </w:r>
          </w:p>
        </w:tc>
        <w:tc>
          <w:tcPr>
            <w:tcW w:w="1276" w:type="dxa"/>
          </w:tcPr>
          <w:p w:rsidR="00BE1F4F" w:rsidRPr="0019172E" w:rsidRDefault="00BE1F4F" w:rsidP="00BE1F4F">
            <w:pPr>
              <w:keepNext/>
              <w:jc w:val="center"/>
              <w:cnfStyle w:val="000000100000" w:firstRow="0" w:lastRow="0" w:firstColumn="0" w:lastColumn="0" w:oddVBand="0" w:evenVBand="0" w:oddHBand="1" w:evenHBand="0" w:firstRowFirstColumn="0" w:firstRowLastColumn="0" w:lastRowFirstColumn="0" w:lastRowLastColumn="0"/>
              <w:rPr>
                <w:color w:val="000000" w:themeColor="text1"/>
                <w:sz w:val="22"/>
              </w:rPr>
            </w:pPr>
            <w:r>
              <w:rPr>
                <w:rFonts w:ascii="Times New Roman" w:hAnsi="Times New Roman" w:cs="Times New Roman"/>
                <w:color w:val="000000" w:themeColor="text1"/>
                <w:sz w:val="22"/>
              </w:rPr>
              <w:t>-</w:t>
            </w:r>
          </w:p>
        </w:tc>
        <w:tc>
          <w:tcPr>
            <w:tcW w:w="1275" w:type="dxa"/>
          </w:tcPr>
          <w:p w:rsidR="00BE1F4F" w:rsidRPr="0019172E" w:rsidRDefault="00BE1F4F" w:rsidP="00BE1F4F">
            <w:pPr>
              <w:keepNext/>
              <w:ind w:right="233"/>
              <w:jc w:val="right"/>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19172E">
              <w:rPr>
                <w:rFonts w:ascii="Times New Roman" w:hAnsi="Times New Roman" w:cs="Times New Roman"/>
                <w:i/>
                <w:color w:val="000000" w:themeColor="text1"/>
                <w:sz w:val="22"/>
              </w:rPr>
              <w:t>116 (10%)</w:t>
            </w:r>
          </w:p>
        </w:tc>
        <w:tc>
          <w:tcPr>
            <w:tcW w:w="1309" w:type="dxa"/>
          </w:tcPr>
          <w:p w:rsidR="00BE1F4F" w:rsidRPr="0019172E" w:rsidRDefault="00BE1F4F" w:rsidP="00BE1F4F">
            <w:pPr>
              <w:keepNext/>
              <w:jc w:val="center"/>
              <w:cnfStyle w:val="000000100000" w:firstRow="0" w:lastRow="0" w:firstColumn="0" w:lastColumn="0" w:oddVBand="0" w:evenVBand="0" w:oddHBand="1" w:evenHBand="0" w:firstRowFirstColumn="0" w:firstRowLastColumn="0" w:lastRowFirstColumn="0" w:lastRowLastColumn="0"/>
              <w:rPr>
                <w:color w:val="000000" w:themeColor="text1"/>
                <w:sz w:val="22"/>
              </w:rPr>
            </w:pPr>
            <w:r>
              <w:rPr>
                <w:rFonts w:ascii="Times New Roman" w:hAnsi="Times New Roman" w:cs="Times New Roman"/>
                <w:color w:val="000000" w:themeColor="text1"/>
                <w:sz w:val="22"/>
              </w:rPr>
              <w:t>-</w:t>
            </w:r>
          </w:p>
        </w:tc>
        <w:tc>
          <w:tcPr>
            <w:tcW w:w="1246" w:type="dxa"/>
          </w:tcPr>
          <w:p w:rsidR="00BE1F4F" w:rsidRPr="0019172E" w:rsidRDefault="00BE1F4F" w:rsidP="00BE1F4F">
            <w:pPr>
              <w:keepNext/>
              <w:jc w:val="center"/>
              <w:cnfStyle w:val="000000100000" w:firstRow="0" w:lastRow="0" w:firstColumn="0" w:lastColumn="0" w:oddVBand="0" w:evenVBand="0" w:oddHBand="1" w:evenHBand="0" w:firstRowFirstColumn="0" w:firstRowLastColumn="0" w:lastRowFirstColumn="0" w:lastRowLastColumn="0"/>
              <w:rPr>
                <w:color w:val="000000" w:themeColor="text1"/>
                <w:sz w:val="22"/>
              </w:rPr>
            </w:pPr>
            <w:r>
              <w:rPr>
                <w:rFonts w:ascii="Times New Roman" w:hAnsi="Times New Roman" w:cs="Times New Roman"/>
                <w:color w:val="000000" w:themeColor="text1"/>
                <w:sz w:val="22"/>
              </w:rPr>
              <w:t>-</w:t>
            </w:r>
          </w:p>
        </w:tc>
        <w:tc>
          <w:tcPr>
            <w:tcW w:w="1246" w:type="dxa"/>
          </w:tcPr>
          <w:p w:rsidR="00BE1F4F" w:rsidRPr="0019172E" w:rsidRDefault="00BE1F4F" w:rsidP="00BE1F4F">
            <w:pPr>
              <w:keepNext/>
              <w:jc w:val="center"/>
              <w:cnfStyle w:val="000000100000" w:firstRow="0" w:lastRow="0" w:firstColumn="0" w:lastColumn="0" w:oddVBand="0" w:evenVBand="0" w:oddHBand="1" w:evenHBand="0" w:firstRowFirstColumn="0" w:firstRowLastColumn="0" w:lastRowFirstColumn="0" w:lastRowLastColumn="0"/>
              <w:rPr>
                <w:color w:val="000000" w:themeColor="text1"/>
                <w:sz w:val="22"/>
              </w:rPr>
            </w:pPr>
            <w:r>
              <w:rPr>
                <w:rFonts w:ascii="Times New Roman" w:hAnsi="Times New Roman" w:cs="Times New Roman"/>
                <w:color w:val="000000" w:themeColor="text1"/>
                <w:sz w:val="22"/>
              </w:rPr>
              <w:t>-</w:t>
            </w:r>
          </w:p>
        </w:tc>
      </w:tr>
      <w:tr w:rsidR="00BE1F4F" w:rsidRPr="0019172E" w:rsidTr="0019172E">
        <w:trPr>
          <w:trHeight w:val="340"/>
          <w:jc w:val="center"/>
        </w:trPr>
        <w:tc>
          <w:tcPr>
            <w:cnfStyle w:val="001000000000" w:firstRow="0" w:lastRow="0" w:firstColumn="1" w:lastColumn="0" w:oddVBand="0" w:evenVBand="0" w:oddHBand="0" w:evenHBand="0" w:firstRowFirstColumn="0" w:firstRowLastColumn="0" w:lastRowFirstColumn="0" w:lastRowLastColumn="0"/>
            <w:tcW w:w="2608" w:type="dxa"/>
          </w:tcPr>
          <w:p w:rsidR="00BE1F4F" w:rsidRPr="00BE1F4F" w:rsidRDefault="00BE1F4F" w:rsidP="00BE1F4F">
            <w:pPr>
              <w:keepNext/>
              <w:jc w:val="right"/>
              <w:rPr>
                <w:color w:val="000000" w:themeColor="text1"/>
                <w:sz w:val="20"/>
              </w:rPr>
            </w:pPr>
            <w:r w:rsidRPr="00BE1F4F">
              <w:rPr>
                <w:rFonts w:ascii="Times New Roman" w:hAnsi="Times New Roman" w:cs="Times New Roman"/>
                <w:i/>
                <w:color w:val="000000" w:themeColor="text1"/>
                <w:sz w:val="20"/>
              </w:rPr>
              <w:t>Affected by Combined Scenario but not Total Sugars or Sodium Scenario</w:t>
            </w:r>
          </w:p>
        </w:tc>
        <w:tc>
          <w:tcPr>
            <w:tcW w:w="992" w:type="dxa"/>
          </w:tcPr>
          <w:p w:rsidR="00BE1F4F" w:rsidRPr="0019172E" w:rsidRDefault="00BE1F4F" w:rsidP="00BE1F4F">
            <w:pPr>
              <w:keepNext/>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Pr>
                <w:rFonts w:ascii="Times New Roman" w:hAnsi="Times New Roman" w:cs="Times New Roman"/>
                <w:color w:val="000000" w:themeColor="text1"/>
                <w:sz w:val="22"/>
              </w:rPr>
              <w:t>-</w:t>
            </w:r>
          </w:p>
        </w:tc>
        <w:tc>
          <w:tcPr>
            <w:tcW w:w="1276" w:type="dxa"/>
          </w:tcPr>
          <w:p w:rsidR="00BE1F4F" w:rsidRPr="0019172E" w:rsidRDefault="00BE1F4F" w:rsidP="00BE1F4F">
            <w:pPr>
              <w:keepNext/>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Pr>
                <w:rFonts w:ascii="Times New Roman" w:hAnsi="Times New Roman" w:cs="Times New Roman"/>
                <w:color w:val="000000" w:themeColor="text1"/>
                <w:sz w:val="22"/>
              </w:rPr>
              <w:t>-</w:t>
            </w:r>
          </w:p>
        </w:tc>
        <w:tc>
          <w:tcPr>
            <w:tcW w:w="1275" w:type="dxa"/>
          </w:tcPr>
          <w:p w:rsidR="00BE1F4F" w:rsidRDefault="00BE1F4F" w:rsidP="00BE1F4F">
            <w:pPr>
              <w:keepNext/>
              <w:ind w:right="233"/>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2"/>
              </w:rPr>
            </w:pPr>
            <w:r w:rsidRPr="0019172E">
              <w:rPr>
                <w:rFonts w:ascii="Times New Roman" w:hAnsi="Times New Roman" w:cs="Times New Roman"/>
                <w:i/>
                <w:color w:val="000000" w:themeColor="text1"/>
                <w:sz w:val="22"/>
              </w:rPr>
              <w:t xml:space="preserve">83 </w:t>
            </w:r>
          </w:p>
          <w:p w:rsidR="00BE1F4F" w:rsidRPr="0019172E" w:rsidRDefault="00BE1F4F" w:rsidP="00BE1F4F">
            <w:pPr>
              <w:keepNext/>
              <w:ind w:right="233"/>
              <w:jc w:val="right"/>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19172E">
              <w:rPr>
                <w:rFonts w:ascii="Times New Roman" w:hAnsi="Times New Roman" w:cs="Times New Roman"/>
                <w:i/>
                <w:color w:val="000000" w:themeColor="text1"/>
                <w:sz w:val="22"/>
              </w:rPr>
              <w:t>(7%)</w:t>
            </w:r>
          </w:p>
        </w:tc>
        <w:tc>
          <w:tcPr>
            <w:tcW w:w="1309" w:type="dxa"/>
          </w:tcPr>
          <w:p w:rsidR="00BE1F4F" w:rsidRPr="0019172E" w:rsidRDefault="00BE1F4F" w:rsidP="00BE1F4F">
            <w:pPr>
              <w:keepNext/>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Pr>
                <w:rFonts w:ascii="Times New Roman" w:hAnsi="Times New Roman" w:cs="Times New Roman"/>
                <w:color w:val="000000" w:themeColor="text1"/>
                <w:sz w:val="22"/>
              </w:rPr>
              <w:t>-</w:t>
            </w:r>
          </w:p>
        </w:tc>
        <w:tc>
          <w:tcPr>
            <w:tcW w:w="1246" w:type="dxa"/>
          </w:tcPr>
          <w:p w:rsidR="00BE1F4F" w:rsidRPr="0019172E" w:rsidRDefault="00BE1F4F" w:rsidP="00BE1F4F">
            <w:pPr>
              <w:keepNext/>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Pr>
                <w:rFonts w:ascii="Times New Roman" w:hAnsi="Times New Roman" w:cs="Times New Roman"/>
                <w:color w:val="000000" w:themeColor="text1"/>
                <w:sz w:val="22"/>
              </w:rPr>
              <w:t>-</w:t>
            </w:r>
          </w:p>
        </w:tc>
        <w:tc>
          <w:tcPr>
            <w:tcW w:w="1246" w:type="dxa"/>
          </w:tcPr>
          <w:p w:rsidR="00BE1F4F" w:rsidRPr="0019172E" w:rsidRDefault="00BE1F4F" w:rsidP="00BE1F4F">
            <w:pPr>
              <w:keepNext/>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Pr>
                <w:rFonts w:ascii="Times New Roman" w:hAnsi="Times New Roman" w:cs="Times New Roman"/>
                <w:color w:val="000000" w:themeColor="text1"/>
                <w:sz w:val="22"/>
              </w:rPr>
              <w:t>-</w:t>
            </w:r>
          </w:p>
        </w:tc>
      </w:tr>
    </w:tbl>
    <w:p w:rsidR="00EF0130" w:rsidRDefault="00EF0130" w:rsidP="00EF0130">
      <w:pPr>
        <w:pStyle w:val="Caption"/>
        <w:keepNext/>
        <w:keepLines/>
        <w:spacing w:after="120"/>
        <w:ind w:left="1128" w:hanging="1128"/>
        <w:rPr>
          <w:rFonts w:ascii="Times New Roman" w:hAnsi="Times New Roman" w:cs="Times New Roman"/>
          <w:color w:val="000000" w:themeColor="text1"/>
          <w:sz w:val="24"/>
          <w:szCs w:val="24"/>
          <w:lang w:eastAsia="en-AU"/>
        </w:rPr>
      </w:pPr>
    </w:p>
    <w:p w:rsidR="00DF28C4" w:rsidRDefault="00EF0130" w:rsidP="00EF0130">
      <w:pPr>
        <w:pStyle w:val="Caption"/>
        <w:keepNext/>
        <w:keepLines/>
        <w:spacing w:after="120"/>
        <w:ind w:left="1128" w:hanging="1128"/>
        <w:rPr>
          <w:rFonts w:ascii="Times New Roman" w:hAnsi="Times New Roman" w:cs="Times New Roman"/>
          <w:color w:val="000000" w:themeColor="text1"/>
          <w:sz w:val="24"/>
          <w:szCs w:val="24"/>
          <w:lang w:eastAsia="en-AU"/>
        </w:rPr>
      </w:pPr>
      <w:r w:rsidRPr="00FE48DD">
        <w:rPr>
          <w:rFonts w:ascii="Times New Roman" w:hAnsi="Times New Roman" w:cs="Times New Roman"/>
          <w:color w:val="000000" w:themeColor="text1"/>
          <w:sz w:val="24"/>
          <w:szCs w:val="24"/>
          <w:lang w:eastAsia="en-AU"/>
        </w:rPr>
        <w:t>Table 7</w:t>
      </w:r>
      <w:r w:rsidRPr="00FE48DD">
        <w:rPr>
          <w:rFonts w:ascii="Times New Roman" w:hAnsi="Times New Roman" w:cs="Times New Roman"/>
          <w:color w:val="000000" w:themeColor="text1"/>
          <w:sz w:val="24"/>
          <w:szCs w:val="24"/>
        </w:rPr>
        <w:t xml:space="preserve"> </w:t>
      </w:r>
      <w:r w:rsidRPr="00FE48DD">
        <w:rPr>
          <w:rFonts w:ascii="Times New Roman" w:hAnsi="Times New Roman" w:cs="Times New Roman"/>
          <w:color w:val="000000" w:themeColor="text1"/>
          <w:sz w:val="24"/>
          <w:szCs w:val="24"/>
        </w:rPr>
        <w:tab/>
        <w:t xml:space="preserve">Summary of FFG and discretionary TAG database products in HSR Categories 1D, 2 and 2D affected by the </w:t>
      </w:r>
      <w:r w:rsidRPr="00FE48DD">
        <w:rPr>
          <w:rFonts w:ascii="Times New Roman" w:hAnsi="Times New Roman" w:cs="Times New Roman"/>
          <w:color w:val="000000" w:themeColor="text1"/>
          <w:sz w:val="24"/>
          <w:szCs w:val="24"/>
          <w:lang w:eastAsia="en-AU"/>
        </w:rPr>
        <w:t xml:space="preserve">total sugars scenario, sodium scenario and </w:t>
      </w:r>
      <w:r>
        <w:rPr>
          <w:rFonts w:ascii="Times New Roman" w:hAnsi="Times New Roman" w:cs="Times New Roman"/>
          <w:color w:val="000000" w:themeColor="text1"/>
          <w:sz w:val="24"/>
          <w:szCs w:val="24"/>
          <w:lang w:eastAsia="en-AU"/>
        </w:rPr>
        <w:t xml:space="preserve">combined </w:t>
      </w:r>
      <w:r w:rsidRPr="00FE48DD">
        <w:rPr>
          <w:rFonts w:ascii="Times New Roman" w:hAnsi="Times New Roman" w:cs="Times New Roman"/>
          <w:color w:val="000000" w:themeColor="text1"/>
          <w:sz w:val="24"/>
          <w:szCs w:val="24"/>
          <w:lang w:eastAsia="en-AU"/>
        </w:rPr>
        <w:t>scenario</w:t>
      </w:r>
    </w:p>
    <w:tbl>
      <w:tblPr>
        <w:tblStyle w:val="TableGrid"/>
        <w:tblW w:w="10773" w:type="dxa"/>
        <w:tblInd w:w="-572" w:type="dxa"/>
        <w:tblLayout w:type="fixed"/>
        <w:tblLook w:val="04A0" w:firstRow="1" w:lastRow="0" w:firstColumn="1" w:lastColumn="0" w:noHBand="0" w:noVBand="1"/>
        <w:tblCaption w:val="Table 7 - Summary of FFG and discretionary TAG database products in HSR Categories 1D, 2 and 2D affected by the total sugars scenario, sodium scenario and combined scenario"/>
        <w:tblDescription w:val="Summary of Five Food Group and discretionary TAG database products in HSR Categories 1D, 2 and 2D affected by the total sugars scenario, sodium scenario and combined scenario"/>
      </w:tblPr>
      <w:tblGrid>
        <w:gridCol w:w="1330"/>
        <w:gridCol w:w="1349"/>
        <w:gridCol w:w="1349"/>
        <w:gridCol w:w="1349"/>
        <w:gridCol w:w="1349"/>
        <w:gridCol w:w="1349"/>
        <w:gridCol w:w="1349"/>
        <w:gridCol w:w="1349"/>
      </w:tblGrid>
      <w:tr w:rsidR="00BE1F4F" w:rsidTr="00BE1F4F">
        <w:trPr>
          <w:tblHeader/>
        </w:trPr>
        <w:tc>
          <w:tcPr>
            <w:tcW w:w="1330" w:type="dxa"/>
            <w:shd w:val="clear" w:color="auto" w:fill="BFBFBF" w:themeFill="background1" w:themeFillShade="BF"/>
            <w:vAlign w:val="center"/>
          </w:tcPr>
          <w:p w:rsidR="00BE1F4F" w:rsidRDefault="00BE1F4F" w:rsidP="00BE1F4F">
            <w:pPr>
              <w:jc w:val="center"/>
              <w:rPr>
                <w:lang w:val="en-GB"/>
              </w:rPr>
            </w:pPr>
            <w:r w:rsidRPr="00BE1F4F">
              <w:rPr>
                <w:rFonts w:ascii="Times New Roman" w:hAnsi="Times New Roman" w:cs="Times New Roman"/>
                <w:b/>
                <w:color w:val="000000" w:themeColor="text1"/>
                <w:sz w:val="18"/>
                <w:szCs w:val="22"/>
              </w:rPr>
              <w:t>Scenario</w:t>
            </w:r>
          </w:p>
        </w:tc>
        <w:tc>
          <w:tcPr>
            <w:tcW w:w="1349" w:type="dxa"/>
            <w:shd w:val="clear" w:color="auto" w:fill="BFBFBF" w:themeFill="background1" w:themeFillShade="BF"/>
            <w:vAlign w:val="center"/>
          </w:tcPr>
          <w:p w:rsidR="00BE1F4F" w:rsidRPr="00BE1F4F" w:rsidRDefault="00BE1F4F" w:rsidP="00BE1F4F">
            <w:pPr>
              <w:jc w:val="center"/>
              <w:rPr>
                <w:b/>
                <w:sz w:val="18"/>
                <w:lang w:val="en-GB"/>
              </w:rPr>
            </w:pPr>
            <w:r w:rsidRPr="00BE1F4F">
              <w:rPr>
                <w:rFonts w:ascii="Times New Roman" w:hAnsi="Times New Roman" w:cs="Times New Roman"/>
                <w:b/>
                <w:color w:val="000000" w:themeColor="text1"/>
                <w:sz w:val="18"/>
                <w:szCs w:val="22"/>
              </w:rPr>
              <w:t>Total number of products in Categories 1D, 2 and 2D</w:t>
            </w:r>
          </w:p>
        </w:tc>
        <w:tc>
          <w:tcPr>
            <w:tcW w:w="1349" w:type="dxa"/>
            <w:shd w:val="clear" w:color="auto" w:fill="BFBFBF" w:themeFill="background1" w:themeFillShade="BF"/>
            <w:vAlign w:val="center"/>
          </w:tcPr>
          <w:p w:rsidR="00BE1F4F" w:rsidRPr="00BE1F4F" w:rsidRDefault="00BE1F4F" w:rsidP="00BE1F4F">
            <w:pPr>
              <w:keepNext/>
              <w:keepLines/>
              <w:spacing w:before="40" w:after="40"/>
              <w:jc w:val="center"/>
              <w:rPr>
                <w:rFonts w:ascii="Times New Roman" w:hAnsi="Times New Roman" w:cs="Times New Roman"/>
                <w:b/>
                <w:color w:val="000000" w:themeColor="text1"/>
                <w:sz w:val="18"/>
                <w:szCs w:val="22"/>
              </w:rPr>
            </w:pPr>
            <w:r w:rsidRPr="00BE1F4F">
              <w:rPr>
                <w:rFonts w:ascii="Times New Roman" w:hAnsi="Times New Roman" w:cs="Times New Roman"/>
                <w:b/>
                <w:color w:val="000000" w:themeColor="text1"/>
                <w:sz w:val="18"/>
                <w:szCs w:val="22"/>
              </w:rPr>
              <w:t>Total number FFG</w:t>
            </w:r>
          </w:p>
          <w:p w:rsidR="00BE1F4F" w:rsidRPr="00BE1F4F" w:rsidRDefault="00BE1F4F" w:rsidP="00BE1F4F">
            <w:pPr>
              <w:jc w:val="center"/>
              <w:rPr>
                <w:b/>
                <w:sz w:val="18"/>
                <w:lang w:val="en-GB"/>
              </w:rPr>
            </w:pPr>
            <w:r w:rsidRPr="00BE1F4F">
              <w:rPr>
                <w:rFonts w:ascii="Times New Roman" w:hAnsi="Times New Roman" w:cs="Times New Roman"/>
                <w:b/>
                <w:color w:val="000000" w:themeColor="text1"/>
                <w:sz w:val="18"/>
                <w:szCs w:val="22"/>
              </w:rPr>
              <w:t>(proportion of total products)</w:t>
            </w:r>
          </w:p>
        </w:tc>
        <w:tc>
          <w:tcPr>
            <w:tcW w:w="1349" w:type="dxa"/>
            <w:shd w:val="clear" w:color="auto" w:fill="BFBFBF" w:themeFill="background1" w:themeFillShade="BF"/>
            <w:vAlign w:val="center"/>
          </w:tcPr>
          <w:p w:rsidR="00BE1F4F" w:rsidRPr="00BE1F4F" w:rsidRDefault="00BE1F4F" w:rsidP="00BE1F4F">
            <w:pPr>
              <w:jc w:val="center"/>
              <w:rPr>
                <w:b/>
                <w:sz w:val="18"/>
                <w:lang w:val="en-GB"/>
              </w:rPr>
            </w:pPr>
            <w:r w:rsidRPr="00BE1F4F">
              <w:rPr>
                <w:rFonts w:ascii="Times New Roman" w:hAnsi="Times New Roman" w:cs="Times New Roman"/>
                <w:b/>
                <w:color w:val="000000" w:themeColor="text1"/>
                <w:sz w:val="18"/>
                <w:szCs w:val="22"/>
              </w:rPr>
              <w:t>Total number Discretionary (proportion of total products)</w:t>
            </w:r>
          </w:p>
        </w:tc>
        <w:tc>
          <w:tcPr>
            <w:tcW w:w="1349" w:type="dxa"/>
            <w:shd w:val="clear" w:color="auto" w:fill="BFBFBF" w:themeFill="background1" w:themeFillShade="BF"/>
            <w:vAlign w:val="center"/>
          </w:tcPr>
          <w:p w:rsidR="00BE1F4F" w:rsidRPr="00BE1F4F" w:rsidRDefault="00BE1F4F" w:rsidP="00BE1F4F">
            <w:pPr>
              <w:keepNext/>
              <w:keepLines/>
              <w:spacing w:before="40" w:after="40"/>
              <w:jc w:val="center"/>
              <w:rPr>
                <w:rFonts w:ascii="Times New Roman" w:hAnsi="Times New Roman" w:cs="Times New Roman"/>
                <w:b/>
                <w:color w:val="000000" w:themeColor="text1"/>
                <w:sz w:val="18"/>
                <w:szCs w:val="22"/>
              </w:rPr>
            </w:pPr>
            <w:r w:rsidRPr="00BE1F4F">
              <w:rPr>
                <w:rFonts w:ascii="Times New Roman" w:hAnsi="Times New Roman" w:cs="Times New Roman"/>
                <w:b/>
                <w:color w:val="000000" w:themeColor="text1"/>
                <w:sz w:val="18"/>
                <w:szCs w:val="22"/>
              </w:rPr>
              <w:t>Number of FFG products affected</w:t>
            </w:r>
          </w:p>
          <w:p w:rsidR="00BE1F4F" w:rsidRPr="00BE1F4F" w:rsidRDefault="00BE1F4F" w:rsidP="00BE1F4F">
            <w:pPr>
              <w:jc w:val="center"/>
              <w:rPr>
                <w:b/>
                <w:sz w:val="18"/>
                <w:lang w:val="en-GB"/>
              </w:rPr>
            </w:pPr>
            <w:r w:rsidRPr="00BE1F4F">
              <w:rPr>
                <w:rFonts w:ascii="Times New Roman" w:hAnsi="Times New Roman" w:cs="Times New Roman"/>
                <w:b/>
                <w:color w:val="000000" w:themeColor="text1"/>
                <w:sz w:val="18"/>
                <w:szCs w:val="22"/>
              </w:rPr>
              <w:t>(proportion of all FFG products)</w:t>
            </w:r>
          </w:p>
        </w:tc>
        <w:tc>
          <w:tcPr>
            <w:tcW w:w="1349" w:type="dxa"/>
            <w:shd w:val="clear" w:color="auto" w:fill="BFBFBF" w:themeFill="background1" w:themeFillShade="BF"/>
            <w:vAlign w:val="center"/>
          </w:tcPr>
          <w:p w:rsidR="00BE1F4F" w:rsidRPr="00BE1F4F" w:rsidRDefault="00BE1F4F" w:rsidP="00BE1F4F">
            <w:pPr>
              <w:jc w:val="center"/>
              <w:rPr>
                <w:b/>
                <w:sz w:val="18"/>
                <w:lang w:val="en-GB"/>
              </w:rPr>
            </w:pPr>
            <w:r w:rsidRPr="00BE1F4F">
              <w:rPr>
                <w:rFonts w:ascii="Times New Roman" w:hAnsi="Times New Roman" w:cs="Times New Roman"/>
                <w:b/>
                <w:color w:val="000000" w:themeColor="text1"/>
                <w:sz w:val="18"/>
                <w:szCs w:val="22"/>
              </w:rPr>
              <w:t>Number of discretionary products affected (proportion of all discretionary products)</w:t>
            </w:r>
          </w:p>
        </w:tc>
        <w:tc>
          <w:tcPr>
            <w:tcW w:w="1349" w:type="dxa"/>
            <w:shd w:val="clear" w:color="auto" w:fill="BFBFBF" w:themeFill="background1" w:themeFillShade="BF"/>
            <w:vAlign w:val="center"/>
          </w:tcPr>
          <w:p w:rsidR="00BE1F4F" w:rsidRPr="00BE1F4F" w:rsidRDefault="00BE1F4F" w:rsidP="00BE1F4F">
            <w:pPr>
              <w:keepNext/>
              <w:keepLines/>
              <w:spacing w:before="40" w:after="40"/>
              <w:jc w:val="center"/>
              <w:rPr>
                <w:rFonts w:ascii="Times New Roman" w:hAnsi="Times New Roman" w:cs="Times New Roman"/>
                <w:b/>
                <w:color w:val="000000" w:themeColor="text1"/>
                <w:sz w:val="18"/>
                <w:szCs w:val="22"/>
              </w:rPr>
            </w:pPr>
            <w:r w:rsidRPr="00BE1F4F">
              <w:rPr>
                <w:rFonts w:ascii="Times New Roman" w:hAnsi="Times New Roman" w:cs="Times New Roman"/>
                <w:b/>
                <w:color w:val="000000" w:themeColor="text1"/>
                <w:sz w:val="18"/>
                <w:szCs w:val="22"/>
              </w:rPr>
              <w:t>Number of FFG products affected</w:t>
            </w:r>
          </w:p>
          <w:p w:rsidR="00BE1F4F" w:rsidRPr="00BE1F4F" w:rsidRDefault="00BE1F4F" w:rsidP="00BE1F4F">
            <w:pPr>
              <w:jc w:val="center"/>
              <w:rPr>
                <w:b/>
                <w:sz w:val="18"/>
                <w:lang w:val="en-GB"/>
              </w:rPr>
            </w:pPr>
            <w:r w:rsidRPr="00BE1F4F">
              <w:rPr>
                <w:rFonts w:ascii="Times New Roman" w:hAnsi="Times New Roman" w:cs="Times New Roman"/>
                <w:b/>
                <w:color w:val="000000" w:themeColor="text1"/>
                <w:sz w:val="18"/>
                <w:szCs w:val="22"/>
              </w:rPr>
              <w:t>as a proportion of total products</w:t>
            </w:r>
          </w:p>
        </w:tc>
        <w:tc>
          <w:tcPr>
            <w:tcW w:w="1349" w:type="dxa"/>
            <w:shd w:val="clear" w:color="auto" w:fill="BFBFBF" w:themeFill="background1" w:themeFillShade="BF"/>
            <w:vAlign w:val="center"/>
          </w:tcPr>
          <w:p w:rsidR="00BE1F4F" w:rsidRPr="00BE1F4F" w:rsidRDefault="00BE1F4F" w:rsidP="00BE1F4F">
            <w:pPr>
              <w:keepNext/>
              <w:keepLines/>
              <w:spacing w:before="40" w:after="40"/>
              <w:jc w:val="center"/>
              <w:rPr>
                <w:rFonts w:ascii="Times New Roman" w:hAnsi="Times New Roman" w:cs="Times New Roman"/>
                <w:b/>
                <w:color w:val="000000" w:themeColor="text1"/>
                <w:sz w:val="18"/>
                <w:szCs w:val="22"/>
              </w:rPr>
            </w:pPr>
            <w:r w:rsidRPr="00BE1F4F">
              <w:rPr>
                <w:rFonts w:ascii="Times New Roman" w:hAnsi="Times New Roman" w:cs="Times New Roman"/>
                <w:b/>
                <w:color w:val="000000" w:themeColor="text1"/>
                <w:sz w:val="18"/>
                <w:szCs w:val="22"/>
              </w:rPr>
              <w:t>Number of Discretionary products affected</w:t>
            </w:r>
          </w:p>
          <w:p w:rsidR="00BE1F4F" w:rsidRPr="00BE1F4F" w:rsidRDefault="00BE1F4F" w:rsidP="00BE1F4F">
            <w:pPr>
              <w:jc w:val="center"/>
              <w:rPr>
                <w:b/>
                <w:sz w:val="18"/>
                <w:lang w:val="en-GB"/>
              </w:rPr>
            </w:pPr>
            <w:r w:rsidRPr="00BE1F4F">
              <w:rPr>
                <w:rFonts w:ascii="Times New Roman" w:hAnsi="Times New Roman" w:cs="Times New Roman"/>
                <w:b/>
                <w:color w:val="000000" w:themeColor="text1"/>
                <w:sz w:val="18"/>
                <w:szCs w:val="22"/>
              </w:rPr>
              <w:t>as a proportion of total products</w:t>
            </w:r>
          </w:p>
        </w:tc>
      </w:tr>
      <w:tr w:rsidR="00BE1F4F" w:rsidTr="00BE1F4F">
        <w:tc>
          <w:tcPr>
            <w:tcW w:w="1330" w:type="dxa"/>
            <w:vAlign w:val="center"/>
          </w:tcPr>
          <w:p w:rsidR="00BE1F4F" w:rsidRPr="00BE1F4F" w:rsidRDefault="00BE1F4F" w:rsidP="00BE1F4F">
            <w:pPr>
              <w:rPr>
                <w:b/>
                <w:lang w:val="en-GB"/>
              </w:rPr>
            </w:pPr>
            <w:r w:rsidRPr="00BE1F4F">
              <w:rPr>
                <w:rFonts w:ascii="Times New Roman" w:hAnsi="Times New Roman" w:cs="Times New Roman"/>
                <w:b/>
                <w:color w:val="000000" w:themeColor="text1"/>
                <w:sz w:val="22"/>
                <w:szCs w:val="22"/>
              </w:rPr>
              <w:t>Total Sugars Scenario</w:t>
            </w:r>
          </w:p>
        </w:tc>
        <w:tc>
          <w:tcPr>
            <w:tcW w:w="1349" w:type="dxa"/>
            <w:vAlign w:val="center"/>
          </w:tcPr>
          <w:p w:rsidR="00BE1F4F" w:rsidRDefault="00BE1F4F" w:rsidP="00BE1F4F">
            <w:pPr>
              <w:rPr>
                <w:lang w:val="en-GB"/>
              </w:rPr>
            </w:pPr>
            <w:r w:rsidRPr="0019172E">
              <w:rPr>
                <w:rFonts w:ascii="Times New Roman" w:hAnsi="Times New Roman" w:cs="Times New Roman"/>
                <w:bCs/>
                <w:color w:val="000000" w:themeColor="text1"/>
                <w:sz w:val="22"/>
                <w:szCs w:val="22"/>
              </w:rPr>
              <w:t>4919</w:t>
            </w:r>
          </w:p>
        </w:tc>
        <w:tc>
          <w:tcPr>
            <w:tcW w:w="1349" w:type="dxa"/>
            <w:vAlign w:val="center"/>
          </w:tcPr>
          <w:p w:rsidR="00BE1F4F" w:rsidRDefault="00BE1F4F" w:rsidP="00BE1F4F">
            <w:pPr>
              <w:rPr>
                <w:lang w:val="en-GB"/>
              </w:rPr>
            </w:pPr>
            <w:r w:rsidRPr="0019172E">
              <w:rPr>
                <w:rFonts w:ascii="Times New Roman" w:hAnsi="Times New Roman" w:cs="Times New Roman"/>
                <w:bCs/>
                <w:color w:val="000000" w:themeColor="text1"/>
                <w:sz w:val="22"/>
                <w:szCs w:val="22"/>
              </w:rPr>
              <w:t>2985 (61%)</w:t>
            </w:r>
          </w:p>
        </w:tc>
        <w:tc>
          <w:tcPr>
            <w:tcW w:w="1349" w:type="dxa"/>
            <w:vAlign w:val="center"/>
          </w:tcPr>
          <w:p w:rsidR="00BE1F4F" w:rsidRDefault="00BE1F4F" w:rsidP="00BE1F4F">
            <w:pPr>
              <w:rPr>
                <w:lang w:val="en-GB"/>
              </w:rPr>
            </w:pPr>
            <w:r w:rsidRPr="0019172E">
              <w:rPr>
                <w:rFonts w:ascii="Times New Roman" w:hAnsi="Times New Roman" w:cs="Times New Roman"/>
                <w:bCs/>
                <w:color w:val="000000" w:themeColor="text1"/>
                <w:sz w:val="22"/>
                <w:szCs w:val="22"/>
              </w:rPr>
              <w:t>1934 (39%)</w:t>
            </w:r>
          </w:p>
        </w:tc>
        <w:tc>
          <w:tcPr>
            <w:tcW w:w="1349" w:type="dxa"/>
            <w:vAlign w:val="center"/>
          </w:tcPr>
          <w:p w:rsidR="00BE1F4F" w:rsidRDefault="00BE1F4F" w:rsidP="00BE1F4F">
            <w:pPr>
              <w:rPr>
                <w:lang w:val="en-GB"/>
              </w:rPr>
            </w:pPr>
            <w:r w:rsidRPr="0019172E">
              <w:rPr>
                <w:rFonts w:ascii="Times New Roman" w:hAnsi="Times New Roman" w:cs="Times New Roman"/>
                <w:color w:val="000000" w:themeColor="text1"/>
                <w:sz w:val="22"/>
                <w:szCs w:val="22"/>
              </w:rPr>
              <w:t>240 (8%)</w:t>
            </w:r>
          </w:p>
        </w:tc>
        <w:tc>
          <w:tcPr>
            <w:tcW w:w="1349" w:type="dxa"/>
            <w:vAlign w:val="center"/>
          </w:tcPr>
          <w:p w:rsidR="00BE1F4F" w:rsidRDefault="00BE1F4F" w:rsidP="00BE1F4F">
            <w:pPr>
              <w:rPr>
                <w:lang w:val="en-GB"/>
              </w:rPr>
            </w:pPr>
            <w:r w:rsidRPr="0019172E">
              <w:rPr>
                <w:rFonts w:ascii="Times New Roman" w:hAnsi="Times New Roman" w:cs="Times New Roman"/>
                <w:color w:val="000000" w:themeColor="text1"/>
                <w:sz w:val="22"/>
                <w:szCs w:val="22"/>
              </w:rPr>
              <w:t>231 (12%)</w:t>
            </w:r>
          </w:p>
        </w:tc>
        <w:tc>
          <w:tcPr>
            <w:tcW w:w="1349" w:type="dxa"/>
            <w:vAlign w:val="center"/>
          </w:tcPr>
          <w:p w:rsidR="00BE1F4F" w:rsidRDefault="00BE1F4F" w:rsidP="00BE1F4F">
            <w:pPr>
              <w:rPr>
                <w:lang w:val="en-GB"/>
              </w:rPr>
            </w:pPr>
            <w:r w:rsidRPr="0019172E">
              <w:rPr>
                <w:rFonts w:ascii="Times New Roman" w:hAnsi="Times New Roman" w:cs="Times New Roman"/>
                <w:color w:val="000000" w:themeColor="text1"/>
                <w:sz w:val="22"/>
                <w:szCs w:val="22"/>
              </w:rPr>
              <w:t>5%</w:t>
            </w:r>
          </w:p>
        </w:tc>
        <w:tc>
          <w:tcPr>
            <w:tcW w:w="1349" w:type="dxa"/>
            <w:vAlign w:val="center"/>
          </w:tcPr>
          <w:p w:rsidR="00BE1F4F" w:rsidRDefault="00BE1F4F" w:rsidP="00BE1F4F">
            <w:pPr>
              <w:rPr>
                <w:lang w:val="en-GB"/>
              </w:rPr>
            </w:pPr>
            <w:r w:rsidRPr="0019172E">
              <w:rPr>
                <w:rFonts w:ascii="Times New Roman" w:hAnsi="Times New Roman" w:cs="Times New Roman"/>
                <w:color w:val="000000" w:themeColor="text1"/>
                <w:sz w:val="22"/>
                <w:szCs w:val="22"/>
              </w:rPr>
              <w:t>5%</w:t>
            </w:r>
          </w:p>
        </w:tc>
      </w:tr>
      <w:tr w:rsidR="00BE1F4F" w:rsidTr="00BE1F4F">
        <w:tc>
          <w:tcPr>
            <w:tcW w:w="1330" w:type="dxa"/>
            <w:vAlign w:val="center"/>
          </w:tcPr>
          <w:p w:rsidR="00BE1F4F" w:rsidRPr="00BE1F4F" w:rsidRDefault="00BE1F4F" w:rsidP="00BE1F4F">
            <w:pPr>
              <w:rPr>
                <w:b/>
                <w:lang w:val="en-GB"/>
              </w:rPr>
            </w:pPr>
            <w:r w:rsidRPr="00BE1F4F">
              <w:rPr>
                <w:rFonts w:ascii="Times New Roman" w:hAnsi="Times New Roman" w:cs="Times New Roman"/>
                <w:b/>
                <w:color w:val="000000" w:themeColor="text1"/>
                <w:sz w:val="22"/>
                <w:szCs w:val="22"/>
              </w:rPr>
              <w:t>Sodium Scenario</w:t>
            </w:r>
          </w:p>
        </w:tc>
        <w:tc>
          <w:tcPr>
            <w:tcW w:w="1349" w:type="dxa"/>
            <w:vAlign w:val="center"/>
          </w:tcPr>
          <w:p w:rsidR="00BE1F4F" w:rsidRDefault="00BE1F4F" w:rsidP="00BE1F4F">
            <w:pPr>
              <w:rPr>
                <w:lang w:val="en-GB"/>
              </w:rPr>
            </w:pPr>
            <w:r w:rsidRPr="0019172E">
              <w:rPr>
                <w:rFonts w:ascii="Times New Roman" w:hAnsi="Times New Roman" w:cs="Times New Roman"/>
                <w:bCs/>
                <w:color w:val="000000" w:themeColor="text1"/>
                <w:sz w:val="22"/>
                <w:szCs w:val="22"/>
              </w:rPr>
              <w:t>4919</w:t>
            </w:r>
          </w:p>
        </w:tc>
        <w:tc>
          <w:tcPr>
            <w:tcW w:w="1349" w:type="dxa"/>
            <w:vAlign w:val="center"/>
          </w:tcPr>
          <w:p w:rsidR="00BE1F4F" w:rsidRDefault="00BE1F4F" w:rsidP="00BE1F4F">
            <w:pPr>
              <w:rPr>
                <w:lang w:val="en-GB"/>
              </w:rPr>
            </w:pPr>
            <w:r w:rsidRPr="0019172E">
              <w:rPr>
                <w:rFonts w:ascii="Times New Roman" w:hAnsi="Times New Roman" w:cs="Times New Roman"/>
                <w:bCs/>
                <w:color w:val="000000" w:themeColor="text1"/>
                <w:sz w:val="22"/>
                <w:szCs w:val="22"/>
              </w:rPr>
              <w:t>2985 (61%)</w:t>
            </w:r>
          </w:p>
        </w:tc>
        <w:tc>
          <w:tcPr>
            <w:tcW w:w="1349" w:type="dxa"/>
            <w:vAlign w:val="center"/>
          </w:tcPr>
          <w:p w:rsidR="00BE1F4F" w:rsidRDefault="00BE1F4F" w:rsidP="00BE1F4F">
            <w:pPr>
              <w:rPr>
                <w:lang w:val="en-GB"/>
              </w:rPr>
            </w:pPr>
            <w:r w:rsidRPr="0019172E">
              <w:rPr>
                <w:rFonts w:ascii="Times New Roman" w:hAnsi="Times New Roman" w:cs="Times New Roman"/>
                <w:bCs/>
                <w:color w:val="000000" w:themeColor="text1"/>
                <w:sz w:val="22"/>
                <w:szCs w:val="22"/>
              </w:rPr>
              <w:t>1934 (39%)</w:t>
            </w:r>
          </w:p>
        </w:tc>
        <w:tc>
          <w:tcPr>
            <w:tcW w:w="1349" w:type="dxa"/>
            <w:vAlign w:val="center"/>
          </w:tcPr>
          <w:p w:rsidR="00BE1F4F" w:rsidRDefault="00BE1F4F" w:rsidP="00BE1F4F">
            <w:pPr>
              <w:rPr>
                <w:lang w:val="en-GB"/>
              </w:rPr>
            </w:pPr>
            <w:r w:rsidRPr="0019172E">
              <w:rPr>
                <w:rFonts w:ascii="Times New Roman" w:hAnsi="Times New Roman" w:cs="Times New Roman"/>
                <w:color w:val="000000" w:themeColor="text1"/>
                <w:sz w:val="22"/>
                <w:szCs w:val="22"/>
              </w:rPr>
              <w:t>332 (11%)</w:t>
            </w:r>
          </w:p>
        </w:tc>
        <w:tc>
          <w:tcPr>
            <w:tcW w:w="1349" w:type="dxa"/>
            <w:vAlign w:val="center"/>
          </w:tcPr>
          <w:p w:rsidR="00BE1F4F" w:rsidRDefault="00BE1F4F" w:rsidP="00BE1F4F">
            <w:pPr>
              <w:rPr>
                <w:lang w:val="en-GB"/>
              </w:rPr>
            </w:pPr>
            <w:r w:rsidRPr="0019172E">
              <w:rPr>
                <w:rFonts w:ascii="Times New Roman" w:hAnsi="Times New Roman" w:cs="Times New Roman"/>
                <w:color w:val="000000" w:themeColor="text1"/>
                <w:sz w:val="22"/>
                <w:szCs w:val="22"/>
              </w:rPr>
              <w:t>373 (19%)</w:t>
            </w:r>
          </w:p>
        </w:tc>
        <w:tc>
          <w:tcPr>
            <w:tcW w:w="1349" w:type="dxa"/>
            <w:vAlign w:val="center"/>
          </w:tcPr>
          <w:p w:rsidR="00BE1F4F" w:rsidRDefault="00BE1F4F" w:rsidP="00BE1F4F">
            <w:pPr>
              <w:rPr>
                <w:lang w:val="en-GB"/>
              </w:rPr>
            </w:pPr>
            <w:r w:rsidRPr="0019172E">
              <w:rPr>
                <w:rFonts w:ascii="Times New Roman" w:hAnsi="Times New Roman" w:cs="Times New Roman"/>
                <w:color w:val="000000" w:themeColor="text1"/>
                <w:sz w:val="22"/>
                <w:szCs w:val="22"/>
              </w:rPr>
              <w:t>7%</w:t>
            </w:r>
          </w:p>
        </w:tc>
        <w:tc>
          <w:tcPr>
            <w:tcW w:w="1349" w:type="dxa"/>
            <w:vAlign w:val="center"/>
          </w:tcPr>
          <w:p w:rsidR="00BE1F4F" w:rsidRDefault="00BE1F4F" w:rsidP="00BE1F4F">
            <w:pPr>
              <w:rPr>
                <w:lang w:val="en-GB"/>
              </w:rPr>
            </w:pPr>
            <w:r w:rsidRPr="0019172E">
              <w:rPr>
                <w:rFonts w:ascii="Times New Roman" w:hAnsi="Times New Roman" w:cs="Times New Roman"/>
                <w:color w:val="000000" w:themeColor="text1"/>
                <w:sz w:val="22"/>
                <w:szCs w:val="22"/>
              </w:rPr>
              <w:t>8%</w:t>
            </w:r>
          </w:p>
        </w:tc>
      </w:tr>
      <w:tr w:rsidR="00BE1F4F" w:rsidTr="00BE1F4F">
        <w:tc>
          <w:tcPr>
            <w:tcW w:w="1330" w:type="dxa"/>
            <w:vAlign w:val="center"/>
          </w:tcPr>
          <w:p w:rsidR="00BE1F4F" w:rsidRPr="00BE1F4F" w:rsidRDefault="00BE1F4F" w:rsidP="00BE1F4F">
            <w:pPr>
              <w:rPr>
                <w:b/>
                <w:lang w:val="en-GB"/>
              </w:rPr>
            </w:pPr>
            <w:r w:rsidRPr="00BE1F4F">
              <w:rPr>
                <w:rFonts w:ascii="Times New Roman" w:hAnsi="Times New Roman" w:cs="Times New Roman"/>
                <w:b/>
                <w:color w:val="000000" w:themeColor="text1"/>
                <w:sz w:val="22"/>
                <w:szCs w:val="22"/>
              </w:rPr>
              <w:t>Combined Scenario</w:t>
            </w:r>
          </w:p>
        </w:tc>
        <w:tc>
          <w:tcPr>
            <w:tcW w:w="1349" w:type="dxa"/>
            <w:vAlign w:val="center"/>
          </w:tcPr>
          <w:p w:rsidR="00BE1F4F" w:rsidRDefault="00BE1F4F" w:rsidP="00BE1F4F">
            <w:pPr>
              <w:rPr>
                <w:lang w:val="en-GB"/>
              </w:rPr>
            </w:pPr>
            <w:r w:rsidRPr="0019172E">
              <w:rPr>
                <w:rFonts w:ascii="Times New Roman" w:hAnsi="Times New Roman" w:cs="Times New Roman"/>
                <w:bCs/>
                <w:color w:val="000000" w:themeColor="text1"/>
                <w:sz w:val="22"/>
                <w:szCs w:val="22"/>
              </w:rPr>
              <w:t>4919</w:t>
            </w:r>
          </w:p>
        </w:tc>
        <w:tc>
          <w:tcPr>
            <w:tcW w:w="1349" w:type="dxa"/>
            <w:vAlign w:val="center"/>
          </w:tcPr>
          <w:p w:rsidR="00BE1F4F" w:rsidRDefault="00BE1F4F" w:rsidP="00BE1F4F">
            <w:pPr>
              <w:rPr>
                <w:lang w:val="en-GB"/>
              </w:rPr>
            </w:pPr>
            <w:r w:rsidRPr="0019172E">
              <w:rPr>
                <w:rFonts w:ascii="Times New Roman" w:hAnsi="Times New Roman" w:cs="Times New Roman"/>
                <w:bCs/>
                <w:color w:val="000000" w:themeColor="text1"/>
                <w:sz w:val="22"/>
                <w:szCs w:val="22"/>
              </w:rPr>
              <w:t>2985 (61%)</w:t>
            </w:r>
          </w:p>
        </w:tc>
        <w:tc>
          <w:tcPr>
            <w:tcW w:w="1349" w:type="dxa"/>
            <w:vAlign w:val="center"/>
          </w:tcPr>
          <w:p w:rsidR="00BE1F4F" w:rsidRDefault="00BE1F4F" w:rsidP="00BE1F4F">
            <w:pPr>
              <w:rPr>
                <w:lang w:val="en-GB"/>
              </w:rPr>
            </w:pPr>
            <w:r w:rsidRPr="0019172E">
              <w:rPr>
                <w:rFonts w:ascii="Times New Roman" w:hAnsi="Times New Roman" w:cs="Times New Roman"/>
                <w:bCs/>
                <w:color w:val="000000" w:themeColor="text1"/>
                <w:sz w:val="22"/>
                <w:szCs w:val="22"/>
              </w:rPr>
              <w:t>1934 (39%)</w:t>
            </w:r>
          </w:p>
        </w:tc>
        <w:tc>
          <w:tcPr>
            <w:tcW w:w="1349" w:type="dxa"/>
            <w:vAlign w:val="center"/>
          </w:tcPr>
          <w:p w:rsidR="00BE1F4F" w:rsidRDefault="00BE1F4F" w:rsidP="00BE1F4F">
            <w:pPr>
              <w:rPr>
                <w:lang w:val="en-GB"/>
              </w:rPr>
            </w:pPr>
            <w:r w:rsidRPr="0019172E">
              <w:rPr>
                <w:rFonts w:ascii="Times New Roman" w:hAnsi="Times New Roman" w:cs="Times New Roman"/>
                <w:color w:val="000000" w:themeColor="text1"/>
                <w:sz w:val="22"/>
                <w:szCs w:val="22"/>
              </w:rPr>
              <w:t>559 (19%)</w:t>
            </w:r>
          </w:p>
        </w:tc>
        <w:tc>
          <w:tcPr>
            <w:tcW w:w="1349" w:type="dxa"/>
            <w:vAlign w:val="center"/>
          </w:tcPr>
          <w:p w:rsidR="00BE1F4F" w:rsidRDefault="00BE1F4F" w:rsidP="00BE1F4F">
            <w:pPr>
              <w:rPr>
                <w:lang w:val="en-GB"/>
              </w:rPr>
            </w:pPr>
            <w:r w:rsidRPr="0019172E">
              <w:rPr>
                <w:rFonts w:ascii="Times New Roman" w:hAnsi="Times New Roman" w:cs="Times New Roman"/>
                <w:color w:val="000000" w:themeColor="text1"/>
                <w:sz w:val="22"/>
                <w:szCs w:val="22"/>
              </w:rPr>
              <w:t>584 (30%)</w:t>
            </w:r>
          </w:p>
        </w:tc>
        <w:tc>
          <w:tcPr>
            <w:tcW w:w="1349" w:type="dxa"/>
            <w:vAlign w:val="center"/>
          </w:tcPr>
          <w:p w:rsidR="00BE1F4F" w:rsidRDefault="00BE1F4F" w:rsidP="00BE1F4F">
            <w:pPr>
              <w:rPr>
                <w:lang w:val="en-GB"/>
              </w:rPr>
            </w:pPr>
            <w:r w:rsidRPr="0019172E">
              <w:rPr>
                <w:rFonts w:ascii="Times New Roman" w:hAnsi="Times New Roman" w:cs="Times New Roman"/>
                <w:color w:val="000000" w:themeColor="text1"/>
                <w:sz w:val="22"/>
                <w:szCs w:val="22"/>
              </w:rPr>
              <w:t>11%</w:t>
            </w:r>
          </w:p>
        </w:tc>
        <w:tc>
          <w:tcPr>
            <w:tcW w:w="1349" w:type="dxa"/>
            <w:vAlign w:val="center"/>
          </w:tcPr>
          <w:p w:rsidR="00BE1F4F" w:rsidRDefault="00BE1F4F" w:rsidP="00BE1F4F">
            <w:pPr>
              <w:rPr>
                <w:lang w:val="en-GB"/>
              </w:rPr>
            </w:pPr>
            <w:r w:rsidRPr="0019172E">
              <w:rPr>
                <w:rFonts w:ascii="Times New Roman" w:hAnsi="Times New Roman" w:cs="Times New Roman"/>
                <w:color w:val="000000" w:themeColor="text1"/>
                <w:sz w:val="22"/>
                <w:szCs w:val="22"/>
              </w:rPr>
              <w:t>12%</w:t>
            </w:r>
          </w:p>
        </w:tc>
      </w:tr>
      <w:tr w:rsidR="00BE1F4F" w:rsidTr="00BE1F4F">
        <w:tc>
          <w:tcPr>
            <w:tcW w:w="1330" w:type="dxa"/>
            <w:vAlign w:val="center"/>
          </w:tcPr>
          <w:p w:rsidR="00BE1F4F" w:rsidRPr="00BE1F4F" w:rsidRDefault="00BE1F4F" w:rsidP="00BE1F4F">
            <w:pPr>
              <w:rPr>
                <w:b/>
                <w:lang w:val="en-GB"/>
              </w:rPr>
            </w:pPr>
            <w:r w:rsidRPr="00BE1F4F">
              <w:rPr>
                <w:rFonts w:ascii="Times New Roman" w:hAnsi="Times New Roman" w:cs="Times New Roman"/>
                <w:b/>
                <w:i/>
                <w:color w:val="000000" w:themeColor="text1"/>
                <w:sz w:val="22"/>
                <w:szCs w:val="22"/>
              </w:rPr>
              <w:t>Combined Scenario including Categories 3 and 3D</w:t>
            </w:r>
          </w:p>
        </w:tc>
        <w:tc>
          <w:tcPr>
            <w:tcW w:w="1349" w:type="dxa"/>
            <w:vAlign w:val="center"/>
          </w:tcPr>
          <w:p w:rsidR="00BE1F4F" w:rsidRPr="0019172E" w:rsidRDefault="00BE1F4F" w:rsidP="00BE1F4F">
            <w:pPr>
              <w:rPr>
                <w:bCs/>
                <w:color w:val="000000" w:themeColor="text1"/>
                <w:sz w:val="22"/>
                <w:szCs w:val="22"/>
              </w:rPr>
            </w:pPr>
            <w:r w:rsidRPr="0019172E">
              <w:rPr>
                <w:rFonts w:ascii="Times New Roman" w:hAnsi="Times New Roman" w:cs="Times New Roman"/>
                <w:color w:val="000000" w:themeColor="text1"/>
                <w:sz w:val="22"/>
                <w:szCs w:val="22"/>
              </w:rPr>
              <w:t>5456</w:t>
            </w:r>
          </w:p>
        </w:tc>
        <w:tc>
          <w:tcPr>
            <w:tcW w:w="1349" w:type="dxa"/>
            <w:vAlign w:val="center"/>
          </w:tcPr>
          <w:p w:rsidR="00BE1F4F" w:rsidRPr="0019172E" w:rsidRDefault="00BE1F4F" w:rsidP="00BE1F4F">
            <w:pPr>
              <w:rPr>
                <w:bCs/>
                <w:color w:val="000000" w:themeColor="text1"/>
                <w:sz w:val="22"/>
                <w:szCs w:val="22"/>
              </w:rPr>
            </w:pPr>
            <w:r w:rsidRPr="0019172E">
              <w:rPr>
                <w:rFonts w:ascii="Times New Roman" w:hAnsi="Times New Roman" w:cs="Times New Roman"/>
                <w:color w:val="000000" w:themeColor="text1"/>
                <w:sz w:val="22"/>
                <w:szCs w:val="22"/>
              </w:rPr>
              <w:t>3476 (64%)</w:t>
            </w:r>
          </w:p>
        </w:tc>
        <w:tc>
          <w:tcPr>
            <w:tcW w:w="1349" w:type="dxa"/>
            <w:vAlign w:val="center"/>
          </w:tcPr>
          <w:p w:rsidR="00BE1F4F" w:rsidRPr="0019172E" w:rsidRDefault="00BE1F4F" w:rsidP="00BE1F4F">
            <w:pPr>
              <w:rPr>
                <w:bCs/>
                <w:color w:val="000000" w:themeColor="text1"/>
                <w:sz w:val="22"/>
                <w:szCs w:val="22"/>
              </w:rPr>
            </w:pPr>
            <w:r w:rsidRPr="0019172E">
              <w:rPr>
                <w:rFonts w:ascii="Times New Roman" w:hAnsi="Times New Roman" w:cs="Times New Roman"/>
                <w:color w:val="000000" w:themeColor="text1"/>
                <w:sz w:val="22"/>
                <w:szCs w:val="22"/>
              </w:rPr>
              <w:t>1980 (35%)</w:t>
            </w:r>
          </w:p>
        </w:tc>
        <w:tc>
          <w:tcPr>
            <w:tcW w:w="1349" w:type="dxa"/>
            <w:vAlign w:val="center"/>
          </w:tcPr>
          <w:p w:rsidR="00BE1F4F" w:rsidRPr="0019172E" w:rsidRDefault="00BE1F4F" w:rsidP="00BE1F4F">
            <w:pPr>
              <w:rPr>
                <w:color w:val="000000" w:themeColor="text1"/>
                <w:sz w:val="22"/>
                <w:szCs w:val="22"/>
              </w:rPr>
            </w:pPr>
            <w:r w:rsidRPr="0019172E">
              <w:rPr>
                <w:rFonts w:ascii="Times New Roman" w:hAnsi="Times New Roman" w:cs="Times New Roman"/>
                <w:color w:val="000000" w:themeColor="text1"/>
                <w:sz w:val="22"/>
                <w:szCs w:val="22"/>
              </w:rPr>
              <w:t>915 (26%)</w:t>
            </w:r>
          </w:p>
        </w:tc>
        <w:tc>
          <w:tcPr>
            <w:tcW w:w="1349" w:type="dxa"/>
            <w:vAlign w:val="center"/>
          </w:tcPr>
          <w:p w:rsidR="00BE1F4F" w:rsidRPr="0019172E" w:rsidRDefault="00BE1F4F" w:rsidP="00BE1F4F">
            <w:pPr>
              <w:rPr>
                <w:color w:val="000000" w:themeColor="text1"/>
                <w:sz w:val="22"/>
                <w:szCs w:val="22"/>
              </w:rPr>
            </w:pPr>
            <w:r w:rsidRPr="0019172E">
              <w:rPr>
                <w:rFonts w:ascii="Times New Roman" w:hAnsi="Times New Roman" w:cs="Times New Roman"/>
                <w:color w:val="000000" w:themeColor="text1"/>
                <w:sz w:val="22"/>
                <w:szCs w:val="22"/>
              </w:rPr>
              <w:t>586 (30%)</w:t>
            </w:r>
          </w:p>
        </w:tc>
        <w:tc>
          <w:tcPr>
            <w:tcW w:w="1349" w:type="dxa"/>
            <w:vAlign w:val="center"/>
          </w:tcPr>
          <w:p w:rsidR="00BE1F4F" w:rsidRPr="0019172E" w:rsidRDefault="00BE1F4F" w:rsidP="00BE1F4F">
            <w:pPr>
              <w:rPr>
                <w:color w:val="000000" w:themeColor="text1"/>
                <w:sz w:val="22"/>
                <w:szCs w:val="22"/>
              </w:rPr>
            </w:pPr>
            <w:r w:rsidRPr="0019172E">
              <w:rPr>
                <w:rFonts w:ascii="Times New Roman" w:hAnsi="Times New Roman" w:cs="Times New Roman"/>
                <w:color w:val="000000" w:themeColor="text1"/>
                <w:sz w:val="22"/>
                <w:szCs w:val="22"/>
              </w:rPr>
              <w:t>17%</w:t>
            </w:r>
          </w:p>
        </w:tc>
        <w:tc>
          <w:tcPr>
            <w:tcW w:w="1349" w:type="dxa"/>
            <w:vAlign w:val="center"/>
          </w:tcPr>
          <w:p w:rsidR="00BE1F4F" w:rsidRPr="0019172E" w:rsidRDefault="00BE1F4F" w:rsidP="00BE1F4F">
            <w:pPr>
              <w:rPr>
                <w:color w:val="000000" w:themeColor="text1"/>
                <w:sz w:val="22"/>
                <w:szCs w:val="22"/>
              </w:rPr>
            </w:pPr>
            <w:r w:rsidRPr="0019172E">
              <w:rPr>
                <w:rFonts w:ascii="Times New Roman" w:hAnsi="Times New Roman" w:cs="Times New Roman"/>
                <w:color w:val="000000" w:themeColor="text1"/>
                <w:sz w:val="22"/>
                <w:szCs w:val="22"/>
              </w:rPr>
              <w:t>11%</w:t>
            </w:r>
          </w:p>
        </w:tc>
      </w:tr>
    </w:tbl>
    <w:p w:rsidR="00BE1F4F" w:rsidRDefault="00BE1F4F" w:rsidP="00BE1F4F">
      <w:pPr>
        <w:rPr>
          <w:lang w:val="en-GB"/>
        </w:rPr>
      </w:pPr>
    </w:p>
    <w:p w:rsidR="00DF28C4" w:rsidRPr="00FE48DD" w:rsidRDefault="00DF28C4" w:rsidP="00DF28C4">
      <w:pPr>
        <w:spacing w:after="120"/>
        <w:rPr>
          <w:color w:val="000000" w:themeColor="text1"/>
        </w:rPr>
      </w:pPr>
      <w:r w:rsidRPr="00FE48DD">
        <w:rPr>
          <w:color w:val="000000" w:themeColor="text1"/>
        </w:rPr>
        <w:t xml:space="preserve">The greatest impact on FFG products is seen in the breakfast cereals (33%) bread (23%), processed fruit (22%), nuts (21%) and yoghurt, soft cheese (20%) categories, and for discretionary foods in the dressings (54%), bakery/cake mixes (34%), sauces/condiments (33%), dips (32%), and snacks (29%) categories. </w:t>
      </w:r>
    </w:p>
    <w:p w:rsidR="00DF28C4" w:rsidRPr="00FE48DD" w:rsidRDefault="00DF28C4" w:rsidP="00DF28C4">
      <w:pPr>
        <w:spacing w:after="120"/>
        <w:rPr>
          <w:color w:val="000000" w:themeColor="text1"/>
        </w:rPr>
      </w:pPr>
      <w:r w:rsidRPr="00FE48DD">
        <w:rPr>
          <w:color w:val="000000" w:themeColor="text1"/>
          <w:lang w:eastAsia="en-GB"/>
        </w:rPr>
        <w:t xml:space="preserve">The combined scenario </w:t>
      </w:r>
      <w:r w:rsidRPr="00FE48DD">
        <w:rPr>
          <w:color w:val="000000" w:themeColor="text1"/>
        </w:rPr>
        <w:t>changes to the HSR calculator aligns more closely with the dietary guidelines, with fewer discretionary (approximately 4%) products receiving a HSR of ≥3 (Table 8). However, while the majority of FFG products in the TAG database receive a HSR of ≥3, the combined scenario also resulted in an increase in the number of FFG produ</w:t>
      </w:r>
      <w:r>
        <w:rPr>
          <w:color w:val="000000" w:themeColor="text1"/>
        </w:rPr>
        <w:t xml:space="preserve">cts receiving a HSR of &lt;3 (3%). </w:t>
      </w:r>
    </w:p>
    <w:p w:rsidR="00DF28C4" w:rsidRPr="00FE48DD" w:rsidRDefault="00DF28C4" w:rsidP="00AE71F4">
      <w:pPr>
        <w:pStyle w:val="Caption"/>
        <w:keepNext/>
        <w:keepLines/>
        <w:spacing w:before="240" w:after="120"/>
        <w:ind w:left="1128" w:hanging="1128"/>
        <w:rPr>
          <w:rFonts w:ascii="Times New Roman" w:hAnsi="Times New Roman" w:cs="Times New Roman"/>
          <w:color w:val="000000" w:themeColor="text1"/>
          <w:sz w:val="24"/>
          <w:szCs w:val="24"/>
        </w:rPr>
      </w:pPr>
      <w:r w:rsidRPr="00FE48DD">
        <w:rPr>
          <w:rFonts w:ascii="Times New Roman" w:hAnsi="Times New Roman" w:cs="Times New Roman"/>
          <w:color w:val="000000" w:themeColor="text1"/>
          <w:sz w:val="24"/>
          <w:szCs w:val="24"/>
          <w:lang w:eastAsia="en-AU"/>
        </w:rPr>
        <w:lastRenderedPageBreak/>
        <w:t>Table 8</w:t>
      </w:r>
      <w:r w:rsidRPr="00FE48DD">
        <w:rPr>
          <w:rFonts w:ascii="Times New Roman" w:hAnsi="Times New Roman" w:cs="Times New Roman"/>
          <w:color w:val="000000" w:themeColor="text1"/>
          <w:sz w:val="24"/>
          <w:szCs w:val="24"/>
        </w:rPr>
        <w:t xml:space="preserve"> </w:t>
      </w:r>
      <w:r w:rsidRPr="00FE48DD">
        <w:rPr>
          <w:rFonts w:ascii="Times New Roman" w:hAnsi="Times New Roman" w:cs="Times New Roman"/>
          <w:color w:val="000000" w:themeColor="text1"/>
          <w:sz w:val="24"/>
          <w:szCs w:val="24"/>
        </w:rPr>
        <w:tab/>
        <w:t>Summary of FFG and discretionary TAG database products in HSR Categories 1D, 2 and 2D affected by the combined stronger total sugars and sodium scenario</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7F7F7F" w:themeColor="text1" w:themeTint="80"/>
        </w:tblBorders>
        <w:tblLook w:val="04A0" w:firstRow="1" w:lastRow="0" w:firstColumn="1" w:lastColumn="0" w:noHBand="0" w:noVBand="1"/>
        <w:tblCaption w:val="Table 8 - Summary of FFG and discretionary TAG database products in HSR Categories 1D, 2 and 2D affected by the combined stronger total sugars and sodium scenario"/>
        <w:tblDescription w:val="Summary of FFG and discretionary TAG database products in HSR Categories 1D, 2 and 2D affected by the combined stronger total sugars and sodium scenario"/>
      </w:tblPr>
      <w:tblGrid>
        <w:gridCol w:w="988"/>
        <w:gridCol w:w="2126"/>
        <w:gridCol w:w="2126"/>
        <w:gridCol w:w="2126"/>
        <w:gridCol w:w="2127"/>
      </w:tblGrid>
      <w:tr w:rsidR="00DF28C4" w:rsidRPr="00AE71F4" w:rsidTr="000821E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8" w:type="dxa"/>
            <w:tcBorders>
              <w:bottom w:val="none" w:sz="0" w:space="0" w:color="auto"/>
            </w:tcBorders>
            <w:shd w:val="clear" w:color="auto" w:fill="D9D9D9" w:themeFill="background1" w:themeFillShade="D9"/>
          </w:tcPr>
          <w:p w:rsidR="00DF28C4" w:rsidRPr="00D13696" w:rsidRDefault="00DF28C4" w:rsidP="00D13696">
            <w:pPr>
              <w:keepNext/>
              <w:spacing w:before="40" w:after="40"/>
              <w:jc w:val="center"/>
              <w:rPr>
                <w:rFonts w:ascii="Times New Roman" w:eastAsia="Times New Roman" w:hAnsi="Times New Roman" w:cs="Times New Roman"/>
                <w:color w:val="000000" w:themeColor="text1"/>
                <w:sz w:val="22"/>
                <w:lang w:eastAsia="en-GB"/>
              </w:rPr>
            </w:pPr>
            <w:r w:rsidRPr="00D13696">
              <w:rPr>
                <w:rFonts w:ascii="Times New Roman" w:eastAsia="Times New Roman" w:hAnsi="Times New Roman" w:cs="Times New Roman"/>
                <w:color w:val="000000" w:themeColor="text1"/>
                <w:sz w:val="22"/>
                <w:lang w:eastAsia="en-GB"/>
              </w:rPr>
              <w:t>Health Star Rating</w:t>
            </w:r>
          </w:p>
        </w:tc>
        <w:tc>
          <w:tcPr>
            <w:tcW w:w="2126" w:type="dxa"/>
            <w:tcBorders>
              <w:bottom w:val="none" w:sz="0" w:space="0" w:color="auto"/>
            </w:tcBorders>
            <w:shd w:val="clear" w:color="auto" w:fill="D9D9D9" w:themeFill="background1" w:themeFillShade="D9"/>
          </w:tcPr>
          <w:p w:rsidR="00D13696" w:rsidRPr="00D13696" w:rsidRDefault="00D13696" w:rsidP="00D13696">
            <w:pPr>
              <w:keepNext/>
              <w:spacing w:before="4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lang w:eastAsia="en-GB"/>
              </w:rPr>
            </w:pPr>
            <w:r w:rsidRPr="00D13696">
              <w:rPr>
                <w:rFonts w:ascii="Times New Roman" w:eastAsia="Times New Roman" w:hAnsi="Times New Roman" w:cs="Times New Roman"/>
                <w:color w:val="000000" w:themeColor="text1"/>
                <w:sz w:val="22"/>
                <w:lang w:eastAsia="en-GB"/>
              </w:rPr>
              <w:t>Recommended scenario count of products</w:t>
            </w:r>
          </w:p>
          <w:p w:rsidR="00DF28C4" w:rsidRPr="00D13696" w:rsidRDefault="00DF28C4" w:rsidP="00D13696">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lang w:eastAsia="en-GB"/>
              </w:rPr>
            </w:pPr>
            <w:r w:rsidRPr="00D13696">
              <w:rPr>
                <w:rFonts w:ascii="Times New Roman" w:eastAsia="Times New Roman" w:hAnsi="Times New Roman" w:cs="Times New Roman"/>
                <w:color w:val="000000" w:themeColor="text1"/>
                <w:sz w:val="22"/>
                <w:lang w:eastAsia="en-GB"/>
              </w:rPr>
              <w:t>FFG</w:t>
            </w:r>
          </w:p>
        </w:tc>
        <w:tc>
          <w:tcPr>
            <w:tcW w:w="2126" w:type="dxa"/>
            <w:tcBorders>
              <w:bottom w:val="none" w:sz="0" w:space="0" w:color="auto"/>
            </w:tcBorders>
            <w:shd w:val="clear" w:color="auto" w:fill="D9D9D9" w:themeFill="background1" w:themeFillShade="D9"/>
          </w:tcPr>
          <w:p w:rsidR="00D13696" w:rsidRDefault="00D13696" w:rsidP="00D13696">
            <w:pPr>
              <w:keepNext/>
              <w:spacing w:before="4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lang w:eastAsia="en-GB"/>
              </w:rPr>
            </w:pPr>
            <w:r w:rsidRPr="00D13696">
              <w:rPr>
                <w:rFonts w:ascii="Times New Roman" w:eastAsia="Times New Roman" w:hAnsi="Times New Roman" w:cs="Times New Roman"/>
                <w:color w:val="000000" w:themeColor="text1"/>
                <w:sz w:val="22"/>
                <w:lang w:eastAsia="en-GB"/>
              </w:rPr>
              <w:t>Recommended scenario count of products</w:t>
            </w:r>
          </w:p>
          <w:p w:rsidR="00DF28C4" w:rsidRPr="00D13696" w:rsidRDefault="00DF28C4" w:rsidP="00D13696">
            <w:pPr>
              <w:keepNext/>
              <w:spacing w:before="4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lang w:eastAsia="en-GB"/>
              </w:rPr>
            </w:pPr>
            <w:r w:rsidRPr="00D13696">
              <w:rPr>
                <w:rFonts w:ascii="Times New Roman" w:eastAsia="Times New Roman" w:hAnsi="Times New Roman" w:cs="Times New Roman"/>
                <w:color w:val="000000" w:themeColor="text1"/>
                <w:sz w:val="22"/>
                <w:lang w:eastAsia="en-GB"/>
              </w:rPr>
              <w:t>Discretionary</w:t>
            </w:r>
          </w:p>
        </w:tc>
        <w:tc>
          <w:tcPr>
            <w:tcW w:w="2126" w:type="dxa"/>
            <w:tcBorders>
              <w:bottom w:val="none" w:sz="0" w:space="0" w:color="auto"/>
            </w:tcBorders>
            <w:shd w:val="clear" w:color="auto" w:fill="D9D9D9" w:themeFill="background1" w:themeFillShade="D9"/>
          </w:tcPr>
          <w:p w:rsidR="00D13696" w:rsidRPr="00D13696" w:rsidRDefault="00D13696" w:rsidP="00D13696">
            <w:pPr>
              <w:keepNext/>
              <w:spacing w:before="4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lang w:eastAsia="en-GB"/>
              </w:rPr>
            </w:pPr>
            <w:r w:rsidRPr="00D13696">
              <w:rPr>
                <w:rFonts w:ascii="Times New Roman" w:eastAsia="Times New Roman" w:hAnsi="Times New Roman" w:cs="Times New Roman"/>
                <w:color w:val="000000" w:themeColor="text1"/>
                <w:sz w:val="22"/>
                <w:lang w:eastAsia="en-GB"/>
              </w:rPr>
              <w:t>Combined sugars and sodium scenario count of products</w:t>
            </w:r>
          </w:p>
          <w:p w:rsidR="00DF28C4" w:rsidRPr="00D13696" w:rsidRDefault="00DF28C4" w:rsidP="00D13696">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lang w:eastAsia="en-GB"/>
              </w:rPr>
            </w:pPr>
            <w:r w:rsidRPr="00D13696">
              <w:rPr>
                <w:rFonts w:ascii="Times New Roman" w:eastAsia="Times New Roman" w:hAnsi="Times New Roman" w:cs="Times New Roman"/>
                <w:color w:val="000000" w:themeColor="text1"/>
                <w:sz w:val="22"/>
                <w:lang w:eastAsia="en-GB"/>
              </w:rPr>
              <w:t>FFG</w:t>
            </w:r>
          </w:p>
        </w:tc>
        <w:tc>
          <w:tcPr>
            <w:tcW w:w="2127" w:type="dxa"/>
            <w:tcBorders>
              <w:bottom w:val="none" w:sz="0" w:space="0" w:color="auto"/>
            </w:tcBorders>
            <w:shd w:val="clear" w:color="auto" w:fill="D9D9D9" w:themeFill="background1" w:themeFillShade="D9"/>
          </w:tcPr>
          <w:p w:rsidR="00D13696" w:rsidRDefault="00D13696" w:rsidP="00D13696">
            <w:pPr>
              <w:keepNext/>
              <w:spacing w:before="4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lang w:eastAsia="en-GB"/>
              </w:rPr>
            </w:pPr>
            <w:r w:rsidRPr="00D13696">
              <w:rPr>
                <w:rFonts w:ascii="Times New Roman" w:eastAsia="Times New Roman" w:hAnsi="Times New Roman" w:cs="Times New Roman"/>
                <w:color w:val="000000" w:themeColor="text1"/>
                <w:sz w:val="22"/>
                <w:lang w:eastAsia="en-GB"/>
              </w:rPr>
              <w:t>Combined sugars and sodium scenario count of products</w:t>
            </w:r>
          </w:p>
          <w:p w:rsidR="00DF28C4" w:rsidRPr="00D13696" w:rsidRDefault="00DF28C4" w:rsidP="00D13696">
            <w:pPr>
              <w:keepNext/>
              <w:spacing w:before="4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lang w:eastAsia="en-GB"/>
              </w:rPr>
            </w:pPr>
            <w:r w:rsidRPr="00D13696">
              <w:rPr>
                <w:rFonts w:ascii="Times New Roman" w:eastAsia="Times New Roman" w:hAnsi="Times New Roman" w:cs="Times New Roman"/>
                <w:color w:val="000000" w:themeColor="text1"/>
                <w:sz w:val="22"/>
                <w:lang w:eastAsia="en-GB"/>
              </w:rPr>
              <w:t>Discretionary</w:t>
            </w:r>
          </w:p>
        </w:tc>
      </w:tr>
      <w:tr w:rsidR="00DF28C4" w:rsidRPr="00AE71F4" w:rsidTr="00D13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DF28C4" w:rsidRPr="00AE71F4" w:rsidRDefault="00DF28C4" w:rsidP="00AE71F4">
            <w:pPr>
              <w:keepNext/>
              <w:spacing w:before="40" w:after="40"/>
              <w:rPr>
                <w:rFonts w:ascii="Times New Roman" w:eastAsia="Times New Roman" w:hAnsi="Times New Roman" w:cs="Times New Roman"/>
                <w:color w:val="000000" w:themeColor="text1"/>
                <w:sz w:val="22"/>
                <w:lang w:eastAsia="en-GB"/>
              </w:rPr>
            </w:pPr>
            <w:r w:rsidRPr="00AE71F4">
              <w:rPr>
                <w:rFonts w:ascii="Times New Roman" w:eastAsia="Times New Roman" w:hAnsi="Times New Roman" w:cs="Times New Roman"/>
                <w:color w:val="000000" w:themeColor="text1"/>
                <w:sz w:val="22"/>
                <w:lang w:eastAsia="en-GB"/>
              </w:rPr>
              <w:t>&lt;3</w:t>
            </w:r>
          </w:p>
        </w:tc>
        <w:tc>
          <w:tcPr>
            <w:tcW w:w="2126" w:type="dxa"/>
          </w:tcPr>
          <w:p w:rsidR="00DF28C4" w:rsidRPr="00AE71F4" w:rsidRDefault="00DF28C4" w:rsidP="00AE71F4">
            <w:pPr>
              <w:keepNext/>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lang w:eastAsia="en-GB"/>
              </w:rPr>
            </w:pPr>
            <w:r w:rsidRPr="00AE71F4">
              <w:rPr>
                <w:rFonts w:ascii="Times New Roman" w:eastAsia="Times New Roman" w:hAnsi="Times New Roman" w:cs="Times New Roman"/>
                <w:color w:val="000000" w:themeColor="text1"/>
                <w:sz w:val="22"/>
                <w:lang w:eastAsia="en-GB"/>
              </w:rPr>
              <w:t>256 (9%)</w:t>
            </w:r>
          </w:p>
        </w:tc>
        <w:tc>
          <w:tcPr>
            <w:tcW w:w="2126" w:type="dxa"/>
          </w:tcPr>
          <w:p w:rsidR="00DF28C4" w:rsidRPr="00AE71F4" w:rsidRDefault="00DF28C4" w:rsidP="00AE71F4">
            <w:pPr>
              <w:keepNext/>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lang w:eastAsia="en-GB"/>
              </w:rPr>
            </w:pPr>
            <w:r w:rsidRPr="00AE71F4">
              <w:rPr>
                <w:rFonts w:ascii="Times New Roman" w:eastAsia="Times New Roman" w:hAnsi="Times New Roman" w:cs="Times New Roman"/>
                <w:color w:val="000000" w:themeColor="text1"/>
                <w:sz w:val="22"/>
                <w:lang w:eastAsia="en-GB"/>
              </w:rPr>
              <w:t>1160 (60%)</w:t>
            </w:r>
          </w:p>
        </w:tc>
        <w:tc>
          <w:tcPr>
            <w:tcW w:w="2126" w:type="dxa"/>
          </w:tcPr>
          <w:p w:rsidR="00DF28C4" w:rsidRPr="00AE71F4" w:rsidRDefault="00DF28C4" w:rsidP="00AE71F4">
            <w:pPr>
              <w:keepNext/>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lang w:eastAsia="en-GB"/>
              </w:rPr>
            </w:pPr>
            <w:r w:rsidRPr="00AE71F4">
              <w:rPr>
                <w:rFonts w:ascii="Times New Roman" w:eastAsia="Times New Roman" w:hAnsi="Times New Roman" w:cs="Times New Roman"/>
                <w:color w:val="000000" w:themeColor="text1"/>
                <w:sz w:val="22"/>
                <w:lang w:eastAsia="en-GB"/>
              </w:rPr>
              <w:t>346 (12%)</w:t>
            </w:r>
          </w:p>
        </w:tc>
        <w:tc>
          <w:tcPr>
            <w:tcW w:w="2127" w:type="dxa"/>
          </w:tcPr>
          <w:p w:rsidR="00DF28C4" w:rsidRPr="00AE71F4" w:rsidRDefault="00DF28C4" w:rsidP="00AE71F4">
            <w:pPr>
              <w:keepNext/>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lang w:eastAsia="en-GB"/>
              </w:rPr>
            </w:pPr>
            <w:r w:rsidRPr="00AE71F4">
              <w:rPr>
                <w:rFonts w:ascii="Times New Roman" w:eastAsia="Times New Roman" w:hAnsi="Times New Roman" w:cs="Times New Roman"/>
                <w:color w:val="000000" w:themeColor="text1"/>
                <w:sz w:val="22"/>
                <w:lang w:eastAsia="en-GB"/>
              </w:rPr>
              <w:t>1241 (64%)</w:t>
            </w:r>
          </w:p>
        </w:tc>
      </w:tr>
      <w:tr w:rsidR="00DF28C4" w:rsidRPr="00AE71F4" w:rsidTr="00D13696">
        <w:tc>
          <w:tcPr>
            <w:cnfStyle w:val="001000000000" w:firstRow="0" w:lastRow="0" w:firstColumn="1" w:lastColumn="0" w:oddVBand="0" w:evenVBand="0" w:oddHBand="0" w:evenHBand="0" w:firstRowFirstColumn="0" w:firstRowLastColumn="0" w:lastRowFirstColumn="0" w:lastRowLastColumn="0"/>
            <w:tcW w:w="988" w:type="dxa"/>
          </w:tcPr>
          <w:p w:rsidR="00DF28C4" w:rsidRPr="00AE71F4" w:rsidRDefault="00DF28C4" w:rsidP="00AE71F4">
            <w:pPr>
              <w:keepNext/>
              <w:spacing w:before="40" w:after="40"/>
              <w:rPr>
                <w:rFonts w:ascii="Times New Roman" w:eastAsia="Times New Roman" w:hAnsi="Times New Roman" w:cs="Times New Roman"/>
                <w:color w:val="000000" w:themeColor="text1"/>
                <w:sz w:val="22"/>
                <w:lang w:eastAsia="en-GB"/>
              </w:rPr>
            </w:pPr>
            <w:r w:rsidRPr="00AE71F4">
              <w:rPr>
                <w:rFonts w:ascii="Times New Roman" w:hAnsi="Times New Roman" w:cs="Times New Roman"/>
                <w:color w:val="000000" w:themeColor="text1"/>
                <w:sz w:val="22"/>
              </w:rPr>
              <w:t>≥3</w:t>
            </w:r>
          </w:p>
        </w:tc>
        <w:tc>
          <w:tcPr>
            <w:tcW w:w="2126" w:type="dxa"/>
          </w:tcPr>
          <w:p w:rsidR="00DF28C4" w:rsidRPr="00AE71F4" w:rsidRDefault="00DF28C4" w:rsidP="00AE71F4">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lang w:eastAsia="en-GB"/>
              </w:rPr>
            </w:pPr>
            <w:r w:rsidRPr="00AE71F4">
              <w:rPr>
                <w:rFonts w:ascii="Times New Roman" w:eastAsia="Times New Roman" w:hAnsi="Times New Roman" w:cs="Times New Roman"/>
                <w:color w:val="000000" w:themeColor="text1"/>
                <w:sz w:val="22"/>
                <w:lang w:eastAsia="en-GB"/>
              </w:rPr>
              <w:t>2729 (91%)</w:t>
            </w:r>
          </w:p>
        </w:tc>
        <w:tc>
          <w:tcPr>
            <w:tcW w:w="2126" w:type="dxa"/>
          </w:tcPr>
          <w:p w:rsidR="00DF28C4" w:rsidRPr="00AE71F4" w:rsidRDefault="00DF28C4" w:rsidP="00AE71F4">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lang w:eastAsia="en-GB"/>
              </w:rPr>
            </w:pPr>
            <w:r w:rsidRPr="00AE71F4">
              <w:rPr>
                <w:rFonts w:ascii="Times New Roman" w:eastAsia="Times New Roman" w:hAnsi="Times New Roman" w:cs="Times New Roman"/>
                <w:color w:val="000000" w:themeColor="text1"/>
                <w:sz w:val="22"/>
                <w:lang w:eastAsia="en-GB"/>
              </w:rPr>
              <w:t>774 (40%)</w:t>
            </w:r>
          </w:p>
        </w:tc>
        <w:tc>
          <w:tcPr>
            <w:tcW w:w="2126" w:type="dxa"/>
          </w:tcPr>
          <w:p w:rsidR="00DF28C4" w:rsidRPr="00AE71F4" w:rsidRDefault="00DF28C4" w:rsidP="00AE71F4">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lang w:eastAsia="en-GB"/>
              </w:rPr>
            </w:pPr>
            <w:r w:rsidRPr="00AE71F4">
              <w:rPr>
                <w:rFonts w:ascii="Times New Roman" w:eastAsia="Times New Roman" w:hAnsi="Times New Roman" w:cs="Times New Roman"/>
                <w:color w:val="000000" w:themeColor="text1"/>
                <w:sz w:val="22"/>
                <w:lang w:eastAsia="en-GB"/>
              </w:rPr>
              <w:t>2639 (88%)</w:t>
            </w:r>
          </w:p>
        </w:tc>
        <w:tc>
          <w:tcPr>
            <w:tcW w:w="2127" w:type="dxa"/>
          </w:tcPr>
          <w:p w:rsidR="00DF28C4" w:rsidRPr="00AE71F4" w:rsidRDefault="00DF28C4" w:rsidP="00AE71F4">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lang w:eastAsia="en-GB"/>
              </w:rPr>
            </w:pPr>
            <w:r w:rsidRPr="00AE71F4">
              <w:rPr>
                <w:rFonts w:ascii="Times New Roman" w:eastAsia="Times New Roman" w:hAnsi="Times New Roman" w:cs="Times New Roman"/>
                <w:color w:val="000000" w:themeColor="text1"/>
                <w:sz w:val="22"/>
                <w:lang w:eastAsia="en-GB"/>
              </w:rPr>
              <w:t>693 (36%)</w:t>
            </w:r>
          </w:p>
        </w:tc>
      </w:tr>
      <w:tr w:rsidR="00DF28C4" w:rsidRPr="00AE71F4" w:rsidTr="00D13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DF28C4" w:rsidRPr="00AE71F4" w:rsidRDefault="00DF28C4" w:rsidP="00AE71F4">
            <w:pPr>
              <w:keepNext/>
              <w:spacing w:before="40" w:after="40"/>
              <w:rPr>
                <w:rFonts w:ascii="Times New Roman" w:eastAsia="Times New Roman" w:hAnsi="Times New Roman" w:cs="Times New Roman"/>
                <w:color w:val="000000" w:themeColor="text1"/>
                <w:sz w:val="22"/>
                <w:lang w:eastAsia="en-GB"/>
              </w:rPr>
            </w:pPr>
            <w:r w:rsidRPr="00AE71F4">
              <w:rPr>
                <w:rFonts w:ascii="Times New Roman" w:eastAsia="Times New Roman" w:hAnsi="Times New Roman" w:cs="Times New Roman"/>
                <w:color w:val="000000" w:themeColor="text1"/>
                <w:sz w:val="22"/>
                <w:lang w:eastAsia="en-GB"/>
              </w:rPr>
              <w:t>Total</w:t>
            </w:r>
          </w:p>
        </w:tc>
        <w:tc>
          <w:tcPr>
            <w:tcW w:w="2126" w:type="dxa"/>
          </w:tcPr>
          <w:p w:rsidR="00DF28C4" w:rsidRPr="00AE71F4" w:rsidRDefault="00DF28C4" w:rsidP="00AE71F4">
            <w:pPr>
              <w:keepNext/>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lang w:eastAsia="en-GB"/>
              </w:rPr>
            </w:pPr>
            <w:r w:rsidRPr="00AE71F4">
              <w:rPr>
                <w:rFonts w:ascii="Times New Roman" w:eastAsia="Times New Roman" w:hAnsi="Times New Roman" w:cs="Times New Roman"/>
                <w:color w:val="000000" w:themeColor="text1"/>
                <w:sz w:val="22"/>
                <w:lang w:eastAsia="en-GB"/>
              </w:rPr>
              <w:t>2985</w:t>
            </w:r>
          </w:p>
        </w:tc>
        <w:tc>
          <w:tcPr>
            <w:tcW w:w="2126" w:type="dxa"/>
          </w:tcPr>
          <w:p w:rsidR="00DF28C4" w:rsidRPr="00AE71F4" w:rsidRDefault="00DF28C4" w:rsidP="00AE71F4">
            <w:pPr>
              <w:keepNext/>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lang w:eastAsia="en-GB"/>
              </w:rPr>
            </w:pPr>
            <w:r w:rsidRPr="00AE71F4">
              <w:rPr>
                <w:rFonts w:ascii="Times New Roman" w:eastAsia="Times New Roman" w:hAnsi="Times New Roman" w:cs="Times New Roman"/>
                <w:color w:val="000000" w:themeColor="text1"/>
                <w:sz w:val="22"/>
                <w:lang w:eastAsia="en-GB"/>
              </w:rPr>
              <w:t>1934</w:t>
            </w:r>
          </w:p>
        </w:tc>
        <w:tc>
          <w:tcPr>
            <w:tcW w:w="2126" w:type="dxa"/>
          </w:tcPr>
          <w:p w:rsidR="00DF28C4" w:rsidRPr="00AE71F4" w:rsidRDefault="00DF28C4" w:rsidP="00AE71F4">
            <w:pPr>
              <w:keepNext/>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lang w:eastAsia="en-GB"/>
              </w:rPr>
            </w:pPr>
            <w:r w:rsidRPr="00AE71F4">
              <w:rPr>
                <w:rFonts w:ascii="Times New Roman" w:eastAsia="Times New Roman" w:hAnsi="Times New Roman" w:cs="Times New Roman"/>
                <w:color w:val="000000" w:themeColor="text1"/>
                <w:sz w:val="22"/>
                <w:lang w:eastAsia="en-GB"/>
              </w:rPr>
              <w:t>2985</w:t>
            </w:r>
          </w:p>
        </w:tc>
        <w:tc>
          <w:tcPr>
            <w:tcW w:w="2127" w:type="dxa"/>
          </w:tcPr>
          <w:p w:rsidR="00DF28C4" w:rsidRPr="00AE71F4" w:rsidRDefault="00DF28C4" w:rsidP="00AE71F4">
            <w:pPr>
              <w:keepNext/>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lang w:eastAsia="en-GB"/>
              </w:rPr>
            </w:pPr>
            <w:r w:rsidRPr="00AE71F4">
              <w:rPr>
                <w:rFonts w:ascii="Times New Roman" w:eastAsia="Times New Roman" w:hAnsi="Times New Roman" w:cs="Times New Roman"/>
                <w:color w:val="000000" w:themeColor="text1"/>
                <w:sz w:val="22"/>
                <w:lang w:eastAsia="en-GB"/>
              </w:rPr>
              <w:t>1934</w:t>
            </w:r>
          </w:p>
        </w:tc>
      </w:tr>
    </w:tbl>
    <w:p w:rsidR="00DF28C4" w:rsidRPr="00FE48DD" w:rsidRDefault="00DF28C4" w:rsidP="00DF28C4">
      <w:pPr>
        <w:keepNext/>
        <w:rPr>
          <w:color w:val="000000" w:themeColor="text1"/>
        </w:rPr>
      </w:pPr>
    </w:p>
    <w:p w:rsidR="003B5E95" w:rsidRDefault="00DF28C4" w:rsidP="00EF0130">
      <w:pPr>
        <w:keepNext/>
        <w:rPr>
          <w:i/>
          <w:iCs/>
        </w:rPr>
      </w:pPr>
      <w:r w:rsidRPr="00FE48DD">
        <w:rPr>
          <w:color w:val="000000" w:themeColor="text1"/>
        </w:rPr>
        <w:t xml:space="preserve">If the impact of a stronger sodium baseline points table on Category 3 and 3D products is considered in addition to the Combined scenario above, the overall impact on categories 1D, 2, 2D, 3 and 3D was a reduction in HSR for 28% of products, of which 17% are FFG and </w:t>
      </w:r>
      <w:r w:rsidR="00BB1323">
        <w:rPr>
          <w:color w:val="000000" w:themeColor="text1"/>
        </w:rPr>
        <w:t>11% are discretionary products</w:t>
      </w:r>
      <w:r w:rsidR="00EF0130">
        <w:rPr>
          <w:color w:val="000000" w:themeColor="text1"/>
        </w:rPr>
        <w:t>.</w:t>
      </w:r>
    </w:p>
    <w:sectPr w:rsidR="003B5E95" w:rsidSect="00BE1F4F">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F79" w:rsidRDefault="00072F79">
      <w:r>
        <w:separator/>
      </w:r>
    </w:p>
  </w:endnote>
  <w:endnote w:type="continuationSeparator" w:id="0">
    <w:p w:rsidR="00072F79" w:rsidRDefault="00072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2CD" w:rsidRPr="00AF1C69" w:rsidRDefault="00F412CD" w:rsidP="00BB132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F79" w:rsidRDefault="00072F79">
      <w:r>
        <w:separator/>
      </w:r>
    </w:p>
  </w:footnote>
  <w:footnote w:type="continuationSeparator" w:id="0">
    <w:p w:rsidR="00072F79" w:rsidRDefault="00072F79">
      <w:r>
        <w:continuationSeparator/>
      </w:r>
    </w:p>
  </w:footnote>
  <w:footnote w:id="1">
    <w:p w:rsidR="00F412CD" w:rsidRPr="00BB1323" w:rsidRDefault="00F412CD" w:rsidP="00BB1323">
      <w:pPr>
        <w:pStyle w:val="FootnoteText"/>
        <w:spacing w:after="80"/>
        <w:rPr>
          <w:sz w:val="18"/>
          <w:szCs w:val="18"/>
        </w:rPr>
      </w:pPr>
      <w:r w:rsidRPr="00BB1323">
        <w:rPr>
          <w:rStyle w:val="FootnoteReference"/>
          <w:sz w:val="18"/>
          <w:szCs w:val="18"/>
        </w:rPr>
        <w:footnoteRef/>
      </w:r>
      <w:r w:rsidRPr="00BB1323">
        <w:rPr>
          <w:sz w:val="18"/>
          <w:szCs w:val="18"/>
        </w:rPr>
        <w:t xml:space="preserve"> Health star ratings for foods in each of the six food categories (1, 1D, 2, 2D, 3, 3D) are calculated by summing positive HSR baseline profiler points for risk increasing nutrients (energy, saturated fat, total sugars and sodium) and negative HSR modifying profiler points for risk reducing components (protein, fruit, vegetable, nut and legume content, and fibre). The lower the final profiler points score, the higher the HSR.</w:t>
      </w:r>
    </w:p>
  </w:footnote>
  <w:footnote w:id="2">
    <w:p w:rsidR="00F412CD" w:rsidRPr="00BB1323" w:rsidRDefault="00F412CD" w:rsidP="00BB1323">
      <w:pPr>
        <w:pStyle w:val="FootnoteText"/>
        <w:spacing w:after="80"/>
        <w:rPr>
          <w:sz w:val="18"/>
          <w:szCs w:val="18"/>
        </w:rPr>
      </w:pPr>
      <w:r w:rsidRPr="00BB1323">
        <w:rPr>
          <w:rStyle w:val="FootnoteReference"/>
          <w:sz w:val="18"/>
          <w:szCs w:val="18"/>
        </w:rPr>
        <w:footnoteRef/>
      </w:r>
      <w:r w:rsidRPr="00BB1323">
        <w:rPr>
          <w:sz w:val="18"/>
          <w:szCs w:val="18"/>
        </w:rPr>
        <w:t xml:space="preserve"> Used to refer to both the Australian Five Food Groups and the New Zealand Four Food Groups, referring to the basic (or core) food groups from which people are recommended to choose the majority of their food every day.</w:t>
      </w:r>
    </w:p>
  </w:footnote>
  <w:footnote w:id="3">
    <w:p w:rsidR="00F412CD" w:rsidRPr="00BB1323" w:rsidRDefault="00F412CD" w:rsidP="00BB1323">
      <w:pPr>
        <w:pStyle w:val="FootnoteText"/>
        <w:spacing w:after="80"/>
        <w:rPr>
          <w:sz w:val="18"/>
          <w:szCs w:val="18"/>
        </w:rPr>
      </w:pPr>
      <w:r w:rsidRPr="00BB1323">
        <w:rPr>
          <w:rStyle w:val="FootnoteReference"/>
          <w:sz w:val="18"/>
          <w:szCs w:val="18"/>
        </w:rPr>
        <w:footnoteRef/>
      </w:r>
      <w:r w:rsidRPr="00BB1323">
        <w:rPr>
          <w:sz w:val="18"/>
          <w:szCs w:val="18"/>
        </w:rPr>
        <w:t xml:space="preserve"> In June 2018 the Forum agreed to limit the application of the HSR system to food products ‘as sold’, i.e. that the HSR should be calculated and displayed on the basis of the product as it appears on the shelf with the exception of products which must be rehydrated with water, diluted with water, drained of water or drained of brine.</w:t>
      </w:r>
    </w:p>
  </w:footnote>
  <w:footnote w:id="4">
    <w:p w:rsidR="00F412CD" w:rsidRPr="00ED4AA4" w:rsidRDefault="00F412CD" w:rsidP="00BB1323">
      <w:pPr>
        <w:spacing w:after="80"/>
        <w:rPr>
          <w:iCs/>
          <w:sz w:val="18"/>
          <w:szCs w:val="18"/>
        </w:rPr>
      </w:pPr>
      <w:r w:rsidRPr="00BB1323">
        <w:rPr>
          <w:rStyle w:val="FootnoteReference"/>
          <w:sz w:val="18"/>
          <w:szCs w:val="18"/>
        </w:rPr>
        <w:footnoteRef/>
      </w:r>
      <w:r w:rsidRPr="00BB1323">
        <w:rPr>
          <w:sz w:val="18"/>
          <w:szCs w:val="18"/>
        </w:rPr>
        <w:t xml:space="preserve"> </w:t>
      </w:r>
      <w:r w:rsidRPr="00BB1323">
        <w:rPr>
          <w:iCs/>
          <w:sz w:val="18"/>
          <w:szCs w:val="18"/>
        </w:rPr>
        <w:t>Note that a minor error in relation to rounding of values in the HSR calculator has been identified, the impact of which has been evaluated as negligible. Any amendments to modelling values reported in this paper as a result of correcting the error will be made prior to publication.</w:t>
      </w:r>
      <w:r w:rsidRPr="00ED4AA4">
        <w:rPr>
          <w:iCs/>
          <w:sz w:val="18"/>
          <w:szCs w:val="18"/>
        </w:rPr>
        <w:t xml:space="preserve"> </w:t>
      </w:r>
    </w:p>
  </w:footnote>
  <w:footnote w:id="5">
    <w:p w:rsidR="00F412CD" w:rsidRPr="00EF0130" w:rsidRDefault="00F412CD" w:rsidP="00EF0130">
      <w:pPr>
        <w:pStyle w:val="FootnoteText"/>
        <w:spacing w:after="120"/>
        <w:rPr>
          <w:sz w:val="18"/>
          <w:szCs w:val="16"/>
        </w:rPr>
      </w:pPr>
      <w:r w:rsidRPr="00EF0130">
        <w:rPr>
          <w:rStyle w:val="FootnoteReference"/>
          <w:sz w:val="18"/>
          <w:szCs w:val="16"/>
        </w:rPr>
        <w:footnoteRef/>
      </w:r>
      <w:r w:rsidRPr="00EF0130">
        <w:rPr>
          <w:sz w:val="18"/>
          <w:szCs w:val="16"/>
        </w:rPr>
        <w:t xml:space="preserve"> Foods in the TAG database were categorised based on the Australian Guide to Healthy Eating (AGHE) food groups, such as fats and oils, breakfast cereals, dairy beverages, fruits and vegetables. These were further grouped as ‘core’ or ‘non-core’, generally based on the proportion of FFG or discretionary foods within the category</w:t>
      </w:r>
    </w:p>
  </w:footnote>
  <w:footnote w:id="6">
    <w:p w:rsidR="00F412CD" w:rsidRPr="00803F1F" w:rsidRDefault="00F412CD" w:rsidP="00EF0130">
      <w:pPr>
        <w:pStyle w:val="FootnoteText"/>
        <w:spacing w:after="120"/>
        <w:rPr>
          <w:sz w:val="16"/>
          <w:szCs w:val="16"/>
        </w:rPr>
      </w:pPr>
      <w:r w:rsidRPr="00EF0130">
        <w:rPr>
          <w:rStyle w:val="FootnoteReference"/>
          <w:sz w:val="18"/>
          <w:szCs w:val="16"/>
        </w:rPr>
        <w:footnoteRef/>
      </w:r>
      <w:r w:rsidRPr="00EF0130">
        <w:rPr>
          <w:sz w:val="18"/>
          <w:szCs w:val="16"/>
        </w:rPr>
        <w:t xml:space="preserve"> Used in the ADGs to refer to foods and drinks not necessary to provide the nutrients the body needs, but that may add variety. However, many of these are high in saturated fats, sugars, salt and/or alcohol, and are therefore described as energy dense.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162"/>
    <w:multiLevelType w:val="hybridMultilevel"/>
    <w:tmpl w:val="085638A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32577D"/>
    <w:multiLevelType w:val="hybridMultilevel"/>
    <w:tmpl w:val="79345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A603BF"/>
    <w:multiLevelType w:val="hybridMultilevel"/>
    <w:tmpl w:val="5470B89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5FD42D3"/>
    <w:multiLevelType w:val="hybridMultilevel"/>
    <w:tmpl w:val="9910A3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F0009B"/>
    <w:multiLevelType w:val="hybridMultilevel"/>
    <w:tmpl w:val="E1983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091FEC"/>
    <w:multiLevelType w:val="hybridMultilevel"/>
    <w:tmpl w:val="CCBCC0D2"/>
    <w:lvl w:ilvl="0" w:tplc="161C760C">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185793"/>
    <w:multiLevelType w:val="hybridMultilevel"/>
    <w:tmpl w:val="FFFFFFFF"/>
    <w:lvl w:ilvl="0" w:tplc="6DE68CD0">
      <w:start w:val="1"/>
      <w:numFmt w:val="decimal"/>
      <w:lvlText w:val="%1."/>
      <w:lvlJc w:val="left"/>
      <w:pPr>
        <w:ind w:left="720" w:hanging="360"/>
      </w:pPr>
    </w:lvl>
    <w:lvl w:ilvl="1" w:tplc="A84AD3A8">
      <w:start w:val="1"/>
      <w:numFmt w:val="lowerLetter"/>
      <w:lvlText w:val="%2."/>
      <w:lvlJc w:val="left"/>
      <w:pPr>
        <w:ind w:left="1440" w:hanging="360"/>
      </w:pPr>
    </w:lvl>
    <w:lvl w:ilvl="2" w:tplc="73F01FFE">
      <w:start w:val="1"/>
      <w:numFmt w:val="lowerRoman"/>
      <w:lvlText w:val="%3."/>
      <w:lvlJc w:val="right"/>
      <w:pPr>
        <w:ind w:left="2160" w:hanging="180"/>
      </w:pPr>
    </w:lvl>
    <w:lvl w:ilvl="3" w:tplc="9AA425AC">
      <w:start w:val="1"/>
      <w:numFmt w:val="decimal"/>
      <w:lvlText w:val="%4."/>
      <w:lvlJc w:val="left"/>
      <w:pPr>
        <w:ind w:left="2880" w:hanging="360"/>
      </w:pPr>
    </w:lvl>
    <w:lvl w:ilvl="4" w:tplc="82FA1AF2">
      <w:start w:val="1"/>
      <w:numFmt w:val="lowerLetter"/>
      <w:lvlText w:val="%5."/>
      <w:lvlJc w:val="left"/>
      <w:pPr>
        <w:ind w:left="3600" w:hanging="360"/>
      </w:pPr>
    </w:lvl>
    <w:lvl w:ilvl="5" w:tplc="326482EE">
      <w:start w:val="1"/>
      <w:numFmt w:val="lowerRoman"/>
      <w:lvlText w:val="%6."/>
      <w:lvlJc w:val="right"/>
      <w:pPr>
        <w:ind w:left="4320" w:hanging="180"/>
      </w:pPr>
    </w:lvl>
    <w:lvl w:ilvl="6" w:tplc="65D0531C">
      <w:start w:val="1"/>
      <w:numFmt w:val="decimal"/>
      <w:lvlText w:val="%7."/>
      <w:lvlJc w:val="left"/>
      <w:pPr>
        <w:ind w:left="5040" w:hanging="360"/>
      </w:pPr>
    </w:lvl>
    <w:lvl w:ilvl="7" w:tplc="E5AA4548">
      <w:start w:val="1"/>
      <w:numFmt w:val="lowerLetter"/>
      <w:lvlText w:val="%8."/>
      <w:lvlJc w:val="left"/>
      <w:pPr>
        <w:ind w:left="5760" w:hanging="360"/>
      </w:pPr>
    </w:lvl>
    <w:lvl w:ilvl="8" w:tplc="4E72C198">
      <w:start w:val="1"/>
      <w:numFmt w:val="lowerRoman"/>
      <w:lvlText w:val="%9."/>
      <w:lvlJc w:val="right"/>
      <w:pPr>
        <w:ind w:left="6480" w:hanging="180"/>
      </w:pPr>
    </w:lvl>
  </w:abstractNum>
  <w:abstractNum w:abstractNumId="7" w15:restartNumberingAfterBreak="0">
    <w:nsid w:val="2435462E"/>
    <w:multiLevelType w:val="hybridMultilevel"/>
    <w:tmpl w:val="4926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0F7A26"/>
    <w:multiLevelType w:val="hybridMultilevel"/>
    <w:tmpl w:val="FFFFFFFF"/>
    <w:lvl w:ilvl="0" w:tplc="9AE83D56">
      <w:start w:val="1"/>
      <w:numFmt w:val="bullet"/>
      <w:lvlText w:val=""/>
      <w:lvlJc w:val="left"/>
      <w:pPr>
        <w:ind w:left="720" w:hanging="360"/>
      </w:pPr>
      <w:rPr>
        <w:rFonts w:ascii="Symbol" w:hAnsi="Symbol" w:hint="default"/>
      </w:rPr>
    </w:lvl>
    <w:lvl w:ilvl="1" w:tplc="86EA595C">
      <w:start w:val="1"/>
      <w:numFmt w:val="bullet"/>
      <w:lvlText w:val="o"/>
      <w:lvlJc w:val="left"/>
      <w:pPr>
        <w:ind w:left="1440" w:hanging="360"/>
      </w:pPr>
      <w:rPr>
        <w:rFonts w:ascii="Courier New" w:hAnsi="Courier New" w:hint="default"/>
      </w:rPr>
    </w:lvl>
    <w:lvl w:ilvl="2" w:tplc="9B3CC048">
      <w:start w:val="1"/>
      <w:numFmt w:val="bullet"/>
      <w:lvlText w:val=""/>
      <w:lvlJc w:val="left"/>
      <w:pPr>
        <w:ind w:left="2160" w:hanging="360"/>
      </w:pPr>
      <w:rPr>
        <w:rFonts w:ascii="Wingdings" w:hAnsi="Wingdings" w:hint="default"/>
      </w:rPr>
    </w:lvl>
    <w:lvl w:ilvl="3" w:tplc="3CCAA0F2">
      <w:start w:val="1"/>
      <w:numFmt w:val="bullet"/>
      <w:lvlText w:val=""/>
      <w:lvlJc w:val="left"/>
      <w:pPr>
        <w:ind w:left="2880" w:hanging="360"/>
      </w:pPr>
      <w:rPr>
        <w:rFonts w:ascii="Symbol" w:hAnsi="Symbol" w:hint="default"/>
      </w:rPr>
    </w:lvl>
    <w:lvl w:ilvl="4" w:tplc="025A77CC">
      <w:start w:val="1"/>
      <w:numFmt w:val="bullet"/>
      <w:lvlText w:val="o"/>
      <w:lvlJc w:val="left"/>
      <w:pPr>
        <w:ind w:left="3600" w:hanging="360"/>
      </w:pPr>
      <w:rPr>
        <w:rFonts w:ascii="Courier New" w:hAnsi="Courier New" w:hint="default"/>
      </w:rPr>
    </w:lvl>
    <w:lvl w:ilvl="5" w:tplc="2F2AB4C8">
      <w:start w:val="1"/>
      <w:numFmt w:val="bullet"/>
      <w:lvlText w:val=""/>
      <w:lvlJc w:val="left"/>
      <w:pPr>
        <w:ind w:left="4320" w:hanging="360"/>
      </w:pPr>
      <w:rPr>
        <w:rFonts w:ascii="Wingdings" w:hAnsi="Wingdings" w:hint="default"/>
      </w:rPr>
    </w:lvl>
    <w:lvl w:ilvl="6" w:tplc="E76A7310">
      <w:start w:val="1"/>
      <w:numFmt w:val="bullet"/>
      <w:lvlText w:val=""/>
      <w:lvlJc w:val="left"/>
      <w:pPr>
        <w:ind w:left="5040" w:hanging="360"/>
      </w:pPr>
      <w:rPr>
        <w:rFonts w:ascii="Symbol" w:hAnsi="Symbol" w:hint="default"/>
      </w:rPr>
    </w:lvl>
    <w:lvl w:ilvl="7" w:tplc="AD5AECC4">
      <w:start w:val="1"/>
      <w:numFmt w:val="bullet"/>
      <w:lvlText w:val="o"/>
      <w:lvlJc w:val="left"/>
      <w:pPr>
        <w:ind w:left="5760" w:hanging="360"/>
      </w:pPr>
      <w:rPr>
        <w:rFonts w:ascii="Courier New" w:hAnsi="Courier New" w:hint="default"/>
      </w:rPr>
    </w:lvl>
    <w:lvl w:ilvl="8" w:tplc="CFBCD5D2">
      <w:start w:val="1"/>
      <w:numFmt w:val="bullet"/>
      <w:lvlText w:val=""/>
      <w:lvlJc w:val="left"/>
      <w:pPr>
        <w:ind w:left="6480" w:hanging="360"/>
      </w:pPr>
      <w:rPr>
        <w:rFonts w:ascii="Wingdings" w:hAnsi="Wingdings" w:hint="default"/>
      </w:rPr>
    </w:lvl>
  </w:abstractNum>
  <w:abstractNum w:abstractNumId="9" w15:restartNumberingAfterBreak="0">
    <w:nsid w:val="27B16C0D"/>
    <w:multiLevelType w:val="hybridMultilevel"/>
    <w:tmpl w:val="0ACA2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342363"/>
    <w:multiLevelType w:val="hybridMultilevel"/>
    <w:tmpl w:val="FFFFFFFF"/>
    <w:lvl w:ilvl="0" w:tplc="75DE630C">
      <w:start w:val="1"/>
      <w:numFmt w:val="bullet"/>
      <w:lvlText w:val=""/>
      <w:lvlJc w:val="left"/>
      <w:pPr>
        <w:ind w:left="502" w:hanging="360"/>
      </w:pPr>
      <w:rPr>
        <w:rFonts w:ascii="Symbol" w:hAnsi="Symbol" w:hint="default"/>
      </w:rPr>
    </w:lvl>
    <w:lvl w:ilvl="1" w:tplc="53204DFC">
      <w:start w:val="1"/>
      <w:numFmt w:val="bullet"/>
      <w:lvlText w:val="o"/>
      <w:lvlJc w:val="left"/>
      <w:pPr>
        <w:ind w:left="1222" w:hanging="360"/>
      </w:pPr>
      <w:rPr>
        <w:rFonts w:ascii="Courier New" w:hAnsi="Courier New" w:hint="default"/>
      </w:rPr>
    </w:lvl>
    <w:lvl w:ilvl="2" w:tplc="4AFAE3A0">
      <w:start w:val="1"/>
      <w:numFmt w:val="bullet"/>
      <w:lvlText w:val=""/>
      <w:lvlJc w:val="left"/>
      <w:pPr>
        <w:ind w:left="1942" w:hanging="360"/>
      </w:pPr>
      <w:rPr>
        <w:rFonts w:ascii="Wingdings" w:hAnsi="Wingdings" w:hint="default"/>
      </w:rPr>
    </w:lvl>
    <w:lvl w:ilvl="3" w:tplc="F25AF770">
      <w:start w:val="1"/>
      <w:numFmt w:val="bullet"/>
      <w:lvlText w:val=""/>
      <w:lvlJc w:val="left"/>
      <w:pPr>
        <w:ind w:left="2662" w:hanging="360"/>
      </w:pPr>
      <w:rPr>
        <w:rFonts w:ascii="Symbol" w:hAnsi="Symbol" w:hint="default"/>
      </w:rPr>
    </w:lvl>
    <w:lvl w:ilvl="4" w:tplc="2F0A13C0">
      <w:start w:val="1"/>
      <w:numFmt w:val="bullet"/>
      <w:lvlText w:val="o"/>
      <w:lvlJc w:val="left"/>
      <w:pPr>
        <w:ind w:left="3382" w:hanging="360"/>
      </w:pPr>
      <w:rPr>
        <w:rFonts w:ascii="Courier New" w:hAnsi="Courier New" w:hint="default"/>
      </w:rPr>
    </w:lvl>
    <w:lvl w:ilvl="5" w:tplc="17A0AB56">
      <w:start w:val="1"/>
      <w:numFmt w:val="bullet"/>
      <w:lvlText w:val=""/>
      <w:lvlJc w:val="left"/>
      <w:pPr>
        <w:ind w:left="4102" w:hanging="360"/>
      </w:pPr>
      <w:rPr>
        <w:rFonts w:ascii="Wingdings" w:hAnsi="Wingdings" w:hint="default"/>
      </w:rPr>
    </w:lvl>
    <w:lvl w:ilvl="6" w:tplc="A50E92C6">
      <w:start w:val="1"/>
      <w:numFmt w:val="bullet"/>
      <w:lvlText w:val=""/>
      <w:lvlJc w:val="left"/>
      <w:pPr>
        <w:ind w:left="4822" w:hanging="360"/>
      </w:pPr>
      <w:rPr>
        <w:rFonts w:ascii="Symbol" w:hAnsi="Symbol" w:hint="default"/>
      </w:rPr>
    </w:lvl>
    <w:lvl w:ilvl="7" w:tplc="31784F92">
      <w:start w:val="1"/>
      <w:numFmt w:val="bullet"/>
      <w:lvlText w:val="o"/>
      <w:lvlJc w:val="left"/>
      <w:pPr>
        <w:ind w:left="5542" w:hanging="360"/>
      </w:pPr>
      <w:rPr>
        <w:rFonts w:ascii="Courier New" w:hAnsi="Courier New" w:hint="default"/>
      </w:rPr>
    </w:lvl>
    <w:lvl w:ilvl="8" w:tplc="2BBA0DFA">
      <w:start w:val="1"/>
      <w:numFmt w:val="bullet"/>
      <w:lvlText w:val=""/>
      <w:lvlJc w:val="left"/>
      <w:pPr>
        <w:ind w:left="6262" w:hanging="360"/>
      </w:pPr>
      <w:rPr>
        <w:rFonts w:ascii="Wingdings" w:hAnsi="Wingdings" w:hint="default"/>
      </w:rPr>
    </w:lvl>
  </w:abstractNum>
  <w:abstractNum w:abstractNumId="11" w15:restartNumberingAfterBreak="0">
    <w:nsid w:val="32C20A06"/>
    <w:multiLevelType w:val="hybridMultilevel"/>
    <w:tmpl w:val="5470B89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50A6F6B"/>
    <w:multiLevelType w:val="hybridMultilevel"/>
    <w:tmpl w:val="5470B8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8153961"/>
    <w:multiLevelType w:val="hybridMultilevel"/>
    <w:tmpl w:val="DC124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E24976"/>
    <w:multiLevelType w:val="hybridMultilevel"/>
    <w:tmpl w:val="FA5C5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1B746F"/>
    <w:multiLevelType w:val="hybridMultilevel"/>
    <w:tmpl w:val="D5547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CF1258"/>
    <w:multiLevelType w:val="hybridMultilevel"/>
    <w:tmpl w:val="EFE48522"/>
    <w:lvl w:ilvl="0" w:tplc="5994165A">
      <w:numFmt w:val="bullet"/>
      <w:lvlText w:val="•"/>
      <w:lvlJc w:val="left"/>
      <w:pPr>
        <w:ind w:left="502" w:hanging="360"/>
      </w:pPr>
      <w:rPr>
        <w:rFonts w:ascii="Calibri" w:eastAsiaTheme="minorEastAsia" w:hAnsi="Calibri" w:cstheme="minorBidi"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8" w15:restartNumberingAfterBreak="0">
    <w:nsid w:val="44C74CDD"/>
    <w:multiLevelType w:val="hybridMultilevel"/>
    <w:tmpl w:val="FFFFFFFF"/>
    <w:lvl w:ilvl="0" w:tplc="6DE68CD0">
      <w:start w:val="1"/>
      <w:numFmt w:val="decimal"/>
      <w:lvlText w:val="%1."/>
      <w:lvlJc w:val="left"/>
      <w:pPr>
        <w:ind w:left="720" w:hanging="360"/>
      </w:pPr>
    </w:lvl>
    <w:lvl w:ilvl="1" w:tplc="A84AD3A8">
      <w:start w:val="1"/>
      <w:numFmt w:val="lowerLetter"/>
      <w:lvlText w:val="%2."/>
      <w:lvlJc w:val="left"/>
      <w:pPr>
        <w:ind w:left="1440" w:hanging="360"/>
      </w:pPr>
    </w:lvl>
    <w:lvl w:ilvl="2" w:tplc="73F01FFE">
      <w:start w:val="1"/>
      <w:numFmt w:val="lowerRoman"/>
      <w:lvlText w:val="%3."/>
      <w:lvlJc w:val="right"/>
      <w:pPr>
        <w:ind w:left="2160" w:hanging="180"/>
      </w:pPr>
    </w:lvl>
    <w:lvl w:ilvl="3" w:tplc="9AA425AC">
      <w:start w:val="1"/>
      <w:numFmt w:val="decimal"/>
      <w:lvlText w:val="%4."/>
      <w:lvlJc w:val="left"/>
      <w:pPr>
        <w:ind w:left="2880" w:hanging="360"/>
      </w:pPr>
    </w:lvl>
    <w:lvl w:ilvl="4" w:tplc="82FA1AF2">
      <w:start w:val="1"/>
      <w:numFmt w:val="lowerLetter"/>
      <w:lvlText w:val="%5."/>
      <w:lvlJc w:val="left"/>
      <w:pPr>
        <w:ind w:left="3600" w:hanging="360"/>
      </w:pPr>
    </w:lvl>
    <w:lvl w:ilvl="5" w:tplc="326482EE">
      <w:start w:val="1"/>
      <w:numFmt w:val="lowerRoman"/>
      <w:lvlText w:val="%6."/>
      <w:lvlJc w:val="right"/>
      <w:pPr>
        <w:ind w:left="4320" w:hanging="180"/>
      </w:pPr>
    </w:lvl>
    <w:lvl w:ilvl="6" w:tplc="65D0531C">
      <w:start w:val="1"/>
      <w:numFmt w:val="decimal"/>
      <w:lvlText w:val="%7."/>
      <w:lvlJc w:val="left"/>
      <w:pPr>
        <w:ind w:left="5040" w:hanging="360"/>
      </w:pPr>
    </w:lvl>
    <w:lvl w:ilvl="7" w:tplc="E5AA4548">
      <w:start w:val="1"/>
      <w:numFmt w:val="lowerLetter"/>
      <w:lvlText w:val="%8."/>
      <w:lvlJc w:val="left"/>
      <w:pPr>
        <w:ind w:left="5760" w:hanging="360"/>
      </w:pPr>
    </w:lvl>
    <w:lvl w:ilvl="8" w:tplc="4E72C198">
      <w:start w:val="1"/>
      <w:numFmt w:val="lowerRoman"/>
      <w:lvlText w:val="%9."/>
      <w:lvlJc w:val="right"/>
      <w:pPr>
        <w:ind w:left="6480" w:hanging="180"/>
      </w:pPr>
    </w:lvl>
  </w:abstractNum>
  <w:abstractNum w:abstractNumId="19" w15:restartNumberingAfterBreak="0">
    <w:nsid w:val="47681845"/>
    <w:multiLevelType w:val="hybridMultilevel"/>
    <w:tmpl w:val="FFFFFFFF"/>
    <w:lvl w:ilvl="0" w:tplc="6DE68CD0">
      <w:start w:val="1"/>
      <w:numFmt w:val="decimal"/>
      <w:lvlText w:val="%1."/>
      <w:lvlJc w:val="left"/>
      <w:pPr>
        <w:ind w:left="720" w:hanging="360"/>
      </w:pPr>
    </w:lvl>
    <w:lvl w:ilvl="1" w:tplc="A84AD3A8">
      <w:start w:val="1"/>
      <w:numFmt w:val="lowerLetter"/>
      <w:lvlText w:val="%2."/>
      <w:lvlJc w:val="left"/>
      <w:pPr>
        <w:ind w:left="1440" w:hanging="360"/>
      </w:pPr>
    </w:lvl>
    <w:lvl w:ilvl="2" w:tplc="73F01FFE">
      <w:start w:val="1"/>
      <w:numFmt w:val="lowerRoman"/>
      <w:lvlText w:val="%3."/>
      <w:lvlJc w:val="right"/>
      <w:pPr>
        <w:ind w:left="2160" w:hanging="180"/>
      </w:pPr>
    </w:lvl>
    <w:lvl w:ilvl="3" w:tplc="9AA425AC">
      <w:start w:val="1"/>
      <w:numFmt w:val="decimal"/>
      <w:lvlText w:val="%4."/>
      <w:lvlJc w:val="left"/>
      <w:pPr>
        <w:ind w:left="2880" w:hanging="360"/>
      </w:pPr>
    </w:lvl>
    <w:lvl w:ilvl="4" w:tplc="82FA1AF2">
      <w:start w:val="1"/>
      <w:numFmt w:val="lowerLetter"/>
      <w:lvlText w:val="%5."/>
      <w:lvlJc w:val="left"/>
      <w:pPr>
        <w:ind w:left="3600" w:hanging="360"/>
      </w:pPr>
    </w:lvl>
    <w:lvl w:ilvl="5" w:tplc="326482EE">
      <w:start w:val="1"/>
      <w:numFmt w:val="lowerRoman"/>
      <w:lvlText w:val="%6."/>
      <w:lvlJc w:val="right"/>
      <w:pPr>
        <w:ind w:left="4320" w:hanging="180"/>
      </w:pPr>
    </w:lvl>
    <w:lvl w:ilvl="6" w:tplc="65D0531C">
      <w:start w:val="1"/>
      <w:numFmt w:val="decimal"/>
      <w:lvlText w:val="%7."/>
      <w:lvlJc w:val="left"/>
      <w:pPr>
        <w:ind w:left="5040" w:hanging="360"/>
      </w:pPr>
    </w:lvl>
    <w:lvl w:ilvl="7" w:tplc="E5AA4548">
      <w:start w:val="1"/>
      <w:numFmt w:val="lowerLetter"/>
      <w:lvlText w:val="%8."/>
      <w:lvlJc w:val="left"/>
      <w:pPr>
        <w:ind w:left="5760" w:hanging="360"/>
      </w:pPr>
    </w:lvl>
    <w:lvl w:ilvl="8" w:tplc="4E72C198">
      <w:start w:val="1"/>
      <w:numFmt w:val="lowerRoman"/>
      <w:lvlText w:val="%9."/>
      <w:lvlJc w:val="right"/>
      <w:pPr>
        <w:ind w:left="6480" w:hanging="180"/>
      </w:pPr>
    </w:lvl>
  </w:abstractNum>
  <w:abstractNum w:abstractNumId="20" w15:restartNumberingAfterBreak="0">
    <w:nsid w:val="48A4790A"/>
    <w:multiLevelType w:val="hybridMultilevel"/>
    <w:tmpl w:val="93EA0A0A"/>
    <w:lvl w:ilvl="0" w:tplc="7D52522C">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9087521"/>
    <w:multiLevelType w:val="hybridMultilevel"/>
    <w:tmpl w:val="62EC552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B361480"/>
    <w:multiLevelType w:val="singleLevel"/>
    <w:tmpl w:val="3D2A023C"/>
    <w:lvl w:ilvl="0">
      <w:start w:val="1"/>
      <w:numFmt w:val="decimal"/>
      <w:pStyle w:val="Minconumbered"/>
      <w:lvlText w:val="%1."/>
      <w:lvlJc w:val="left"/>
      <w:pPr>
        <w:tabs>
          <w:tab w:val="num" w:pos="360"/>
        </w:tabs>
        <w:ind w:left="360" w:hanging="360"/>
      </w:pPr>
      <w:rPr>
        <w:rFonts w:cs="Times New Roman"/>
        <w:b w:val="0"/>
      </w:rPr>
    </w:lvl>
  </w:abstractNum>
  <w:abstractNum w:abstractNumId="23" w15:restartNumberingAfterBreak="0">
    <w:nsid w:val="52F13655"/>
    <w:multiLevelType w:val="hybridMultilevel"/>
    <w:tmpl w:val="5380B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CA7181"/>
    <w:multiLevelType w:val="multilevel"/>
    <w:tmpl w:val="53BA82D4"/>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56594C20"/>
    <w:multiLevelType w:val="hybridMultilevel"/>
    <w:tmpl w:val="43569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6C23EF"/>
    <w:multiLevelType w:val="hybridMultilevel"/>
    <w:tmpl w:val="9620C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0363BC"/>
    <w:multiLevelType w:val="hybridMultilevel"/>
    <w:tmpl w:val="D7D23FC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C1E2F24"/>
    <w:multiLevelType w:val="multilevel"/>
    <w:tmpl w:val="043603EE"/>
    <w:lvl w:ilvl="0">
      <w:start w:val="1"/>
      <w:numFmt w:val="decimal"/>
      <w:lvlText w:val="%1."/>
      <w:lvlJc w:val="left"/>
      <w:pPr>
        <w:ind w:left="360" w:hanging="360"/>
      </w:pPr>
      <w:rPr>
        <w:rFonts w:hint="default"/>
        <w:color w:val="auto"/>
        <w:sz w:val="28"/>
      </w:rPr>
    </w:lvl>
    <w:lvl w:ilvl="1">
      <w:start w:val="1"/>
      <w:numFmt w:val="decimal"/>
      <w:isLgl/>
      <w:lvlText w:val="%1.%2"/>
      <w:lvlJc w:val="left"/>
      <w:pPr>
        <w:ind w:left="8369" w:hanging="855"/>
      </w:pPr>
      <w:rPr>
        <w:rFonts w:hint="default"/>
        <w:b w:val="0"/>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5C474A5F"/>
    <w:multiLevelType w:val="hybridMultilevel"/>
    <w:tmpl w:val="B9706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0211826"/>
    <w:multiLevelType w:val="hybridMultilevel"/>
    <w:tmpl w:val="2D767F1E"/>
    <w:lvl w:ilvl="0" w:tplc="375628EC">
      <w:start w:val="1"/>
      <w:numFmt w:val="bullet"/>
      <w:lvlText w:val=""/>
      <w:lvlJc w:val="left"/>
      <w:pPr>
        <w:ind w:left="360" w:hanging="360"/>
      </w:pPr>
      <w:rPr>
        <w:rFonts w:ascii="Symbol" w:hAnsi="Symbol" w:hint="default"/>
      </w:rPr>
    </w:lvl>
    <w:lvl w:ilvl="1" w:tplc="5B7036DC">
      <w:start w:val="1"/>
      <w:numFmt w:val="bullet"/>
      <w:lvlText w:val="o"/>
      <w:lvlJc w:val="left"/>
      <w:pPr>
        <w:ind w:left="1080" w:hanging="360"/>
      </w:pPr>
      <w:rPr>
        <w:rFonts w:ascii="Courier New" w:hAnsi="Courier New" w:hint="default"/>
      </w:rPr>
    </w:lvl>
    <w:lvl w:ilvl="2" w:tplc="21423E70">
      <w:start w:val="1"/>
      <w:numFmt w:val="bullet"/>
      <w:lvlText w:val=""/>
      <w:lvlJc w:val="left"/>
      <w:pPr>
        <w:ind w:left="1800" w:hanging="360"/>
      </w:pPr>
      <w:rPr>
        <w:rFonts w:ascii="Wingdings" w:hAnsi="Wingdings" w:hint="default"/>
      </w:rPr>
    </w:lvl>
    <w:lvl w:ilvl="3" w:tplc="B43CECC0">
      <w:start w:val="1"/>
      <w:numFmt w:val="bullet"/>
      <w:lvlText w:val=""/>
      <w:lvlJc w:val="left"/>
      <w:pPr>
        <w:ind w:left="2520" w:hanging="360"/>
      </w:pPr>
      <w:rPr>
        <w:rFonts w:ascii="Symbol" w:hAnsi="Symbol" w:hint="default"/>
      </w:rPr>
    </w:lvl>
    <w:lvl w:ilvl="4" w:tplc="0360E9CC">
      <w:start w:val="1"/>
      <w:numFmt w:val="bullet"/>
      <w:lvlText w:val="o"/>
      <w:lvlJc w:val="left"/>
      <w:pPr>
        <w:ind w:left="3240" w:hanging="360"/>
      </w:pPr>
      <w:rPr>
        <w:rFonts w:ascii="Courier New" w:hAnsi="Courier New" w:hint="default"/>
      </w:rPr>
    </w:lvl>
    <w:lvl w:ilvl="5" w:tplc="C2CC964E">
      <w:start w:val="1"/>
      <w:numFmt w:val="bullet"/>
      <w:lvlText w:val=""/>
      <w:lvlJc w:val="left"/>
      <w:pPr>
        <w:ind w:left="3960" w:hanging="360"/>
      </w:pPr>
      <w:rPr>
        <w:rFonts w:ascii="Wingdings" w:hAnsi="Wingdings" w:hint="default"/>
      </w:rPr>
    </w:lvl>
    <w:lvl w:ilvl="6" w:tplc="96E2C156">
      <w:start w:val="1"/>
      <w:numFmt w:val="bullet"/>
      <w:lvlText w:val=""/>
      <w:lvlJc w:val="left"/>
      <w:pPr>
        <w:ind w:left="4680" w:hanging="360"/>
      </w:pPr>
      <w:rPr>
        <w:rFonts w:ascii="Symbol" w:hAnsi="Symbol" w:hint="default"/>
      </w:rPr>
    </w:lvl>
    <w:lvl w:ilvl="7" w:tplc="908A8CC4">
      <w:start w:val="1"/>
      <w:numFmt w:val="bullet"/>
      <w:lvlText w:val="o"/>
      <w:lvlJc w:val="left"/>
      <w:pPr>
        <w:ind w:left="5400" w:hanging="360"/>
      </w:pPr>
      <w:rPr>
        <w:rFonts w:ascii="Courier New" w:hAnsi="Courier New" w:hint="default"/>
      </w:rPr>
    </w:lvl>
    <w:lvl w:ilvl="8" w:tplc="C804BF26">
      <w:start w:val="1"/>
      <w:numFmt w:val="bullet"/>
      <w:lvlText w:val=""/>
      <w:lvlJc w:val="left"/>
      <w:pPr>
        <w:ind w:left="6120" w:hanging="360"/>
      </w:pPr>
      <w:rPr>
        <w:rFonts w:ascii="Wingdings" w:hAnsi="Wingdings" w:hint="default"/>
      </w:rPr>
    </w:lvl>
  </w:abstractNum>
  <w:abstractNum w:abstractNumId="32" w15:restartNumberingAfterBreak="0">
    <w:nsid w:val="61827CFF"/>
    <w:multiLevelType w:val="hybridMultilevel"/>
    <w:tmpl w:val="3EB2A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B61654"/>
    <w:multiLevelType w:val="hybridMultilevel"/>
    <w:tmpl w:val="EEB8A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436D40"/>
    <w:multiLevelType w:val="hybridMultilevel"/>
    <w:tmpl w:val="FFFFFFFF"/>
    <w:lvl w:ilvl="0" w:tplc="1A98BA68">
      <w:start w:val="1"/>
      <w:numFmt w:val="bullet"/>
      <w:lvlText w:val=""/>
      <w:lvlJc w:val="left"/>
      <w:pPr>
        <w:ind w:left="502" w:hanging="360"/>
      </w:pPr>
      <w:rPr>
        <w:rFonts w:ascii="Symbol" w:hAnsi="Symbol" w:hint="default"/>
      </w:rPr>
    </w:lvl>
    <w:lvl w:ilvl="1" w:tplc="9620BD9A">
      <w:start w:val="1"/>
      <w:numFmt w:val="bullet"/>
      <w:lvlText w:val="o"/>
      <w:lvlJc w:val="left"/>
      <w:pPr>
        <w:ind w:left="1222" w:hanging="360"/>
      </w:pPr>
      <w:rPr>
        <w:rFonts w:ascii="Courier New" w:hAnsi="Courier New" w:hint="default"/>
      </w:rPr>
    </w:lvl>
    <w:lvl w:ilvl="2" w:tplc="5EE03E5A">
      <w:start w:val="1"/>
      <w:numFmt w:val="bullet"/>
      <w:lvlText w:val=""/>
      <w:lvlJc w:val="left"/>
      <w:pPr>
        <w:ind w:left="1942" w:hanging="360"/>
      </w:pPr>
      <w:rPr>
        <w:rFonts w:ascii="Wingdings" w:hAnsi="Wingdings" w:hint="default"/>
      </w:rPr>
    </w:lvl>
    <w:lvl w:ilvl="3" w:tplc="8410D632">
      <w:start w:val="1"/>
      <w:numFmt w:val="bullet"/>
      <w:lvlText w:val=""/>
      <w:lvlJc w:val="left"/>
      <w:pPr>
        <w:ind w:left="2662" w:hanging="360"/>
      </w:pPr>
      <w:rPr>
        <w:rFonts w:ascii="Symbol" w:hAnsi="Symbol" w:hint="default"/>
      </w:rPr>
    </w:lvl>
    <w:lvl w:ilvl="4" w:tplc="B8AE7F48">
      <w:start w:val="1"/>
      <w:numFmt w:val="bullet"/>
      <w:lvlText w:val="o"/>
      <w:lvlJc w:val="left"/>
      <w:pPr>
        <w:ind w:left="3382" w:hanging="360"/>
      </w:pPr>
      <w:rPr>
        <w:rFonts w:ascii="Courier New" w:hAnsi="Courier New" w:hint="default"/>
      </w:rPr>
    </w:lvl>
    <w:lvl w:ilvl="5" w:tplc="6E4CC1D0">
      <w:start w:val="1"/>
      <w:numFmt w:val="bullet"/>
      <w:lvlText w:val=""/>
      <w:lvlJc w:val="left"/>
      <w:pPr>
        <w:ind w:left="4102" w:hanging="360"/>
      </w:pPr>
      <w:rPr>
        <w:rFonts w:ascii="Wingdings" w:hAnsi="Wingdings" w:hint="default"/>
      </w:rPr>
    </w:lvl>
    <w:lvl w:ilvl="6" w:tplc="C5AE23C0">
      <w:start w:val="1"/>
      <w:numFmt w:val="bullet"/>
      <w:lvlText w:val=""/>
      <w:lvlJc w:val="left"/>
      <w:pPr>
        <w:ind w:left="4822" w:hanging="360"/>
      </w:pPr>
      <w:rPr>
        <w:rFonts w:ascii="Symbol" w:hAnsi="Symbol" w:hint="default"/>
      </w:rPr>
    </w:lvl>
    <w:lvl w:ilvl="7" w:tplc="0282B55A">
      <w:start w:val="1"/>
      <w:numFmt w:val="bullet"/>
      <w:lvlText w:val="o"/>
      <w:lvlJc w:val="left"/>
      <w:pPr>
        <w:ind w:left="5542" w:hanging="360"/>
      </w:pPr>
      <w:rPr>
        <w:rFonts w:ascii="Courier New" w:hAnsi="Courier New" w:hint="default"/>
      </w:rPr>
    </w:lvl>
    <w:lvl w:ilvl="8" w:tplc="B308ED68">
      <w:start w:val="1"/>
      <w:numFmt w:val="bullet"/>
      <w:lvlText w:val=""/>
      <w:lvlJc w:val="left"/>
      <w:pPr>
        <w:ind w:left="6262" w:hanging="360"/>
      </w:pPr>
      <w:rPr>
        <w:rFonts w:ascii="Wingdings" w:hAnsi="Wingdings" w:hint="default"/>
      </w:rPr>
    </w:lvl>
  </w:abstractNum>
  <w:abstractNum w:abstractNumId="35" w15:restartNumberingAfterBreak="0">
    <w:nsid w:val="6DBB74C8"/>
    <w:multiLevelType w:val="hybridMultilevel"/>
    <w:tmpl w:val="C0087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7" w15:restartNumberingAfterBreak="0">
    <w:nsid w:val="7E961E03"/>
    <w:multiLevelType w:val="hybridMultilevel"/>
    <w:tmpl w:val="036E00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2"/>
  </w:num>
  <w:num w:numId="2">
    <w:abstractNumId w:val="28"/>
  </w:num>
  <w:num w:numId="3">
    <w:abstractNumId w:val="12"/>
  </w:num>
  <w:num w:numId="4">
    <w:abstractNumId w:val="37"/>
  </w:num>
  <w:num w:numId="5">
    <w:abstractNumId w:val="21"/>
  </w:num>
  <w:num w:numId="6">
    <w:abstractNumId w:val="24"/>
  </w:num>
  <w:num w:numId="7">
    <w:abstractNumId w:val="2"/>
  </w:num>
  <w:num w:numId="8">
    <w:abstractNumId w:val="11"/>
  </w:num>
  <w:num w:numId="9">
    <w:abstractNumId w:val="5"/>
  </w:num>
  <w:num w:numId="10">
    <w:abstractNumId w:val="36"/>
  </w:num>
  <w:num w:numId="11">
    <w:abstractNumId w:val="16"/>
  </w:num>
  <w:num w:numId="12">
    <w:abstractNumId w:val="27"/>
  </w:num>
  <w:num w:numId="13">
    <w:abstractNumId w:val="13"/>
  </w:num>
  <w:num w:numId="14">
    <w:abstractNumId w:val="25"/>
  </w:num>
  <w:num w:numId="15">
    <w:abstractNumId w:val="4"/>
  </w:num>
  <w:num w:numId="16">
    <w:abstractNumId w:val="14"/>
  </w:num>
  <w:num w:numId="17">
    <w:abstractNumId w:val="29"/>
  </w:num>
  <w:num w:numId="18">
    <w:abstractNumId w:val="1"/>
  </w:num>
  <w:num w:numId="19">
    <w:abstractNumId w:val="9"/>
  </w:num>
  <w:num w:numId="20">
    <w:abstractNumId w:val="35"/>
  </w:num>
  <w:num w:numId="21">
    <w:abstractNumId w:val="26"/>
  </w:num>
  <w:num w:numId="22">
    <w:abstractNumId w:val="15"/>
  </w:num>
  <w:num w:numId="23">
    <w:abstractNumId w:val="30"/>
  </w:num>
  <w:num w:numId="24">
    <w:abstractNumId w:val="23"/>
  </w:num>
  <w:num w:numId="25">
    <w:abstractNumId w:val="32"/>
  </w:num>
  <w:num w:numId="26">
    <w:abstractNumId w:val="33"/>
  </w:num>
  <w:num w:numId="27">
    <w:abstractNumId w:val="31"/>
  </w:num>
  <w:num w:numId="28">
    <w:abstractNumId w:val="8"/>
  </w:num>
  <w:num w:numId="29">
    <w:abstractNumId w:val="19"/>
  </w:num>
  <w:num w:numId="30">
    <w:abstractNumId w:val="10"/>
  </w:num>
  <w:num w:numId="31">
    <w:abstractNumId w:val="34"/>
  </w:num>
  <w:num w:numId="32">
    <w:abstractNumId w:val="20"/>
  </w:num>
  <w:num w:numId="33">
    <w:abstractNumId w:val="7"/>
  </w:num>
  <w:num w:numId="34">
    <w:abstractNumId w:val="17"/>
  </w:num>
  <w:num w:numId="35">
    <w:abstractNumId w:val="18"/>
  </w:num>
  <w:num w:numId="36">
    <w:abstractNumId w:val="0"/>
  </w:num>
  <w:num w:numId="37">
    <w:abstractNumId w:val="3"/>
  </w:num>
  <w:num w:numId="38">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7"/>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2946A6B-6F14-4D32-8018-4FADB3F6AC5C}"/>
    <w:docVar w:name="dgnword-eventsink" w:val="11165720"/>
  </w:docVars>
  <w:rsids>
    <w:rsidRoot w:val="0065579A"/>
    <w:rsid w:val="00003B1C"/>
    <w:rsid w:val="000142F3"/>
    <w:rsid w:val="00033370"/>
    <w:rsid w:val="000347BF"/>
    <w:rsid w:val="00036839"/>
    <w:rsid w:val="00043E21"/>
    <w:rsid w:val="00045405"/>
    <w:rsid w:val="00046C17"/>
    <w:rsid w:val="0005261D"/>
    <w:rsid w:val="000531CC"/>
    <w:rsid w:val="00061547"/>
    <w:rsid w:val="000664EC"/>
    <w:rsid w:val="00067B02"/>
    <w:rsid w:val="00067E19"/>
    <w:rsid w:val="00072F79"/>
    <w:rsid w:val="000815AA"/>
    <w:rsid w:val="000821E0"/>
    <w:rsid w:val="00085DA8"/>
    <w:rsid w:val="000A0FD5"/>
    <w:rsid w:val="000A432D"/>
    <w:rsid w:val="000B3ABD"/>
    <w:rsid w:val="000B4AF9"/>
    <w:rsid w:val="000C29FE"/>
    <w:rsid w:val="000C7028"/>
    <w:rsid w:val="000D3568"/>
    <w:rsid w:val="000F7345"/>
    <w:rsid w:val="00102FC2"/>
    <w:rsid w:val="00115F20"/>
    <w:rsid w:val="001176B9"/>
    <w:rsid w:val="00122F70"/>
    <w:rsid w:val="00122FAB"/>
    <w:rsid w:val="00123844"/>
    <w:rsid w:val="00134B6F"/>
    <w:rsid w:val="00135B89"/>
    <w:rsid w:val="00140351"/>
    <w:rsid w:val="0014340B"/>
    <w:rsid w:val="00145B5B"/>
    <w:rsid w:val="0014611F"/>
    <w:rsid w:val="00147C5C"/>
    <w:rsid w:val="0015226A"/>
    <w:rsid w:val="0015476D"/>
    <w:rsid w:val="00154A78"/>
    <w:rsid w:val="00154FB5"/>
    <w:rsid w:val="00165532"/>
    <w:rsid w:val="0016661A"/>
    <w:rsid w:val="00172C42"/>
    <w:rsid w:val="0018081C"/>
    <w:rsid w:val="001855C8"/>
    <w:rsid w:val="0019146C"/>
    <w:rsid w:val="0019172E"/>
    <w:rsid w:val="00193AA9"/>
    <w:rsid w:val="00195324"/>
    <w:rsid w:val="001968C4"/>
    <w:rsid w:val="001978FE"/>
    <w:rsid w:val="001A5ADE"/>
    <w:rsid w:val="001D2EB2"/>
    <w:rsid w:val="001E0F45"/>
    <w:rsid w:val="001E1F31"/>
    <w:rsid w:val="001E441E"/>
    <w:rsid w:val="001F10CB"/>
    <w:rsid w:val="001F41EF"/>
    <w:rsid w:val="001F781A"/>
    <w:rsid w:val="001F7E2E"/>
    <w:rsid w:val="00203491"/>
    <w:rsid w:val="0020601C"/>
    <w:rsid w:val="0021362C"/>
    <w:rsid w:val="00213D18"/>
    <w:rsid w:val="00223D1A"/>
    <w:rsid w:val="002247B0"/>
    <w:rsid w:val="002255A4"/>
    <w:rsid w:val="00225CA5"/>
    <w:rsid w:val="00231290"/>
    <w:rsid w:val="00263DFA"/>
    <w:rsid w:val="00265DF9"/>
    <w:rsid w:val="002731EC"/>
    <w:rsid w:val="002875EC"/>
    <w:rsid w:val="002912EE"/>
    <w:rsid w:val="002A6026"/>
    <w:rsid w:val="002B424F"/>
    <w:rsid w:val="002D435F"/>
    <w:rsid w:val="002D4C44"/>
    <w:rsid w:val="002E0B5D"/>
    <w:rsid w:val="002F0FDE"/>
    <w:rsid w:val="002F3A60"/>
    <w:rsid w:val="002F608B"/>
    <w:rsid w:val="002F67CE"/>
    <w:rsid w:val="002F68A9"/>
    <w:rsid w:val="002F7A91"/>
    <w:rsid w:val="003070AA"/>
    <w:rsid w:val="003238A7"/>
    <w:rsid w:val="00324E68"/>
    <w:rsid w:val="0037198A"/>
    <w:rsid w:val="00380F68"/>
    <w:rsid w:val="003924B0"/>
    <w:rsid w:val="003967A7"/>
    <w:rsid w:val="003A2D84"/>
    <w:rsid w:val="003A5DCA"/>
    <w:rsid w:val="003A7155"/>
    <w:rsid w:val="003B125E"/>
    <w:rsid w:val="003B55B9"/>
    <w:rsid w:val="003B5E95"/>
    <w:rsid w:val="003B623D"/>
    <w:rsid w:val="003B7FCA"/>
    <w:rsid w:val="003C6860"/>
    <w:rsid w:val="003D33F0"/>
    <w:rsid w:val="003E08BC"/>
    <w:rsid w:val="003F1CFA"/>
    <w:rsid w:val="003F5723"/>
    <w:rsid w:val="004019F9"/>
    <w:rsid w:val="004071D6"/>
    <w:rsid w:val="0041585C"/>
    <w:rsid w:val="004170F1"/>
    <w:rsid w:val="004214FE"/>
    <w:rsid w:val="004222F9"/>
    <w:rsid w:val="00422EEC"/>
    <w:rsid w:val="0043031D"/>
    <w:rsid w:val="00434902"/>
    <w:rsid w:val="004351A7"/>
    <w:rsid w:val="0044523E"/>
    <w:rsid w:val="00446D79"/>
    <w:rsid w:val="00447A2C"/>
    <w:rsid w:val="00453C74"/>
    <w:rsid w:val="00454B9E"/>
    <w:rsid w:val="00456567"/>
    <w:rsid w:val="004653E7"/>
    <w:rsid w:val="00470D20"/>
    <w:rsid w:val="00471ABF"/>
    <w:rsid w:val="00474CE3"/>
    <w:rsid w:val="004869AC"/>
    <w:rsid w:val="00487370"/>
    <w:rsid w:val="004904C5"/>
    <w:rsid w:val="004912E4"/>
    <w:rsid w:val="00495CFC"/>
    <w:rsid w:val="004B5FB2"/>
    <w:rsid w:val="004C14A0"/>
    <w:rsid w:val="004C2CE5"/>
    <w:rsid w:val="004C3589"/>
    <w:rsid w:val="004C56D2"/>
    <w:rsid w:val="004C5C12"/>
    <w:rsid w:val="004C6B0E"/>
    <w:rsid w:val="004D2466"/>
    <w:rsid w:val="004E1BE4"/>
    <w:rsid w:val="004E7468"/>
    <w:rsid w:val="004F3976"/>
    <w:rsid w:val="00503D15"/>
    <w:rsid w:val="0052309E"/>
    <w:rsid w:val="005267A9"/>
    <w:rsid w:val="0053733D"/>
    <w:rsid w:val="00537959"/>
    <w:rsid w:val="005530B6"/>
    <w:rsid w:val="00560D97"/>
    <w:rsid w:val="00570784"/>
    <w:rsid w:val="00571738"/>
    <w:rsid w:val="00575FF0"/>
    <w:rsid w:val="00587DFB"/>
    <w:rsid w:val="00590A09"/>
    <w:rsid w:val="00594444"/>
    <w:rsid w:val="00596630"/>
    <w:rsid w:val="005A0E91"/>
    <w:rsid w:val="005A1151"/>
    <w:rsid w:val="005A301A"/>
    <w:rsid w:val="005A48B2"/>
    <w:rsid w:val="005B76E3"/>
    <w:rsid w:val="005C0544"/>
    <w:rsid w:val="005C0E8E"/>
    <w:rsid w:val="005D5F84"/>
    <w:rsid w:val="005E3172"/>
    <w:rsid w:val="005E381B"/>
    <w:rsid w:val="00602266"/>
    <w:rsid w:val="00634A4D"/>
    <w:rsid w:val="006361F0"/>
    <w:rsid w:val="0064530D"/>
    <w:rsid w:val="0065579A"/>
    <w:rsid w:val="00655B8F"/>
    <w:rsid w:val="00671ACD"/>
    <w:rsid w:val="00674165"/>
    <w:rsid w:val="00677236"/>
    <w:rsid w:val="00682A72"/>
    <w:rsid w:val="006867B0"/>
    <w:rsid w:val="00687855"/>
    <w:rsid w:val="006908A0"/>
    <w:rsid w:val="006936ED"/>
    <w:rsid w:val="006940A3"/>
    <w:rsid w:val="00695103"/>
    <w:rsid w:val="006A14FC"/>
    <w:rsid w:val="006A360A"/>
    <w:rsid w:val="006A7A21"/>
    <w:rsid w:val="006B1763"/>
    <w:rsid w:val="006C5CBD"/>
    <w:rsid w:val="006C756F"/>
    <w:rsid w:val="006C7D46"/>
    <w:rsid w:val="006E136A"/>
    <w:rsid w:val="006E33E8"/>
    <w:rsid w:val="006E6777"/>
    <w:rsid w:val="006F064B"/>
    <w:rsid w:val="006F689D"/>
    <w:rsid w:val="00707237"/>
    <w:rsid w:val="007202F0"/>
    <w:rsid w:val="00720FCB"/>
    <w:rsid w:val="0072330B"/>
    <w:rsid w:val="007324FC"/>
    <w:rsid w:val="00734626"/>
    <w:rsid w:val="00735C00"/>
    <w:rsid w:val="00743DA1"/>
    <w:rsid w:val="00745696"/>
    <w:rsid w:val="00756799"/>
    <w:rsid w:val="00757057"/>
    <w:rsid w:val="00767E55"/>
    <w:rsid w:val="0078232C"/>
    <w:rsid w:val="007825A8"/>
    <w:rsid w:val="007827E3"/>
    <w:rsid w:val="007831BC"/>
    <w:rsid w:val="00783F02"/>
    <w:rsid w:val="00797F89"/>
    <w:rsid w:val="007B50FE"/>
    <w:rsid w:val="007B7916"/>
    <w:rsid w:val="007D0821"/>
    <w:rsid w:val="007D182A"/>
    <w:rsid w:val="007D3CEF"/>
    <w:rsid w:val="007E439F"/>
    <w:rsid w:val="007F6C6C"/>
    <w:rsid w:val="00805368"/>
    <w:rsid w:val="00805BDC"/>
    <w:rsid w:val="00805C21"/>
    <w:rsid w:val="00807DC0"/>
    <w:rsid w:val="00815CCF"/>
    <w:rsid w:val="00825234"/>
    <w:rsid w:val="00831903"/>
    <w:rsid w:val="0083410A"/>
    <w:rsid w:val="00835DFD"/>
    <w:rsid w:val="00837A8D"/>
    <w:rsid w:val="00841246"/>
    <w:rsid w:val="00841272"/>
    <w:rsid w:val="00844688"/>
    <w:rsid w:val="00851A03"/>
    <w:rsid w:val="00855E14"/>
    <w:rsid w:val="00857F3A"/>
    <w:rsid w:val="0086033A"/>
    <w:rsid w:val="00862A2D"/>
    <w:rsid w:val="00867B5E"/>
    <w:rsid w:val="00867C6D"/>
    <w:rsid w:val="00884FE8"/>
    <w:rsid w:val="008B616A"/>
    <w:rsid w:val="008D6391"/>
    <w:rsid w:val="008D6C8F"/>
    <w:rsid w:val="008E29DF"/>
    <w:rsid w:val="008E688D"/>
    <w:rsid w:val="008F5CC6"/>
    <w:rsid w:val="00910414"/>
    <w:rsid w:val="009257BB"/>
    <w:rsid w:val="009352D6"/>
    <w:rsid w:val="009353C4"/>
    <w:rsid w:val="00935B82"/>
    <w:rsid w:val="009363BC"/>
    <w:rsid w:val="009368D8"/>
    <w:rsid w:val="00947525"/>
    <w:rsid w:val="009537C0"/>
    <w:rsid w:val="00955786"/>
    <w:rsid w:val="00956461"/>
    <w:rsid w:val="0097006C"/>
    <w:rsid w:val="0098019D"/>
    <w:rsid w:val="00980FD0"/>
    <w:rsid w:val="009D4373"/>
    <w:rsid w:val="009D6AAC"/>
    <w:rsid w:val="009D736E"/>
    <w:rsid w:val="009E422C"/>
    <w:rsid w:val="009E6CEC"/>
    <w:rsid w:val="009F1131"/>
    <w:rsid w:val="009F3F5E"/>
    <w:rsid w:val="009F7C91"/>
    <w:rsid w:val="00A1322F"/>
    <w:rsid w:val="00A22D25"/>
    <w:rsid w:val="00A2548A"/>
    <w:rsid w:val="00A27DF6"/>
    <w:rsid w:val="00A33AE6"/>
    <w:rsid w:val="00A37FCE"/>
    <w:rsid w:val="00A41F1B"/>
    <w:rsid w:val="00A42C72"/>
    <w:rsid w:val="00A53CFC"/>
    <w:rsid w:val="00A66469"/>
    <w:rsid w:val="00A86B74"/>
    <w:rsid w:val="00A90207"/>
    <w:rsid w:val="00A924A4"/>
    <w:rsid w:val="00A96344"/>
    <w:rsid w:val="00AA0BFF"/>
    <w:rsid w:val="00AA6F17"/>
    <w:rsid w:val="00AB0E8A"/>
    <w:rsid w:val="00AB1C64"/>
    <w:rsid w:val="00AB2364"/>
    <w:rsid w:val="00AB2FC2"/>
    <w:rsid w:val="00AC1872"/>
    <w:rsid w:val="00AC188F"/>
    <w:rsid w:val="00AD6E49"/>
    <w:rsid w:val="00AE71F4"/>
    <w:rsid w:val="00AF1C69"/>
    <w:rsid w:val="00AF5556"/>
    <w:rsid w:val="00AF5942"/>
    <w:rsid w:val="00B00C79"/>
    <w:rsid w:val="00B03187"/>
    <w:rsid w:val="00B07830"/>
    <w:rsid w:val="00B10AFB"/>
    <w:rsid w:val="00B15BB5"/>
    <w:rsid w:val="00B164AC"/>
    <w:rsid w:val="00B270A1"/>
    <w:rsid w:val="00B30BA4"/>
    <w:rsid w:val="00B425A6"/>
    <w:rsid w:val="00B42A44"/>
    <w:rsid w:val="00B45147"/>
    <w:rsid w:val="00B46D5D"/>
    <w:rsid w:val="00B53918"/>
    <w:rsid w:val="00B74082"/>
    <w:rsid w:val="00B77A4B"/>
    <w:rsid w:val="00B81AB4"/>
    <w:rsid w:val="00B82550"/>
    <w:rsid w:val="00B9069F"/>
    <w:rsid w:val="00B918DC"/>
    <w:rsid w:val="00BA6B03"/>
    <w:rsid w:val="00BA72D7"/>
    <w:rsid w:val="00BB1323"/>
    <w:rsid w:val="00BC6411"/>
    <w:rsid w:val="00BD5EB2"/>
    <w:rsid w:val="00BD6D07"/>
    <w:rsid w:val="00BE1F4F"/>
    <w:rsid w:val="00BE78DD"/>
    <w:rsid w:val="00BF0281"/>
    <w:rsid w:val="00BF15DF"/>
    <w:rsid w:val="00BF7508"/>
    <w:rsid w:val="00C048B2"/>
    <w:rsid w:val="00C114D3"/>
    <w:rsid w:val="00C17248"/>
    <w:rsid w:val="00C208FF"/>
    <w:rsid w:val="00C257E2"/>
    <w:rsid w:val="00C3241F"/>
    <w:rsid w:val="00C329F9"/>
    <w:rsid w:val="00C335F9"/>
    <w:rsid w:val="00C350D8"/>
    <w:rsid w:val="00C35721"/>
    <w:rsid w:val="00C615A6"/>
    <w:rsid w:val="00C6743E"/>
    <w:rsid w:val="00C67725"/>
    <w:rsid w:val="00C67ED6"/>
    <w:rsid w:val="00C73625"/>
    <w:rsid w:val="00C915E3"/>
    <w:rsid w:val="00CA6B6C"/>
    <w:rsid w:val="00CB44F9"/>
    <w:rsid w:val="00CB522D"/>
    <w:rsid w:val="00CE016D"/>
    <w:rsid w:val="00CE0FB0"/>
    <w:rsid w:val="00CE3543"/>
    <w:rsid w:val="00CF29D6"/>
    <w:rsid w:val="00CF327C"/>
    <w:rsid w:val="00CF6756"/>
    <w:rsid w:val="00D13696"/>
    <w:rsid w:val="00D156D4"/>
    <w:rsid w:val="00D20D29"/>
    <w:rsid w:val="00D2781E"/>
    <w:rsid w:val="00D31E4D"/>
    <w:rsid w:val="00D34F03"/>
    <w:rsid w:val="00D36AE5"/>
    <w:rsid w:val="00D43660"/>
    <w:rsid w:val="00D938D9"/>
    <w:rsid w:val="00D947A4"/>
    <w:rsid w:val="00D9593F"/>
    <w:rsid w:val="00DA1E95"/>
    <w:rsid w:val="00DA5BA3"/>
    <w:rsid w:val="00DC6996"/>
    <w:rsid w:val="00DD388D"/>
    <w:rsid w:val="00DE7BB3"/>
    <w:rsid w:val="00DF28C4"/>
    <w:rsid w:val="00DF3086"/>
    <w:rsid w:val="00DF3B42"/>
    <w:rsid w:val="00E03569"/>
    <w:rsid w:val="00E058C7"/>
    <w:rsid w:val="00E05977"/>
    <w:rsid w:val="00E16923"/>
    <w:rsid w:val="00E169C2"/>
    <w:rsid w:val="00E25779"/>
    <w:rsid w:val="00E3082E"/>
    <w:rsid w:val="00E358B3"/>
    <w:rsid w:val="00E42B0C"/>
    <w:rsid w:val="00E50045"/>
    <w:rsid w:val="00E71BD7"/>
    <w:rsid w:val="00E73A20"/>
    <w:rsid w:val="00E777F0"/>
    <w:rsid w:val="00E96446"/>
    <w:rsid w:val="00EA1C58"/>
    <w:rsid w:val="00EB0307"/>
    <w:rsid w:val="00EB2315"/>
    <w:rsid w:val="00EC1D23"/>
    <w:rsid w:val="00ED4AA4"/>
    <w:rsid w:val="00EE571A"/>
    <w:rsid w:val="00EF0130"/>
    <w:rsid w:val="00EF07EF"/>
    <w:rsid w:val="00F02359"/>
    <w:rsid w:val="00F11F9F"/>
    <w:rsid w:val="00F234D4"/>
    <w:rsid w:val="00F24FF7"/>
    <w:rsid w:val="00F36165"/>
    <w:rsid w:val="00F412CD"/>
    <w:rsid w:val="00F43AE2"/>
    <w:rsid w:val="00F44E96"/>
    <w:rsid w:val="00F46321"/>
    <w:rsid w:val="00F466F0"/>
    <w:rsid w:val="00F475C6"/>
    <w:rsid w:val="00F50CD5"/>
    <w:rsid w:val="00F527F0"/>
    <w:rsid w:val="00F5321F"/>
    <w:rsid w:val="00F54344"/>
    <w:rsid w:val="00F54F7B"/>
    <w:rsid w:val="00F6469F"/>
    <w:rsid w:val="00F64986"/>
    <w:rsid w:val="00F939C3"/>
    <w:rsid w:val="00FA0308"/>
    <w:rsid w:val="00FB48CB"/>
    <w:rsid w:val="00FB5DBC"/>
    <w:rsid w:val="00FC01E3"/>
    <w:rsid w:val="00FC0325"/>
    <w:rsid w:val="00FC183C"/>
    <w:rsid w:val="00FC54FC"/>
    <w:rsid w:val="00FC5FED"/>
    <w:rsid w:val="00FE6412"/>
    <w:rsid w:val="00FF51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aliases w:val="FSHeading 1,Chapter heading"/>
    <w:basedOn w:val="Normal"/>
    <w:next w:val="Normal"/>
    <w:link w:val="Heading1Char"/>
    <w:uiPriority w:val="9"/>
    <w:qFormat/>
    <w:pPr>
      <w:keepNext/>
      <w:tabs>
        <w:tab w:val="left" w:pos="-1440"/>
        <w:tab w:val="left" w:pos="567"/>
      </w:tabs>
      <w:outlineLvl w:val="0"/>
    </w:pPr>
    <w:rPr>
      <w:b/>
      <w:bCs/>
    </w:rPr>
  </w:style>
  <w:style w:type="paragraph" w:styleId="Heading2">
    <w:name w:val="heading 2"/>
    <w:aliases w:val="FSHeading 2,Section heading"/>
    <w:basedOn w:val="Normal"/>
    <w:next w:val="Normal"/>
    <w:link w:val="Heading2Char"/>
    <w:uiPriority w:val="9"/>
    <w:qFormat/>
    <w:pPr>
      <w:keepNext/>
      <w:jc w:val="center"/>
      <w:outlineLvl w:val="1"/>
    </w:pPr>
    <w:rPr>
      <w:b/>
      <w:bCs/>
      <w:vanish/>
      <w:color w:val="FF0000"/>
    </w:rPr>
  </w:style>
  <w:style w:type="paragraph" w:styleId="Heading3">
    <w:name w:val="heading 3"/>
    <w:aliases w:val="FSHeading 3,Subheading 1"/>
    <w:basedOn w:val="Normal"/>
    <w:next w:val="Normal"/>
    <w:link w:val="Heading3Char"/>
    <w:autoRedefine/>
    <w:uiPriority w:val="2"/>
    <w:unhideWhenUsed/>
    <w:qFormat/>
    <w:rsid w:val="00F54344"/>
    <w:pPr>
      <w:keepNext/>
      <w:spacing w:before="240" w:after="240"/>
      <w:outlineLvl w:val="2"/>
    </w:pPr>
    <w:rPr>
      <w:rFonts w:eastAsiaTheme="majorEastAsia"/>
      <w:b/>
      <w:bCs/>
      <w:i/>
      <w:lang w:val="en-GB" w:eastAsia="en-US"/>
    </w:rPr>
  </w:style>
  <w:style w:type="paragraph" w:styleId="Heading4">
    <w:name w:val="heading 4"/>
    <w:aliases w:val="FSHeading 4,Subheading 2"/>
    <w:basedOn w:val="Normal"/>
    <w:next w:val="Normal"/>
    <w:link w:val="Heading4Char"/>
    <w:uiPriority w:val="9"/>
    <w:unhideWhenUsed/>
    <w:qFormat/>
    <w:rsid w:val="00DF28C4"/>
    <w:pPr>
      <w:keepNext/>
      <w:spacing w:before="240" w:after="240"/>
      <w:ind w:left="851" w:hanging="851"/>
      <w:outlineLvl w:val="3"/>
    </w:pPr>
    <w:rPr>
      <w:rFonts w:ascii="Arial" w:eastAsiaTheme="majorEastAsia" w:hAnsi="Arial" w:cstheme="majorBidi"/>
      <w:b/>
      <w:bCs/>
      <w:i/>
      <w:iCs/>
      <w:sz w:val="22"/>
      <w:szCs w:val="22"/>
      <w:lang w:val="en-GB" w:eastAsia="en-US"/>
    </w:rPr>
  </w:style>
  <w:style w:type="paragraph" w:styleId="Heading5">
    <w:name w:val="heading 5"/>
    <w:aliases w:val="FSHeading 5,Subheading 3"/>
    <w:basedOn w:val="Normal"/>
    <w:next w:val="Normal"/>
    <w:link w:val="Heading5Char"/>
    <w:uiPriority w:val="9"/>
    <w:unhideWhenUsed/>
    <w:qFormat/>
    <w:rsid w:val="00DF28C4"/>
    <w:pPr>
      <w:keepNext/>
      <w:spacing w:before="240" w:after="240"/>
      <w:ind w:left="851" w:hanging="851"/>
      <w:outlineLvl w:val="4"/>
    </w:pPr>
    <w:rPr>
      <w:rFonts w:ascii="Arial" w:eastAsiaTheme="majorEastAsia" w:hAnsi="Arial" w:cstheme="majorBidi"/>
      <w:i/>
      <w:sz w:val="22"/>
      <w:szCs w:val="22"/>
      <w:lang w:val="en-GB" w:eastAsia="en-US"/>
    </w:rPr>
  </w:style>
  <w:style w:type="paragraph" w:styleId="Heading6">
    <w:name w:val="heading 6"/>
    <w:basedOn w:val="Normal"/>
    <w:next w:val="Normal"/>
    <w:link w:val="Heading6Char"/>
    <w:uiPriority w:val="9"/>
    <w:unhideWhenUsed/>
    <w:rsid w:val="00DF28C4"/>
    <w:pPr>
      <w:keepNext/>
      <w:keepLines/>
      <w:spacing w:before="200"/>
      <w:outlineLvl w:val="5"/>
    </w:pPr>
    <w:rPr>
      <w:rFonts w:asciiTheme="majorHAnsi" w:eastAsiaTheme="majorEastAsia" w:hAnsiTheme="majorHAnsi" w:cstheme="majorBidi"/>
      <w:i/>
      <w:iCs/>
      <w:color w:val="243F60" w:themeColor="accent1" w:themeShade="7F"/>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aliases w:val="FSHeading 2 Char,Section heading Char"/>
    <w:basedOn w:val="DefaultParagraphFont"/>
    <w:link w:val="Heading2"/>
    <w:uiPriority w:val="9"/>
    <w:locked/>
    <w:rPr>
      <w:rFonts w:asciiTheme="majorHAnsi" w:eastAsiaTheme="majorEastAsia" w:hAnsiTheme="majorHAnsi" w:cs="Times New Roman"/>
      <w:b/>
      <w:bCs/>
      <w:i/>
      <w:iCs/>
      <w:sz w:val="28"/>
      <w:szCs w:val="28"/>
    </w:rPr>
  </w:style>
  <w:style w:type="paragraph" w:styleId="Header">
    <w:name w:val="header"/>
    <w:aliases w:val="FSHeader"/>
    <w:basedOn w:val="Normal"/>
    <w:link w:val="HeaderChar"/>
    <w:uiPriority w:val="99"/>
    <w:qFormat/>
    <w:pPr>
      <w:widowControl w:val="0"/>
      <w:tabs>
        <w:tab w:val="center" w:pos="4153"/>
        <w:tab w:val="right" w:pos="8306"/>
      </w:tabs>
    </w:pPr>
    <w:rPr>
      <w:lang w:val="en-US" w:eastAsia="en-US"/>
    </w:rPr>
  </w:style>
  <w:style w:type="character" w:customStyle="1" w:styleId="HeaderChar">
    <w:name w:val="Header Char"/>
    <w:aliases w:val="FSHeader Char"/>
    <w:basedOn w:val="DefaultParagraphFont"/>
    <w:link w:val="Header"/>
    <w:uiPriority w:val="99"/>
    <w:locked/>
    <w:rPr>
      <w:rFonts w:cs="Times New Roman"/>
      <w:sz w:val="24"/>
      <w:szCs w:val="24"/>
    </w:rPr>
  </w:style>
  <w:style w:type="paragraph" w:styleId="BodyTextIndent2">
    <w:name w:val="Body Text Indent 2"/>
    <w:basedOn w:val="Normal"/>
    <w:link w:val="BodyTextIndent2Char"/>
    <w:uiPriority w:val="99"/>
    <w:pPr>
      <w:widowControl w:val="0"/>
      <w:tabs>
        <w:tab w:val="left" w:pos="709"/>
      </w:tabs>
      <w:ind w:left="709" w:hanging="709"/>
    </w:pPr>
    <w:rPr>
      <w:lang w:eastAsia="en-US"/>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odyText">
    <w:name w:val="Body Text"/>
    <w:basedOn w:val="Normal"/>
    <w:link w:val="BodyTextChar"/>
    <w:uiPriority w:val="99"/>
    <w:pPr>
      <w:jc w:val="center"/>
    </w:pPr>
    <w:rPr>
      <w:b/>
      <w:bCs/>
      <w:vanish/>
      <w:color w:val="FF0000"/>
    </w:rPr>
  </w:style>
  <w:style w:type="character" w:customStyle="1" w:styleId="BodyTextChar">
    <w:name w:val="Body Text Char"/>
    <w:basedOn w:val="DefaultParagraphFont"/>
    <w:link w:val="BodyText"/>
    <w:uiPriority w:val="99"/>
    <w:locked/>
    <w:rPr>
      <w:rFonts w:cs="Times New Roman"/>
      <w:sz w:val="24"/>
      <w:szCs w:val="24"/>
    </w:rPr>
  </w:style>
  <w:style w:type="paragraph" w:styleId="Footer">
    <w:name w:val="footer"/>
    <w:aliases w:val="FSFooter"/>
    <w:basedOn w:val="Normal"/>
    <w:link w:val="FooterChar"/>
    <w:uiPriority w:val="99"/>
    <w:qFormat/>
    <w:pPr>
      <w:tabs>
        <w:tab w:val="center" w:pos="4153"/>
        <w:tab w:val="right" w:pos="8306"/>
      </w:tabs>
    </w:pPr>
  </w:style>
  <w:style w:type="character" w:customStyle="1" w:styleId="FooterChar">
    <w:name w:val="Footer Char"/>
    <w:aliases w:val="FSFooter Char"/>
    <w:basedOn w:val="DefaultParagraphFont"/>
    <w:link w:val="Footer"/>
    <w:uiPriority w:val="99"/>
    <w:locked/>
    <w:rPr>
      <w:rFonts w:cs="Times New Roman"/>
      <w:sz w:val="24"/>
      <w:szCs w:val="24"/>
    </w:rPr>
  </w:style>
  <w:style w:type="paragraph" w:styleId="BodyTextIndent">
    <w:name w:val="Body Text Indent"/>
    <w:basedOn w:val="Normal"/>
    <w:link w:val="BodyTextIndentChar"/>
    <w:uiPriority w:val="99"/>
    <w:pPr>
      <w:tabs>
        <w:tab w:val="num" w:pos="5670"/>
        <w:tab w:val="left" w:pos="7513"/>
      </w:tabs>
      <w:ind w:left="5670"/>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styleId="PageNumber">
    <w:name w:val="page number"/>
    <w:basedOn w:val="DefaultParagraphFont"/>
    <w:uiPriority w:val="99"/>
    <w:rsid w:val="00AD6E49"/>
    <w:rPr>
      <w:rFonts w:cs="Times New Roman"/>
    </w:rPr>
  </w:style>
  <w:style w:type="paragraph" w:customStyle="1" w:styleId="MincoHeading">
    <w:name w:val="Minco Heading"/>
    <w:basedOn w:val="Normal"/>
    <w:uiPriority w:val="99"/>
    <w:pPr>
      <w:jc w:val="center"/>
    </w:pPr>
    <w:rPr>
      <w:b/>
      <w:bCs/>
    </w:rPr>
  </w:style>
  <w:style w:type="paragraph" w:customStyle="1" w:styleId="MincoBold">
    <w:name w:val="Minco Bold"/>
    <w:basedOn w:val="Normal"/>
    <w:uiPriority w:val="99"/>
    <w:rPr>
      <w:b/>
      <w:bCs/>
    </w:rPr>
  </w:style>
  <w:style w:type="paragraph" w:customStyle="1" w:styleId="MincoNormal">
    <w:name w:val="Minco Normal"/>
    <w:basedOn w:val="Normal"/>
    <w:uiPriority w:val="99"/>
    <w:rPr>
      <w:lang w:eastAsia="en-US"/>
    </w:rPr>
  </w:style>
  <w:style w:type="paragraph" w:customStyle="1" w:styleId="Minconumbered">
    <w:name w:val="Minco numbered"/>
    <w:basedOn w:val="BodyTextIndent2"/>
    <w:uiPriority w:val="99"/>
    <w:pPr>
      <w:numPr>
        <w:numId w:val="1"/>
      </w:numPr>
      <w:tabs>
        <w:tab w:val="left" w:pos="426"/>
      </w:tabs>
      <w:spacing w:after="120"/>
    </w:pPr>
  </w:style>
  <w:style w:type="paragraph" w:customStyle="1" w:styleId="Mincobulleted">
    <w:name w:val="Minco bulleted"/>
    <w:basedOn w:val="Normal"/>
    <w:uiPriority w:val="99"/>
    <w:pPr>
      <w:tabs>
        <w:tab w:val="left" w:pos="426"/>
      </w:tabs>
      <w:spacing w:after="120"/>
      <w:ind w:left="425" w:hanging="425"/>
    </w:pPr>
  </w:style>
  <w:style w:type="paragraph" w:customStyle="1" w:styleId="numberedproforma">
    <w:name w:val="numbered proforma"/>
    <w:basedOn w:val="BodyTextIndent2"/>
    <w:uiPriority w:val="99"/>
    <w:rsid w:val="0065579A"/>
    <w:pPr>
      <w:tabs>
        <w:tab w:val="clear" w:pos="709"/>
        <w:tab w:val="left" w:pos="426"/>
      </w:tabs>
      <w:spacing w:after="120"/>
      <w:ind w:left="426" w:hanging="426"/>
    </w:pPr>
  </w:style>
  <w:style w:type="paragraph" w:customStyle="1" w:styleId="FRSCnumbered">
    <w:name w:val="FRSC numbered"/>
    <w:basedOn w:val="numberedproforma"/>
    <w:uiPriority w:val="99"/>
    <w:rsid w:val="0065579A"/>
  </w:style>
  <w:style w:type="paragraph" w:customStyle="1" w:styleId="FRSCBullet">
    <w:name w:val="FRSC Bullet"/>
    <w:basedOn w:val="Normal"/>
    <w:uiPriority w:val="99"/>
    <w:rsid w:val="0065579A"/>
    <w:pPr>
      <w:spacing w:after="120"/>
    </w:pPr>
  </w:style>
  <w:style w:type="paragraph" w:customStyle="1" w:styleId="FRSCBold">
    <w:name w:val="FRSC Bold"/>
    <w:basedOn w:val="Heading1"/>
    <w:uiPriority w:val="99"/>
    <w:rsid w:val="000D3568"/>
    <w:pPr>
      <w:tabs>
        <w:tab w:val="clear" w:pos="-1440"/>
        <w:tab w:val="clear" w:pos="567"/>
      </w:tabs>
    </w:pPr>
  </w:style>
  <w:style w:type="paragraph" w:customStyle="1" w:styleId="FRSCNormal">
    <w:name w:val="FRSC Normal"/>
    <w:basedOn w:val="Normal"/>
    <w:uiPriority w:val="99"/>
    <w:rsid w:val="000D3568"/>
  </w:style>
  <w:style w:type="paragraph" w:customStyle="1" w:styleId="FRSCContactblock">
    <w:name w:val="FRSC Contact block"/>
    <w:basedOn w:val="Normal"/>
    <w:uiPriority w:val="99"/>
    <w:rsid w:val="000D3568"/>
  </w:style>
  <w:style w:type="paragraph" w:styleId="Title">
    <w:name w:val="Title"/>
    <w:basedOn w:val="Normal"/>
    <w:link w:val="TitleChar"/>
    <w:uiPriority w:val="99"/>
    <w:qFormat/>
    <w:rsid w:val="00102FC2"/>
    <w:pPr>
      <w:jc w:val="center"/>
    </w:pPr>
    <w:rPr>
      <w:b/>
      <w:szCs w:val="20"/>
      <w:lang w:eastAsia="en-US"/>
    </w:rPr>
  </w:style>
  <w:style w:type="character" w:customStyle="1" w:styleId="TitleChar">
    <w:name w:val="Title Char"/>
    <w:basedOn w:val="DefaultParagraphFont"/>
    <w:link w:val="Title"/>
    <w:uiPriority w:val="99"/>
    <w:locked/>
    <w:rsid w:val="00102FC2"/>
    <w:rPr>
      <w:rFonts w:cs="Times New Roman"/>
      <w:b/>
      <w:sz w:val="24"/>
      <w:lang w:val="en-AU" w:eastAsia="en-US" w:bidi="ar-SA"/>
    </w:rPr>
  </w:style>
  <w:style w:type="paragraph" w:customStyle="1" w:styleId="Char">
    <w:name w:val="Char"/>
    <w:basedOn w:val="Normal"/>
    <w:uiPriority w:val="99"/>
    <w:rsid w:val="00CB44F9"/>
    <w:rPr>
      <w:rFonts w:ascii="Arial" w:hAnsi="Arial" w:cs="Arial"/>
      <w:sz w:val="22"/>
      <w:szCs w:val="22"/>
      <w:lang w:eastAsia="en-US"/>
    </w:rPr>
  </w:style>
  <w:style w:type="paragraph" w:customStyle="1" w:styleId="ISCBold">
    <w:name w:val="ISC Bold"/>
    <w:basedOn w:val="Normal"/>
    <w:uiPriority w:val="99"/>
    <w:rsid w:val="001E441E"/>
    <w:rPr>
      <w:b/>
      <w:bCs/>
    </w:rPr>
  </w:style>
  <w:style w:type="paragraph" w:styleId="BalloonText">
    <w:name w:val="Balloon Text"/>
    <w:basedOn w:val="Normal"/>
    <w:link w:val="BalloonTextChar"/>
    <w:uiPriority w:val="99"/>
    <w:semiHidden/>
    <w:unhideWhenUsed/>
    <w:rsid w:val="001E441E"/>
    <w:rPr>
      <w:rFonts w:ascii="Tahoma" w:hAnsi="Tahoma" w:cs="Tahoma"/>
      <w:sz w:val="16"/>
      <w:szCs w:val="16"/>
    </w:rPr>
  </w:style>
  <w:style w:type="character" w:customStyle="1" w:styleId="BalloonTextChar">
    <w:name w:val="Balloon Text Char"/>
    <w:basedOn w:val="DefaultParagraphFont"/>
    <w:link w:val="BalloonText"/>
    <w:uiPriority w:val="99"/>
    <w:semiHidden/>
    <w:rsid w:val="001E441E"/>
    <w:rPr>
      <w:rFonts w:ascii="Tahoma" w:hAnsi="Tahoma" w:cs="Tahoma"/>
      <w:sz w:val="16"/>
      <w:szCs w:val="16"/>
    </w:rPr>
  </w:style>
  <w:style w:type="character" w:styleId="CommentReference">
    <w:name w:val="annotation reference"/>
    <w:basedOn w:val="DefaultParagraphFont"/>
    <w:uiPriority w:val="99"/>
    <w:semiHidden/>
    <w:unhideWhenUsed/>
    <w:rsid w:val="0014340B"/>
    <w:rPr>
      <w:sz w:val="16"/>
      <w:szCs w:val="16"/>
    </w:rPr>
  </w:style>
  <w:style w:type="paragraph" w:styleId="CommentText">
    <w:name w:val="annotation text"/>
    <w:basedOn w:val="Normal"/>
    <w:link w:val="CommentTextChar"/>
    <w:uiPriority w:val="99"/>
    <w:unhideWhenUsed/>
    <w:rsid w:val="0014340B"/>
    <w:rPr>
      <w:sz w:val="20"/>
      <w:szCs w:val="20"/>
    </w:rPr>
  </w:style>
  <w:style w:type="character" w:customStyle="1" w:styleId="CommentTextChar">
    <w:name w:val="Comment Text Char"/>
    <w:basedOn w:val="DefaultParagraphFont"/>
    <w:link w:val="CommentText"/>
    <w:uiPriority w:val="99"/>
    <w:rsid w:val="0014340B"/>
    <w:rPr>
      <w:sz w:val="20"/>
      <w:szCs w:val="20"/>
    </w:rPr>
  </w:style>
  <w:style w:type="paragraph" w:styleId="CommentSubject">
    <w:name w:val="annotation subject"/>
    <w:basedOn w:val="CommentText"/>
    <w:next w:val="CommentText"/>
    <w:link w:val="CommentSubjectChar"/>
    <w:uiPriority w:val="99"/>
    <w:semiHidden/>
    <w:unhideWhenUsed/>
    <w:rsid w:val="0014340B"/>
    <w:rPr>
      <w:b/>
      <w:bCs/>
    </w:rPr>
  </w:style>
  <w:style w:type="character" w:customStyle="1" w:styleId="CommentSubjectChar">
    <w:name w:val="Comment Subject Char"/>
    <w:basedOn w:val="CommentTextChar"/>
    <w:link w:val="CommentSubject"/>
    <w:uiPriority w:val="99"/>
    <w:semiHidden/>
    <w:rsid w:val="0014340B"/>
    <w:rPr>
      <w:b/>
      <w:bCs/>
      <w:sz w:val="20"/>
      <w:szCs w:val="20"/>
    </w:rPr>
  </w:style>
  <w:style w:type="table" w:styleId="TableGrid">
    <w:name w:val="Table Grid"/>
    <w:basedOn w:val="TableNormal"/>
    <w:uiPriority w:val="59"/>
    <w:rsid w:val="00AA6F1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val="0"/>
    </w:trPr>
  </w:style>
  <w:style w:type="paragraph" w:styleId="ListParagraph">
    <w:name w:val="List Paragraph"/>
    <w:aliases w:val="dot point 1,Bullet point,Bullets,CV text,Dot pt,F5 List Paragraph,FooterText,L,List Paragraph1,List Paragraph11,List Paragraph111,List Paragraph2,Medium Grid 1 - Accent 21,NAST Quote,NFP GP Bulleted List,Numbered Paragraph,Recommendation"/>
    <w:basedOn w:val="Normal"/>
    <w:link w:val="ListParagraphChar"/>
    <w:uiPriority w:val="34"/>
    <w:qFormat/>
    <w:rsid w:val="00AA6F17"/>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ISCnumbered">
    <w:name w:val="ISC numbered"/>
    <w:basedOn w:val="BodyTextIndent2"/>
    <w:link w:val="ISCnumberedChar"/>
    <w:uiPriority w:val="99"/>
    <w:rsid w:val="00DA5BA3"/>
    <w:pPr>
      <w:tabs>
        <w:tab w:val="num" w:pos="360"/>
        <w:tab w:val="left" w:pos="426"/>
      </w:tabs>
      <w:spacing w:after="120"/>
      <w:ind w:left="360" w:hanging="360"/>
    </w:pPr>
  </w:style>
  <w:style w:type="character" w:customStyle="1" w:styleId="ISCnumberedChar">
    <w:name w:val="ISC numbered Char"/>
    <w:link w:val="ISCnumbered"/>
    <w:uiPriority w:val="99"/>
    <w:locked/>
    <w:rsid w:val="00DA5BA3"/>
    <w:rPr>
      <w:sz w:val="24"/>
      <w:szCs w:val="24"/>
      <w:lang w:eastAsia="en-US"/>
    </w:rPr>
  </w:style>
  <w:style w:type="paragraph" w:customStyle="1" w:styleId="ISCNormal">
    <w:name w:val="ISC Normal"/>
    <w:basedOn w:val="Normal"/>
    <w:uiPriority w:val="99"/>
    <w:rsid w:val="002F67CE"/>
  </w:style>
  <w:style w:type="paragraph" w:customStyle="1" w:styleId="ISCbulleted">
    <w:name w:val="ISC bulleted"/>
    <w:basedOn w:val="Normal"/>
    <w:rsid w:val="00980FD0"/>
    <w:pPr>
      <w:tabs>
        <w:tab w:val="num" w:pos="360"/>
        <w:tab w:val="left" w:pos="567"/>
      </w:tabs>
      <w:spacing w:after="120"/>
      <w:ind w:left="360" w:hanging="360"/>
    </w:pPr>
  </w:style>
  <w:style w:type="character" w:styleId="Hyperlink">
    <w:name w:val="Hyperlink"/>
    <w:basedOn w:val="DefaultParagraphFont"/>
    <w:uiPriority w:val="99"/>
    <w:unhideWhenUsed/>
    <w:rsid w:val="004904C5"/>
    <w:rPr>
      <w:color w:val="0000FF" w:themeColor="hyperlink"/>
      <w:u w:val="single"/>
    </w:rPr>
  </w:style>
  <w:style w:type="character" w:customStyle="1" w:styleId="ListParagraphChar">
    <w:name w:val="List Paragraph Char"/>
    <w:aliases w:val="dot point 1 Char,Bullet point Char,Bullets Char,CV text Char,Dot pt Char,F5 List Paragraph Char,FooterText Char,L Char,List Paragraph1 Char,List Paragraph11 Char,List Paragraph111 Char,List Paragraph2 Char,NAST Quote Char"/>
    <w:basedOn w:val="DefaultParagraphFont"/>
    <w:link w:val="ListParagraph"/>
    <w:uiPriority w:val="34"/>
    <w:qFormat/>
    <w:rsid w:val="00CF327C"/>
    <w:rPr>
      <w:rFonts w:asciiTheme="minorHAnsi" w:eastAsiaTheme="minorHAnsi" w:hAnsiTheme="minorHAnsi" w:cstheme="minorBidi"/>
      <w:lang w:eastAsia="en-US"/>
    </w:rPr>
  </w:style>
  <w:style w:type="character" w:customStyle="1" w:styleId="FootnoteTextChar">
    <w:name w:val="Footnote Text Char"/>
    <w:aliases w:val="Footnotes Text Char,FSFootnotes Text Char"/>
    <w:basedOn w:val="DefaultParagraphFont"/>
    <w:link w:val="FootnoteText"/>
    <w:uiPriority w:val="5"/>
    <w:locked/>
    <w:rsid w:val="0083410A"/>
    <w:rPr>
      <w:rFonts w:eastAsiaTheme="minorEastAsia"/>
      <w:sz w:val="20"/>
      <w:szCs w:val="20"/>
    </w:rPr>
  </w:style>
  <w:style w:type="paragraph" w:styleId="FootnoteText">
    <w:name w:val="footnote text"/>
    <w:aliases w:val="Footnotes Text,FSFootnotes Text"/>
    <w:basedOn w:val="Normal"/>
    <w:link w:val="FootnoteTextChar"/>
    <w:uiPriority w:val="5"/>
    <w:unhideWhenUsed/>
    <w:qFormat/>
    <w:rsid w:val="0083410A"/>
    <w:rPr>
      <w:rFonts w:eastAsiaTheme="minorEastAsia"/>
      <w:sz w:val="20"/>
      <w:szCs w:val="20"/>
    </w:rPr>
  </w:style>
  <w:style w:type="character" w:customStyle="1" w:styleId="FootnoteTextChar1">
    <w:name w:val="Footnote Text Char1"/>
    <w:basedOn w:val="DefaultParagraphFont"/>
    <w:uiPriority w:val="99"/>
    <w:semiHidden/>
    <w:rsid w:val="0083410A"/>
    <w:rPr>
      <w:sz w:val="20"/>
      <w:szCs w:val="20"/>
    </w:rPr>
  </w:style>
  <w:style w:type="character" w:styleId="FootnoteReference">
    <w:name w:val="footnote reference"/>
    <w:basedOn w:val="DefaultParagraphFont"/>
    <w:uiPriority w:val="99"/>
    <w:semiHidden/>
    <w:unhideWhenUsed/>
    <w:rsid w:val="0083410A"/>
    <w:rPr>
      <w:vertAlign w:val="superscript"/>
    </w:rPr>
  </w:style>
  <w:style w:type="paragraph" w:styleId="NoSpacing">
    <w:name w:val="No Spacing"/>
    <w:uiPriority w:val="1"/>
    <w:qFormat/>
    <w:rsid w:val="00165532"/>
    <w:pPr>
      <w:spacing w:after="0" w:line="240" w:lineRule="auto"/>
    </w:pPr>
    <w:rPr>
      <w:sz w:val="24"/>
      <w:szCs w:val="24"/>
    </w:rPr>
  </w:style>
  <w:style w:type="character" w:customStyle="1" w:styleId="Heading3Char">
    <w:name w:val="Heading 3 Char"/>
    <w:aliases w:val="FSHeading 3 Char,Subheading 1 Char"/>
    <w:basedOn w:val="DefaultParagraphFont"/>
    <w:link w:val="Heading3"/>
    <w:uiPriority w:val="9"/>
    <w:rsid w:val="00F54344"/>
    <w:rPr>
      <w:rFonts w:eastAsiaTheme="majorEastAsia"/>
      <w:b/>
      <w:bCs/>
      <w:i/>
      <w:sz w:val="24"/>
      <w:szCs w:val="24"/>
      <w:lang w:val="en-GB" w:eastAsia="en-US"/>
    </w:rPr>
  </w:style>
  <w:style w:type="character" w:customStyle="1" w:styleId="Heading4Char">
    <w:name w:val="Heading 4 Char"/>
    <w:aliases w:val="FSHeading 4 Char,Subheading 2 Char"/>
    <w:basedOn w:val="DefaultParagraphFont"/>
    <w:link w:val="Heading4"/>
    <w:uiPriority w:val="9"/>
    <w:rsid w:val="00DF28C4"/>
    <w:rPr>
      <w:rFonts w:ascii="Arial" w:eastAsiaTheme="majorEastAsia" w:hAnsi="Arial" w:cstheme="majorBidi"/>
      <w:b/>
      <w:bCs/>
      <w:i/>
      <w:iCs/>
      <w:lang w:val="en-GB" w:eastAsia="en-US"/>
    </w:rPr>
  </w:style>
  <w:style w:type="character" w:customStyle="1" w:styleId="Heading5Char">
    <w:name w:val="Heading 5 Char"/>
    <w:aliases w:val="FSHeading 5 Char,Subheading 3 Char"/>
    <w:basedOn w:val="DefaultParagraphFont"/>
    <w:link w:val="Heading5"/>
    <w:uiPriority w:val="9"/>
    <w:rsid w:val="00DF28C4"/>
    <w:rPr>
      <w:rFonts w:ascii="Arial" w:eastAsiaTheme="majorEastAsia" w:hAnsi="Arial" w:cstheme="majorBidi"/>
      <w:i/>
      <w:lang w:val="en-GB" w:eastAsia="en-US"/>
    </w:rPr>
  </w:style>
  <w:style w:type="character" w:customStyle="1" w:styleId="Heading6Char">
    <w:name w:val="Heading 6 Char"/>
    <w:basedOn w:val="DefaultParagraphFont"/>
    <w:link w:val="Heading6"/>
    <w:uiPriority w:val="9"/>
    <w:rsid w:val="00DF28C4"/>
    <w:rPr>
      <w:rFonts w:asciiTheme="majorHAnsi" w:eastAsiaTheme="majorEastAsia" w:hAnsiTheme="majorHAnsi" w:cstheme="majorBidi"/>
      <w:i/>
      <w:iCs/>
      <w:color w:val="243F60" w:themeColor="accent1" w:themeShade="7F"/>
      <w:lang w:val="en-GB" w:eastAsia="en-US"/>
    </w:rPr>
  </w:style>
  <w:style w:type="paragraph" w:customStyle="1" w:styleId="Table2">
    <w:name w:val="Table 2"/>
    <w:basedOn w:val="Normal"/>
    <w:uiPriority w:val="20"/>
    <w:qFormat/>
    <w:rsid w:val="00DF28C4"/>
    <w:pPr>
      <w:ind w:left="142" w:hanging="142"/>
    </w:pPr>
    <w:rPr>
      <w:rFonts w:ascii="Arial" w:hAnsi="Arial"/>
      <w:bCs/>
      <w:sz w:val="18"/>
      <w:szCs w:val="20"/>
      <w:lang w:val="en-GB" w:eastAsia="en-US"/>
    </w:rPr>
  </w:style>
  <w:style w:type="paragraph" w:customStyle="1" w:styleId="131ItemHeading">
    <w:name w:val="1.3.1 Item Heading"/>
    <w:basedOn w:val="Table2"/>
    <w:next w:val="Table2"/>
    <w:uiPriority w:val="22"/>
    <w:qFormat/>
    <w:rsid w:val="00DF28C4"/>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DF28C4"/>
    <w:pPr>
      <w:spacing w:after="120"/>
    </w:pPr>
    <w:rPr>
      <w:caps w:val="0"/>
      <w:sz w:val="18"/>
    </w:rPr>
  </w:style>
  <w:style w:type="paragraph" w:customStyle="1" w:styleId="142Tableheading1">
    <w:name w:val="1.4.2 Table heading1"/>
    <w:basedOn w:val="Normal"/>
    <w:uiPriority w:val="22"/>
    <w:qFormat/>
    <w:rsid w:val="00DF28C4"/>
    <w:pPr>
      <w:keepNext/>
      <w:jc w:val="center"/>
    </w:pPr>
    <w:rPr>
      <w:rFonts w:ascii="Arial Bold" w:eastAsiaTheme="minorHAnsi" w:hAnsi="Arial Bold" w:cstheme="minorBidi"/>
      <w:b/>
      <w:bCs/>
      <w:iCs/>
      <w:sz w:val="18"/>
      <w:szCs w:val="22"/>
      <w:lang w:val="en-GB" w:eastAsia="en-US"/>
    </w:rPr>
  </w:style>
  <w:style w:type="paragraph" w:customStyle="1" w:styleId="142Tableheading2">
    <w:name w:val="1.4.2 Table heading2"/>
    <w:basedOn w:val="142Tableheading1"/>
    <w:uiPriority w:val="22"/>
    <w:qFormat/>
    <w:rsid w:val="00DF28C4"/>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DF28C4"/>
    <w:pPr>
      <w:ind w:left="142" w:hanging="142"/>
    </w:pPr>
    <w:rPr>
      <w:rFonts w:ascii="Arial" w:hAnsi="Arial"/>
      <w:sz w:val="18"/>
      <w:szCs w:val="20"/>
      <w:lang w:val="en-GB" w:eastAsia="en-US"/>
    </w:rPr>
  </w:style>
  <w:style w:type="character" w:customStyle="1" w:styleId="142Tabletext1Char">
    <w:name w:val="1.4.2 Table text1 Char"/>
    <w:basedOn w:val="DefaultParagraphFont"/>
    <w:link w:val="142Tabletext1"/>
    <w:uiPriority w:val="22"/>
    <w:rsid w:val="00DF28C4"/>
    <w:rPr>
      <w:rFonts w:ascii="Arial" w:hAnsi="Arial"/>
      <w:sz w:val="18"/>
      <w:szCs w:val="20"/>
      <w:lang w:val="en-GB" w:eastAsia="en-US"/>
    </w:rPr>
  </w:style>
  <w:style w:type="paragraph" w:customStyle="1" w:styleId="142Tabletext2">
    <w:name w:val="1.4.2 Table text2"/>
    <w:basedOn w:val="142Tabletext1"/>
    <w:uiPriority w:val="22"/>
    <w:qFormat/>
    <w:rsid w:val="00DF28C4"/>
  </w:style>
  <w:style w:type="paragraph" w:customStyle="1" w:styleId="Blankpage">
    <w:name w:val="Blank page"/>
    <w:basedOn w:val="Normal"/>
    <w:next w:val="Normal"/>
    <w:uiPriority w:val="23"/>
    <w:qFormat/>
    <w:rsid w:val="00DF28C4"/>
    <w:pPr>
      <w:tabs>
        <w:tab w:val="left" w:pos="851"/>
      </w:tabs>
      <w:spacing w:before="6000"/>
      <w:jc w:val="center"/>
    </w:pPr>
    <w:rPr>
      <w:rFonts w:ascii="Arial" w:hAnsi="Arial"/>
      <w:caps/>
      <w:sz w:val="22"/>
      <w:szCs w:val="20"/>
      <w:lang w:val="en-GB" w:eastAsia="en-US"/>
    </w:rPr>
  </w:style>
  <w:style w:type="paragraph" w:customStyle="1" w:styleId="Clause">
    <w:name w:val="Clause"/>
    <w:basedOn w:val="Normal"/>
    <w:next w:val="Normal"/>
    <w:link w:val="ClauseChar"/>
    <w:uiPriority w:val="10"/>
    <w:qFormat/>
    <w:rsid w:val="00DF28C4"/>
    <w:pPr>
      <w:tabs>
        <w:tab w:val="left" w:pos="851"/>
      </w:tabs>
    </w:pPr>
    <w:rPr>
      <w:rFonts w:ascii="Arial" w:hAnsi="Arial"/>
      <w:sz w:val="20"/>
      <w:szCs w:val="20"/>
      <w:lang w:val="en-GB" w:eastAsia="en-US"/>
    </w:rPr>
  </w:style>
  <w:style w:type="character" w:customStyle="1" w:styleId="ClauseChar">
    <w:name w:val="Clause Char"/>
    <w:basedOn w:val="DefaultParagraphFont"/>
    <w:link w:val="Clause"/>
    <w:uiPriority w:val="10"/>
    <w:rsid w:val="00DF28C4"/>
    <w:rPr>
      <w:rFonts w:ascii="Arial" w:hAnsi="Arial"/>
      <w:sz w:val="20"/>
      <w:szCs w:val="20"/>
      <w:lang w:val="en-GB" w:eastAsia="en-US"/>
    </w:rPr>
  </w:style>
  <w:style w:type="paragraph" w:customStyle="1" w:styleId="Clauseheading">
    <w:name w:val="Clause heading"/>
    <w:basedOn w:val="Normal"/>
    <w:next w:val="Normal"/>
    <w:uiPriority w:val="14"/>
    <w:qFormat/>
    <w:rsid w:val="00DF28C4"/>
    <w:pPr>
      <w:keepNext/>
      <w:tabs>
        <w:tab w:val="left" w:pos="851"/>
      </w:tabs>
    </w:pPr>
    <w:rPr>
      <w:rFonts w:ascii="Arial" w:hAnsi="Arial"/>
      <w:b/>
      <w:sz w:val="20"/>
      <w:szCs w:val="20"/>
      <w:lang w:val="en-GB" w:eastAsia="en-US"/>
    </w:rPr>
  </w:style>
  <w:style w:type="paragraph" w:customStyle="1" w:styleId="ClauseList">
    <w:name w:val="Clause List"/>
    <w:basedOn w:val="Clause"/>
    <w:next w:val="Normal"/>
    <w:uiPriority w:val="14"/>
    <w:qFormat/>
    <w:rsid w:val="00DF28C4"/>
    <w:pPr>
      <w:tabs>
        <w:tab w:val="clear" w:pos="851"/>
      </w:tabs>
      <w:ind w:left="851" w:hanging="851"/>
    </w:pPr>
  </w:style>
  <w:style w:type="paragraph" w:customStyle="1" w:styleId="Definition">
    <w:name w:val="Definition"/>
    <w:basedOn w:val="Normal"/>
    <w:next w:val="Normal"/>
    <w:uiPriority w:val="15"/>
    <w:qFormat/>
    <w:rsid w:val="00DF28C4"/>
    <w:pPr>
      <w:ind w:left="1701" w:hanging="851"/>
    </w:pPr>
    <w:rPr>
      <w:rFonts w:ascii="Arial" w:hAnsi="Arial"/>
      <w:sz w:val="20"/>
      <w:szCs w:val="20"/>
      <w:lang w:val="en-GB" w:eastAsia="en-US"/>
    </w:rPr>
  </w:style>
  <w:style w:type="paragraph" w:customStyle="1" w:styleId="DivisionHeading">
    <w:name w:val="Division Heading"/>
    <w:basedOn w:val="Normal"/>
    <w:next w:val="Normal"/>
    <w:uiPriority w:val="15"/>
    <w:qFormat/>
    <w:rsid w:val="00DF28C4"/>
    <w:pPr>
      <w:keepNext/>
      <w:tabs>
        <w:tab w:val="left" w:pos="851"/>
      </w:tabs>
      <w:jc w:val="center"/>
    </w:pPr>
    <w:rPr>
      <w:rFonts w:ascii="Arial" w:hAnsi="Arial"/>
      <w:b/>
      <w:sz w:val="26"/>
      <w:szCs w:val="20"/>
      <w:lang w:val="en-GB" w:eastAsia="en-US"/>
    </w:rPr>
  </w:style>
  <w:style w:type="paragraph" w:customStyle="1" w:styleId="EditorialNoteLine1">
    <w:name w:val="Editorial Note Line 1"/>
    <w:basedOn w:val="Normal"/>
    <w:next w:val="Normal"/>
    <w:uiPriority w:val="16"/>
    <w:qFormat/>
    <w:rsid w:val="00DF28C4"/>
    <w:pPr>
      <w:keepNext/>
      <w:pBdr>
        <w:top w:val="single" w:sz="6" w:space="0" w:color="auto"/>
        <w:left w:val="single" w:sz="6" w:space="0" w:color="auto"/>
        <w:bottom w:val="single" w:sz="6" w:space="0" w:color="auto"/>
        <w:right w:val="single" w:sz="6" w:space="0" w:color="auto"/>
      </w:pBdr>
      <w:tabs>
        <w:tab w:val="left" w:pos="851"/>
      </w:tabs>
    </w:pPr>
    <w:rPr>
      <w:rFonts w:ascii="Arial" w:hAnsi="Arial"/>
      <w:b/>
      <w:sz w:val="20"/>
      <w:szCs w:val="20"/>
      <w:lang w:val="en-GB" w:eastAsia="en-US"/>
    </w:rPr>
  </w:style>
  <w:style w:type="paragraph" w:customStyle="1" w:styleId="EditorialNotetext">
    <w:name w:val="Editorial Note text"/>
    <w:basedOn w:val="EditorialNoteLine1"/>
    <w:uiPriority w:val="16"/>
    <w:qFormat/>
    <w:rsid w:val="00DF28C4"/>
    <w:pPr>
      <w:keepNext w:val="0"/>
    </w:pPr>
    <w:rPr>
      <w:b w:val="0"/>
    </w:rPr>
  </w:style>
  <w:style w:type="paragraph" w:customStyle="1" w:styleId="FSBullet1">
    <w:name w:val="FSBullet 1"/>
    <w:basedOn w:val="Normal"/>
    <w:next w:val="Normal"/>
    <w:link w:val="FSBullet1Char"/>
    <w:uiPriority w:val="6"/>
    <w:qFormat/>
    <w:locked/>
    <w:rsid w:val="00DF28C4"/>
    <w:pPr>
      <w:numPr>
        <w:numId w:val="10"/>
      </w:numPr>
      <w:ind w:left="567" w:hanging="567"/>
    </w:pPr>
    <w:rPr>
      <w:rFonts w:ascii="Arial" w:hAnsi="Arial" w:cs="Arial"/>
      <w:sz w:val="22"/>
      <w:lang w:val="en-GB" w:eastAsia="en-US"/>
    </w:rPr>
  </w:style>
  <w:style w:type="character" w:customStyle="1" w:styleId="FSBullet1Char">
    <w:name w:val="FSBullet 1 Char"/>
    <w:basedOn w:val="DefaultParagraphFont"/>
    <w:link w:val="FSBullet1"/>
    <w:uiPriority w:val="6"/>
    <w:rsid w:val="00DF28C4"/>
    <w:rPr>
      <w:rFonts w:ascii="Arial" w:hAnsi="Arial" w:cs="Arial"/>
      <w:szCs w:val="24"/>
      <w:lang w:val="en-GB" w:eastAsia="en-US"/>
    </w:rPr>
  </w:style>
  <w:style w:type="paragraph" w:customStyle="1" w:styleId="FSBullet2">
    <w:name w:val="FSBullet 2"/>
    <w:basedOn w:val="Normal"/>
    <w:uiPriority w:val="6"/>
    <w:qFormat/>
    <w:locked/>
    <w:rsid w:val="00DF28C4"/>
    <w:pPr>
      <w:numPr>
        <w:numId w:val="11"/>
      </w:numPr>
      <w:ind w:left="1134" w:hanging="567"/>
    </w:pPr>
    <w:rPr>
      <w:rFonts w:ascii="Arial" w:eastAsiaTheme="minorHAnsi" w:hAnsi="Arial" w:cstheme="minorBidi"/>
      <w:sz w:val="22"/>
      <w:szCs w:val="22"/>
      <w:lang w:val="en-GB" w:eastAsia="en-US"/>
    </w:rPr>
  </w:style>
  <w:style w:type="paragraph" w:customStyle="1" w:styleId="FSBullet3">
    <w:name w:val="FSBullet 3"/>
    <w:basedOn w:val="Normal"/>
    <w:uiPriority w:val="6"/>
    <w:qFormat/>
    <w:locked/>
    <w:rsid w:val="00DF28C4"/>
    <w:pPr>
      <w:keepNext/>
      <w:numPr>
        <w:numId w:val="12"/>
      </w:numPr>
      <w:ind w:left="1701" w:hanging="567"/>
    </w:pPr>
    <w:rPr>
      <w:rFonts w:ascii="Arial" w:eastAsiaTheme="minorHAnsi" w:hAnsi="Arial" w:cstheme="minorBidi"/>
      <w:sz w:val="22"/>
      <w:szCs w:val="22"/>
      <w:lang w:val="en-GB" w:eastAsia="en-US"/>
    </w:rPr>
  </w:style>
  <w:style w:type="paragraph" w:customStyle="1" w:styleId="FSCaption">
    <w:name w:val="FSCaption"/>
    <w:basedOn w:val="Normal"/>
    <w:uiPriority w:val="9"/>
    <w:qFormat/>
    <w:locked/>
    <w:rsid w:val="00DF28C4"/>
    <w:pPr>
      <w:keepNext/>
      <w:keepLines/>
      <w:spacing w:before="120"/>
    </w:pPr>
    <w:rPr>
      <w:rFonts w:ascii="Arial" w:eastAsiaTheme="minorHAnsi" w:hAnsi="Arial" w:cstheme="minorBidi"/>
      <w:i/>
      <w:sz w:val="16"/>
      <w:szCs w:val="16"/>
      <w:lang w:val="en-GB" w:eastAsia="en-US"/>
    </w:rPr>
  </w:style>
  <w:style w:type="paragraph" w:customStyle="1" w:styleId="FSCFootnote">
    <w:name w:val="FSCFootnote"/>
    <w:basedOn w:val="Normal"/>
    <w:next w:val="Normal"/>
    <w:uiPriority w:val="17"/>
    <w:qFormat/>
    <w:locked/>
    <w:rsid w:val="00DF28C4"/>
    <w:rPr>
      <w:rFonts w:ascii="Arial" w:hAnsi="Arial"/>
      <w:sz w:val="16"/>
      <w:szCs w:val="20"/>
      <w:lang w:val="en-GB" w:eastAsia="en-US"/>
    </w:rPr>
  </w:style>
  <w:style w:type="paragraph" w:customStyle="1" w:styleId="FSCFooter">
    <w:name w:val="FSCFooter"/>
    <w:basedOn w:val="FSCFootnote"/>
    <w:uiPriority w:val="17"/>
    <w:qFormat/>
    <w:locked/>
    <w:rsid w:val="00DF28C4"/>
    <w:pPr>
      <w:tabs>
        <w:tab w:val="center" w:pos="4536"/>
        <w:tab w:val="right" w:pos="9070"/>
      </w:tabs>
    </w:pPr>
    <w:rPr>
      <w:sz w:val="18"/>
      <w:szCs w:val="18"/>
    </w:rPr>
  </w:style>
  <w:style w:type="paragraph" w:customStyle="1" w:styleId="FSPagenumber">
    <w:name w:val="FSPage number"/>
    <w:basedOn w:val="Normal"/>
    <w:uiPriority w:val="1"/>
    <w:qFormat/>
    <w:locked/>
    <w:rsid w:val="00DF28C4"/>
    <w:pPr>
      <w:jc w:val="center"/>
    </w:pPr>
    <w:rPr>
      <w:rFonts w:ascii="Arial" w:eastAsiaTheme="minorHAnsi" w:hAnsi="Arial" w:cstheme="minorBidi"/>
      <w:sz w:val="20"/>
      <w:szCs w:val="20"/>
      <w:lang w:val="en-GB" w:eastAsia="en-US"/>
    </w:rPr>
  </w:style>
  <w:style w:type="paragraph" w:customStyle="1" w:styleId="FSTableColumnRowheading">
    <w:name w:val="FSTable Column/Row heading"/>
    <w:basedOn w:val="Normal"/>
    <w:uiPriority w:val="8"/>
    <w:qFormat/>
    <w:locked/>
    <w:rsid w:val="00DF28C4"/>
    <w:pPr>
      <w:spacing w:before="120" w:after="120"/>
    </w:pPr>
    <w:rPr>
      <w:rFonts w:ascii="Arial" w:eastAsiaTheme="minorHAnsi" w:hAnsi="Arial" w:cstheme="minorBidi"/>
      <w:b/>
      <w:sz w:val="20"/>
      <w:szCs w:val="20"/>
      <w:lang w:val="en-GB" w:eastAsia="en-US"/>
    </w:rPr>
  </w:style>
  <w:style w:type="paragraph" w:customStyle="1" w:styleId="FSTableFigureHeading">
    <w:name w:val="FSTable/Figure Heading"/>
    <w:basedOn w:val="Normal"/>
    <w:uiPriority w:val="7"/>
    <w:qFormat/>
    <w:locked/>
    <w:rsid w:val="00DF28C4"/>
    <w:pPr>
      <w:spacing w:before="120" w:after="120"/>
      <w:ind w:left="1134" w:hanging="1134"/>
    </w:pPr>
    <w:rPr>
      <w:rFonts w:ascii="Arial" w:eastAsiaTheme="minorHAnsi" w:hAnsi="Arial" w:cstheme="minorBidi"/>
      <w:b/>
      <w:i/>
      <w:sz w:val="22"/>
      <w:szCs w:val="22"/>
      <w:lang w:val="en-GB" w:eastAsia="en-US"/>
    </w:rPr>
  </w:style>
  <w:style w:type="paragraph" w:customStyle="1" w:styleId="Paragraph">
    <w:name w:val="Paragraph"/>
    <w:basedOn w:val="Clause"/>
    <w:next w:val="Normal"/>
    <w:uiPriority w:val="12"/>
    <w:qFormat/>
    <w:rsid w:val="00DF28C4"/>
    <w:pPr>
      <w:tabs>
        <w:tab w:val="clear" w:pos="851"/>
      </w:tabs>
      <w:ind w:left="1702" w:hanging="851"/>
    </w:pPr>
  </w:style>
  <w:style w:type="paragraph" w:customStyle="1" w:styleId="ScheduleHeading">
    <w:name w:val="Schedule Heading"/>
    <w:basedOn w:val="Normal"/>
    <w:next w:val="Normal"/>
    <w:uiPriority w:val="18"/>
    <w:qFormat/>
    <w:rsid w:val="00DF28C4"/>
    <w:pPr>
      <w:tabs>
        <w:tab w:val="left" w:pos="851"/>
      </w:tabs>
      <w:jc w:val="center"/>
    </w:pPr>
    <w:rPr>
      <w:rFonts w:ascii="Arial" w:hAnsi="Arial"/>
      <w:b/>
      <w:caps/>
      <w:sz w:val="20"/>
      <w:szCs w:val="20"/>
      <w:lang w:val="en-GB" w:eastAsia="en-US"/>
    </w:rPr>
  </w:style>
  <w:style w:type="paragraph" w:customStyle="1" w:styleId="Standardtitle">
    <w:name w:val="Standard title"/>
    <w:basedOn w:val="Normal"/>
    <w:uiPriority w:val="18"/>
    <w:qFormat/>
    <w:rsid w:val="00DF28C4"/>
    <w:pPr>
      <w:keepNext/>
      <w:tabs>
        <w:tab w:val="left" w:pos="851"/>
      </w:tabs>
      <w:jc w:val="center"/>
    </w:pPr>
    <w:rPr>
      <w:rFonts w:ascii="Arial" w:hAnsi="Arial"/>
      <w:b/>
      <w:i/>
      <w:iCs/>
      <w:caps/>
      <w:sz w:val="28"/>
      <w:szCs w:val="20"/>
      <w:lang w:val="en-GB" w:eastAsia="en-US"/>
    </w:rPr>
  </w:style>
  <w:style w:type="paragraph" w:customStyle="1" w:styleId="Subclause">
    <w:name w:val="Subclause"/>
    <w:basedOn w:val="Clause"/>
    <w:uiPriority w:val="11"/>
    <w:qFormat/>
    <w:rsid w:val="00DF28C4"/>
    <w:pPr>
      <w:ind w:left="567" w:hanging="567"/>
    </w:pPr>
  </w:style>
  <w:style w:type="paragraph" w:customStyle="1" w:styleId="Subparagraph">
    <w:name w:val="Subparagraph"/>
    <w:basedOn w:val="Paragraph"/>
    <w:next w:val="Normal"/>
    <w:uiPriority w:val="13"/>
    <w:qFormat/>
    <w:rsid w:val="00DF28C4"/>
    <w:pPr>
      <w:ind w:left="2553"/>
    </w:pPr>
  </w:style>
  <w:style w:type="paragraph" w:customStyle="1" w:styleId="Table1">
    <w:name w:val="Table 1"/>
    <w:basedOn w:val="Normal"/>
    <w:uiPriority w:val="20"/>
    <w:qFormat/>
    <w:rsid w:val="00DF28C4"/>
    <w:pPr>
      <w:keepNext/>
      <w:spacing w:after="120"/>
      <w:jc w:val="center"/>
    </w:pPr>
    <w:rPr>
      <w:rFonts w:ascii="Arial" w:hAnsi="Arial"/>
      <w:b/>
      <w:bCs/>
      <w:sz w:val="18"/>
      <w:szCs w:val="20"/>
      <w:lang w:val="en-GB" w:eastAsia="en-US"/>
    </w:rPr>
  </w:style>
  <w:style w:type="paragraph" w:customStyle="1" w:styleId="TitleBorder">
    <w:name w:val="TitleBorder"/>
    <w:basedOn w:val="Normal"/>
    <w:uiPriority w:val="19"/>
    <w:qFormat/>
    <w:rsid w:val="00DF28C4"/>
    <w:pPr>
      <w:pBdr>
        <w:bottom w:val="double" w:sz="6" w:space="0" w:color="auto"/>
      </w:pBdr>
      <w:tabs>
        <w:tab w:val="left" w:pos="851"/>
      </w:tabs>
    </w:pPr>
    <w:rPr>
      <w:rFonts w:ascii="Arial" w:hAnsi="Arial"/>
      <w:sz w:val="20"/>
      <w:szCs w:val="20"/>
      <w:lang w:val="en-GB" w:eastAsia="en-US"/>
    </w:rPr>
  </w:style>
  <w:style w:type="paragraph" w:styleId="Subtitle">
    <w:name w:val="Subtitle"/>
    <w:basedOn w:val="Normal"/>
    <w:next w:val="Normal"/>
    <w:link w:val="SubtitleChar"/>
    <w:uiPriority w:val="11"/>
    <w:rsid w:val="00DF28C4"/>
    <w:pPr>
      <w:numPr>
        <w:ilvl w:val="1"/>
      </w:numPr>
      <w:ind w:left="567" w:hanging="567"/>
    </w:pPr>
    <w:rPr>
      <w:rFonts w:asciiTheme="majorHAnsi" w:eastAsiaTheme="majorEastAsia" w:hAnsiTheme="majorHAnsi" w:cstheme="majorBidi"/>
      <w:i/>
      <w:iCs/>
      <w:color w:val="4F81BD" w:themeColor="accent1"/>
      <w:spacing w:val="15"/>
      <w:lang w:val="en-GB" w:eastAsia="en-US"/>
    </w:rPr>
  </w:style>
  <w:style w:type="character" w:customStyle="1" w:styleId="SubtitleChar">
    <w:name w:val="Subtitle Char"/>
    <w:basedOn w:val="DefaultParagraphFont"/>
    <w:link w:val="Subtitle"/>
    <w:uiPriority w:val="11"/>
    <w:rsid w:val="00DF28C4"/>
    <w:rPr>
      <w:rFonts w:asciiTheme="majorHAnsi" w:eastAsiaTheme="majorEastAsia" w:hAnsiTheme="majorHAnsi" w:cstheme="majorBidi"/>
      <w:i/>
      <w:iCs/>
      <w:color w:val="4F81BD" w:themeColor="accent1"/>
      <w:spacing w:val="15"/>
      <w:sz w:val="24"/>
      <w:szCs w:val="24"/>
      <w:lang w:val="en-GB" w:eastAsia="en-US"/>
    </w:rPr>
  </w:style>
  <w:style w:type="character" w:styleId="IntenseEmphasis">
    <w:name w:val="Intense Emphasis"/>
    <w:basedOn w:val="DefaultParagraphFont"/>
    <w:uiPriority w:val="21"/>
    <w:rsid w:val="00DF28C4"/>
    <w:rPr>
      <w:b/>
      <w:bCs/>
      <w:i/>
      <w:iCs/>
      <w:color w:val="4F81BD" w:themeColor="accent1"/>
    </w:rPr>
  </w:style>
  <w:style w:type="paragraph" w:styleId="Caption">
    <w:name w:val="caption"/>
    <w:basedOn w:val="Normal"/>
    <w:next w:val="Normal"/>
    <w:uiPriority w:val="35"/>
    <w:unhideWhenUsed/>
    <w:qFormat/>
    <w:rsid w:val="00DF28C4"/>
    <w:pPr>
      <w:spacing w:after="200"/>
    </w:pPr>
    <w:rPr>
      <w:rFonts w:ascii="Arial" w:eastAsiaTheme="minorHAnsi" w:hAnsi="Arial" w:cstheme="minorBidi"/>
      <w:i/>
      <w:iCs/>
      <w:color w:val="1F497D" w:themeColor="text2"/>
      <w:sz w:val="18"/>
      <w:szCs w:val="18"/>
      <w:lang w:val="en-GB" w:eastAsia="en-US"/>
    </w:rPr>
  </w:style>
  <w:style w:type="table" w:styleId="PlainTable2">
    <w:name w:val="Plain Table 2"/>
    <w:basedOn w:val="TableNormal"/>
    <w:uiPriority w:val="42"/>
    <w:rsid w:val="00DF28C4"/>
    <w:pPr>
      <w:spacing w:after="0" w:line="240" w:lineRule="auto"/>
    </w:pPr>
    <w:rPr>
      <w:rFonts w:ascii="Arial" w:eastAsiaTheme="minorHAnsi" w:hAnsi="Arial" w:cs="Arial"/>
      <w:lang w:eastAsia="en-US"/>
    </w:rPr>
    <w:tblPr>
      <w:tblStyleRowBandSize w:val="1"/>
      <w:tblStyleColBandSize w:val="1"/>
      <w:tblBorders>
        <w:top w:val="single" w:sz="4" w:space="0" w:color="7F7F7F" w:themeColor="text1" w:themeTint="80"/>
        <w:bottom w:val="single" w:sz="4" w:space="0" w:color="7F7F7F" w:themeColor="text1" w:themeTint="80"/>
      </w:tblBorders>
    </w:tblPr>
    <w:trPr>
      <w:hidden w:val="0"/>
    </w:trPr>
    <w:tblStylePr w:type="firstRow">
      <w:rPr>
        <w:b/>
        <w:bCs/>
      </w:rPr>
      <w:tblPr/>
      <w:trPr>
        <w:hidden w:val="0"/>
      </w:trPr>
      <w:tcPr>
        <w:tcBorders>
          <w:bottom w:val="single" w:sz="4" w:space="0" w:color="7F7F7F" w:themeColor="text1" w:themeTint="80"/>
        </w:tcBorders>
      </w:tcPr>
    </w:tblStylePr>
    <w:tblStylePr w:type="lastRow">
      <w:rPr>
        <w:b/>
        <w:bCs/>
      </w:rPr>
      <w:tblPr/>
      <w:trPr>
        <w:hidden w:val="0"/>
      </w:trPr>
      <w:tcPr>
        <w:tcBorders>
          <w:top w:val="single" w:sz="4" w:space="0" w:color="7F7F7F" w:themeColor="text1" w:themeTint="80"/>
        </w:tcBorders>
      </w:tcPr>
    </w:tblStylePr>
    <w:tblStylePr w:type="firstCol">
      <w:rPr>
        <w:b/>
        <w:bCs/>
      </w:rPr>
    </w:tblStylePr>
    <w:tblStylePr w:type="lastCol">
      <w:rPr>
        <w:b/>
        <w:bCs/>
      </w:rPr>
    </w:tblStylePr>
    <w:tblStylePr w:type="band1Vert">
      <w:tblPr/>
      <w:trPr>
        <w:hidden w:val="0"/>
      </w:trPr>
      <w:tcPr>
        <w:tcBorders>
          <w:left w:val="single" w:sz="4" w:space="0" w:color="7F7F7F" w:themeColor="text1" w:themeTint="80"/>
          <w:right w:val="single" w:sz="4" w:space="0" w:color="7F7F7F" w:themeColor="text1" w:themeTint="80"/>
        </w:tcBorders>
      </w:tcPr>
    </w:tblStylePr>
    <w:tblStylePr w:type="band2Vert">
      <w:tblPr/>
      <w:trPr>
        <w:hidden w:val="0"/>
      </w:trPr>
      <w:tcPr>
        <w:tcBorders>
          <w:left w:val="single" w:sz="4" w:space="0" w:color="7F7F7F" w:themeColor="text1" w:themeTint="80"/>
          <w:right w:val="single" w:sz="4" w:space="0" w:color="7F7F7F" w:themeColor="text1" w:themeTint="80"/>
        </w:tcBorders>
      </w:tcPr>
    </w:tblStylePr>
    <w:tblStylePr w:type="band1Horz">
      <w:tblPr/>
      <w:trPr>
        <w:hidden w:val="0"/>
      </w:tr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841246"/>
    <w:pPr>
      <w:keepLines/>
      <w:tabs>
        <w:tab w:val="clear" w:pos="-1440"/>
        <w:tab w:val="clear" w:pos="567"/>
      </w:tab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841246"/>
    <w:pPr>
      <w:spacing w:after="100"/>
    </w:pPr>
    <w:rPr>
      <w:rFonts w:ascii="Arial" w:eastAsiaTheme="minorHAnsi" w:hAnsi="Arial" w:cstheme="minorBidi"/>
      <w:sz w:val="22"/>
      <w:szCs w:val="22"/>
      <w:lang w:val="en-GB" w:eastAsia="en-US"/>
    </w:rPr>
  </w:style>
  <w:style w:type="paragraph" w:styleId="TOC2">
    <w:name w:val="toc 2"/>
    <w:basedOn w:val="Normal"/>
    <w:next w:val="Normal"/>
    <w:autoRedefine/>
    <w:uiPriority w:val="39"/>
    <w:unhideWhenUsed/>
    <w:rsid w:val="00841246"/>
    <w:pPr>
      <w:spacing w:after="100"/>
      <w:ind w:left="220"/>
    </w:pPr>
    <w:rPr>
      <w:rFonts w:ascii="Arial" w:eastAsiaTheme="minorHAnsi" w:hAnsi="Arial" w:cstheme="minorBidi"/>
      <w:sz w:val="22"/>
      <w:szCs w:val="22"/>
      <w:lang w:val="en-GB" w:eastAsia="en-US"/>
    </w:rPr>
  </w:style>
  <w:style w:type="paragraph" w:customStyle="1" w:styleId="Default">
    <w:name w:val="Default"/>
    <w:rsid w:val="00841246"/>
    <w:pPr>
      <w:autoSpaceDE w:val="0"/>
      <w:autoSpaceDN w:val="0"/>
      <w:adjustRightInd w:val="0"/>
      <w:spacing w:after="0" w:line="240" w:lineRule="auto"/>
    </w:pPr>
    <w:rPr>
      <w:rFonts w:ascii="Calibri Light" w:eastAsiaTheme="minorHAnsi" w:hAnsi="Calibri Light" w:cs="Calibri Light"/>
      <w:color w:val="000000"/>
      <w:sz w:val="24"/>
      <w:szCs w:val="24"/>
      <w:lang w:val="en-GB" w:eastAsia="en-US"/>
    </w:rPr>
  </w:style>
  <w:style w:type="character" w:styleId="FollowedHyperlink">
    <w:name w:val="FollowedHyperlink"/>
    <w:basedOn w:val="DefaultParagraphFont"/>
    <w:uiPriority w:val="99"/>
    <w:semiHidden/>
    <w:unhideWhenUsed/>
    <w:rsid w:val="00841246"/>
    <w:rPr>
      <w:color w:val="800080"/>
      <w:u w:val="single"/>
    </w:rPr>
  </w:style>
  <w:style w:type="paragraph" w:customStyle="1" w:styleId="msonormal0">
    <w:name w:val="msonormal"/>
    <w:basedOn w:val="Normal"/>
    <w:rsid w:val="00841246"/>
    <w:pPr>
      <w:spacing w:before="100" w:beforeAutospacing="1" w:after="100" w:afterAutospacing="1"/>
    </w:pPr>
    <w:rPr>
      <w:lang w:val="en-GB" w:eastAsia="en-GB"/>
    </w:rPr>
  </w:style>
  <w:style w:type="paragraph" w:customStyle="1" w:styleId="xl1930">
    <w:name w:val="xl1930"/>
    <w:basedOn w:val="Normal"/>
    <w:rsid w:val="00841246"/>
    <w:pPr>
      <w:spacing w:before="100" w:beforeAutospacing="1" w:after="100" w:afterAutospacing="1"/>
    </w:pPr>
    <w:rPr>
      <w:lang w:val="en-GB" w:eastAsia="en-GB"/>
    </w:rPr>
  </w:style>
  <w:style w:type="paragraph" w:customStyle="1" w:styleId="xl1933">
    <w:name w:val="xl1933"/>
    <w:basedOn w:val="Normal"/>
    <w:rsid w:val="00841246"/>
    <w:pPr>
      <w:spacing w:before="100" w:beforeAutospacing="1" w:after="100" w:afterAutospacing="1"/>
    </w:pPr>
    <w:rPr>
      <w:rFonts w:ascii="Arial" w:hAnsi="Arial" w:cs="Arial"/>
      <w:lang w:val="en-GB" w:eastAsia="en-GB"/>
    </w:rPr>
  </w:style>
  <w:style w:type="paragraph" w:customStyle="1" w:styleId="xl1934">
    <w:name w:val="xl1934"/>
    <w:basedOn w:val="Normal"/>
    <w:rsid w:val="00841246"/>
    <w:pPr>
      <w:spacing w:before="100" w:beforeAutospacing="1" w:after="100" w:afterAutospacing="1"/>
    </w:pPr>
    <w:rPr>
      <w:lang w:val="en-GB" w:eastAsia="en-GB"/>
    </w:rPr>
  </w:style>
  <w:style w:type="paragraph" w:customStyle="1" w:styleId="xl1935">
    <w:name w:val="xl1935"/>
    <w:basedOn w:val="Normal"/>
    <w:rsid w:val="00841246"/>
    <w:pPr>
      <w:spacing w:before="100" w:beforeAutospacing="1" w:after="100" w:afterAutospacing="1"/>
    </w:pPr>
    <w:rPr>
      <w:lang w:val="en-GB" w:eastAsia="en-GB"/>
    </w:rPr>
  </w:style>
  <w:style w:type="paragraph" w:customStyle="1" w:styleId="xl1936">
    <w:name w:val="xl1936"/>
    <w:basedOn w:val="Normal"/>
    <w:rsid w:val="00841246"/>
    <w:pPr>
      <w:pBdr>
        <w:bottom w:val="single" w:sz="4" w:space="0" w:color="95B3D7"/>
      </w:pBdr>
      <w:shd w:val="clear" w:color="DCE6F1" w:fill="DCE6F1"/>
      <w:spacing w:before="100" w:beforeAutospacing="1" w:after="100" w:afterAutospacing="1"/>
    </w:pPr>
    <w:rPr>
      <w:b/>
      <w:bCs/>
      <w:color w:val="000000"/>
      <w:lang w:val="en-GB" w:eastAsia="en-GB"/>
    </w:rPr>
  </w:style>
  <w:style w:type="paragraph" w:styleId="TOC3">
    <w:name w:val="toc 3"/>
    <w:basedOn w:val="Normal"/>
    <w:next w:val="Normal"/>
    <w:autoRedefine/>
    <w:uiPriority w:val="39"/>
    <w:unhideWhenUsed/>
    <w:rsid w:val="00841246"/>
    <w:pPr>
      <w:spacing w:after="100"/>
      <w:ind w:left="440"/>
    </w:pPr>
    <w:rPr>
      <w:rFonts w:ascii="Arial" w:eastAsiaTheme="minorHAnsi" w:hAnsi="Arial" w:cstheme="minorBidi"/>
      <w:sz w:val="22"/>
      <w:szCs w:val="22"/>
      <w:lang w:val="en-GB" w:eastAsia="en-US"/>
    </w:rPr>
  </w:style>
  <w:style w:type="paragraph" w:styleId="Revision">
    <w:name w:val="Revision"/>
    <w:hidden/>
    <w:uiPriority w:val="99"/>
    <w:semiHidden/>
    <w:rsid w:val="00841246"/>
    <w:pPr>
      <w:spacing w:after="0" w:line="240" w:lineRule="auto"/>
    </w:pPr>
    <w:rPr>
      <w:rFonts w:ascii="Arial" w:eastAsiaTheme="minorHAnsi" w:hAnsi="Arial" w:cstheme="minorBidi"/>
      <w:lang w:val="en-GB" w:eastAsia="en-US"/>
    </w:rPr>
  </w:style>
  <w:style w:type="table" w:customStyle="1" w:styleId="TableGrid1">
    <w:name w:val="Table Grid1"/>
    <w:basedOn w:val="TableNormal"/>
    <w:next w:val="TableGrid"/>
    <w:uiPriority w:val="39"/>
    <w:rsid w:val="00841246"/>
    <w:pPr>
      <w:spacing w:after="0" w:line="240" w:lineRule="auto"/>
    </w:pPr>
    <w:rPr>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val="0"/>
    </w:trPr>
  </w:style>
  <w:style w:type="paragraph" w:customStyle="1" w:styleId="paragraph0">
    <w:name w:val="paragraph"/>
    <w:basedOn w:val="Normal"/>
    <w:rsid w:val="00671ACD"/>
    <w:pPr>
      <w:spacing w:before="100" w:beforeAutospacing="1" w:after="100" w:afterAutospacing="1"/>
    </w:pPr>
  </w:style>
  <w:style w:type="character" w:customStyle="1" w:styleId="normaltextrun">
    <w:name w:val="normaltextrun"/>
    <w:basedOn w:val="DefaultParagraphFont"/>
    <w:rsid w:val="00671ACD"/>
  </w:style>
  <w:style w:type="character" w:customStyle="1" w:styleId="eop">
    <w:name w:val="eop"/>
    <w:basedOn w:val="DefaultParagraphFont"/>
    <w:rsid w:val="00671ACD"/>
  </w:style>
  <w:style w:type="paragraph" w:styleId="TOC4">
    <w:name w:val="toc 4"/>
    <w:basedOn w:val="Normal"/>
    <w:next w:val="Normal"/>
    <w:autoRedefine/>
    <w:uiPriority w:val="39"/>
    <w:unhideWhenUsed/>
    <w:rsid w:val="0018081C"/>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8081C"/>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8081C"/>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8081C"/>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8081C"/>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8081C"/>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0490">
      <w:bodyDiv w:val="1"/>
      <w:marLeft w:val="0"/>
      <w:marRight w:val="0"/>
      <w:marTop w:val="0"/>
      <w:marBottom w:val="0"/>
      <w:divBdr>
        <w:top w:val="none" w:sz="0" w:space="0" w:color="auto"/>
        <w:left w:val="none" w:sz="0" w:space="0" w:color="auto"/>
        <w:bottom w:val="none" w:sz="0" w:space="0" w:color="auto"/>
        <w:right w:val="none" w:sz="0" w:space="0" w:color="auto"/>
      </w:divBdr>
    </w:div>
    <w:div w:id="173764522">
      <w:bodyDiv w:val="1"/>
      <w:marLeft w:val="0"/>
      <w:marRight w:val="0"/>
      <w:marTop w:val="0"/>
      <w:marBottom w:val="0"/>
      <w:divBdr>
        <w:top w:val="none" w:sz="0" w:space="0" w:color="auto"/>
        <w:left w:val="none" w:sz="0" w:space="0" w:color="auto"/>
        <w:bottom w:val="none" w:sz="0" w:space="0" w:color="auto"/>
        <w:right w:val="none" w:sz="0" w:space="0" w:color="auto"/>
      </w:divBdr>
    </w:div>
    <w:div w:id="557711978">
      <w:bodyDiv w:val="1"/>
      <w:marLeft w:val="0"/>
      <w:marRight w:val="0"/>
      <w:marTop w:val="0"/>
      <w:marBottom w:val="0"/>
      <w:divBdr>
        <w:top w:val="none" w:sz="0" w:space="0" w:color="auto"/>
        <w:left w:val="none" w:sz="0" w:space="0" w:color="auto"/>
        <w:bottom w:val="none" w:sz="0" w:space="0" w:color="auto"/>
        <w:right w:val="none" w:sz="0" w:space="0" w:color="auto"/>
      </w:divBdr>
    </w:div>
    <w:div w:id="1156919349">
      <w:bodyDiv w:val="1"/>
      <w:marLeft w:val="0"/>
      <w:marRight w:val="0"/>
      <w:marTop w:val="0"/>
      <w:marBottom w:val="0"/>
      <w:divBdr>
        <w:top w:val="none" w:sz="0" w:space="0" w:color="auto"/>
        <w:left w:val="none" w:sz="0" w:space="0" w:color="auto"/>
        <w:bottom w:val="none" w:sz="0" w:space="0" w:color="auto"/>
        <w:right w:val="none" w:sz="0" w:space="0" w:color="auto"/>
      </w:divBdr>
    </w:div>
    <w:div w:id="1207527588">
      <w:bodyDiv w:val="1"/>
      <w:marLeft w:val="0"/>
      <w:marRight w:val="0"/>
      <w:marTop w:val="0"/>
      <w:marBottom w:val="0"/>
      <w:divBdr>
        <w:top w:val="none" w:sz="0" w:space="0" w:color="auto"/>
        <w:left w:val="none" w:sz="0" w:space="0" w:color="auto"/>
        <w:bottom w:val="none" w:sz="0" w:space="0" w:color="auto"/>
        <w:right w:val="none" w:sz="0" w:space="0" w:color="auto"/>
      </w:divBdr>
    </w:div>
    <w:div w:id="1434588576">
      <w:marLeft w:val="0"/>
      <w:marRight w:val="0"/>
      <w:marTop w:val="0"/>
      <w:marBottom w:val="0"/>
      <w:divBdr>
        <w:top w:val="none" w:sz="0" w:space="0" w:color="auto"/>
        <w:left w:val="none" w:sz="0" w:space="0" w:color="auto"/>
        <w:bottom w:val="none" w:sz="0" w:space="0" w:color="auto"/>
        <w:right w:val="none" w:sz="0" w:space="0" w:color="auto"/>
      </w:divBdr>
    </w:div>
    <w:div w:id="1434588577">
      <w:marLeft w:val="0"/>
      <w:marRight w:val="0"/>
      <w:marTop w:val="0"/>
      <w:marBottom w:val="0"/>
      <w:divBdr>
        <w:top w:val="none" w:sz="0" w:space="0" w:color="auto"/>
        <w:left w:val="none" w:sz="0" w:space="0" w:color="auto"/>
        <w:bottom w:val="none" w:sz="0" w:space="0" w:color="auto"/>
        <w:right w:val="none" w:sz="0" w:space="0" w:color="auto"/>
      </w:divBdr>
    </w:div>
    <w:div w:id="1434588578">
      <w:marLeft w:val="0"/>
      <w:marRight w:val="0"/>
      <w:marTop w:val="0"/>
      <w:marBottom w:val="0"/>
      <w:divBdr>
        <w:top w:val="none" w:sz="0" w:space="0" w:color="auto"/>
        <w:left w:val="none" w:sz="0" w:space="0" w:color="auto"/>
        <w:bottom w:val="none" w:sz="0" w:space="0" w:color="auto"/>
        <w:right w:val="none" w:sz="0" w:space="0" w:color="auto"/>
      </w:divBdr>
    </w:div>
    <w:div w:id="1434588579">
      <w:marLeft w:val="0"/>
      <w:marRight w:val="0"/>
      <w:marTop w:val="0"/>
      <w:marBottom w:val="0"/>
      <w:divBdr>
        <w:top w:val="none" w:sz="0" w:space="0" w:color="auto"/>
        <w:left w:val="none" w:sz="0" w:space="0" w:color="auto"/>
        <w:bottom w:val="none" w:sz="0" w:space="0" w:color="auto"/>
        <w:right w:val="none" w:sz="0" w:space="0" w:color="auto"/>
      </w:divBdr>
    </w:div>
    <w:div w:id="1465734988">
      <w:bodyDiv w:val="1"/>
      <w:marLeft w:val="0"/>
      <w:marRight w:val="0"/>
      <w:marTop w:val="0"/>
      <w:marBottom w:val="0"/>
      <w:divBdr>
        <w:top w:val="none" w:sz="0" w:space="0" w:color="auto"/>
        <w:left w:val="none" w:sz="0" w:space="0" w:color="auto"/>
        <w:bottom w:val="none" w:sz="0" w:space="0" w:color="auto"/>
        <w:right w:val="none" w:sz="0" w:space="0" w:color="auto"/>
      </w:divBdr>
    </w:div>
    <w:div w:id="1611861841">
      <w:bodyDiv w:val="1"/>
      <w:marLeft w:val="0"/>
      <w:marRight w:val="0"/>
      <w:marTop w:val="0"/>
      <w:marBottom w:val="0"/>
      <w:divBdr>
        <w:top w:val="none" w:sz="0" w:space="0" w:color="auto"/>
        <w:left w:val="none" w:sz="0" w:space="0" w:color="auto"/>
        <w:bottom w:val="none" w:sz="0" w:space="0" w:color="auto"/>
        <w:right w:val="none" w:sz="0" w:space="0" w:color="auto"/>
      </w:divBdr>
    </w:div>
    <w:div w:id="1654404543">
      <w:bodyDiv w:val="1"/>
      <w:marLeft w:val="0"/>
      <w:marRight w:val="0"/>
      <w:marTop w:val="0"/>
      <w:marBottom w:val="0"/>
      <w:divBdr>
        <w:top w:val="none" w:sz="0" w:space="0" w:color="auto"/>
        <w:left w:val="none" w:sz="0" w:space="0" w:color="auto"/>
        <w:bottom w:val="none" w:sz="0" w:space="0" w:color="auto"/>
        <w:right w:val="none" w:sz="0" w:space="0" w:color="auto"/>
      </w:divBdr>
    </w:div>
    <w:div w:id="1705712635">
      <w:bodyDiv w:val="1"/>
      <w:marLeft w:val="0"/>
      <w:marRight w:val="0"/>
      <w:marTop w:val="0"/>
      <w:marBottom w:val="0"/>
      <w:divBdr>
        <w:top w:val="none" w:sz="0" w:space="0" w:color="auto"/>
        <w:left w:val="none" w:sz="0" w:space="0" w:color="auto"/>
        <w:bottom w:val="none" w:sz="0" w:space="0" w:color="auto"/>
        <w:right w:val="none" w:sz="0" w:space="0" w:color="auto"/>
      </w:divBdr>
    </w:div>
    <w:div w:id="1746341354">
      <w:bodyDiv w:val="1"/>
      <w:marLeft w:val="0"/>
      <w:marRight w:val="0"/>
      <w:marTop w:val="0"/>
      <w:marBottom w:val="0"/>
      <w:divBdr>
        <w:top w:val="none" w:sz="0" w:space="0" w:color="auto"/>
        <w:left w:val="none" w:sz="0" w:space="0" w:color="auto"/>
        <w:bottom w:val="none" w:sz="0" w:space="0" w:color="auto"/>
        <w:right w:val="none" w:sz="0" w:space="0" w:color="auto"/>
      </w:divBdr>
    </w:div>
    <w:div w:id="1767068924">
      <w:bodyDiv w:val="1"/>
      <w:marLeft w:val="0"/>
      <w:marRight w:val="0"/>
      <w:marTop w:val="0"/>
      <w:marBottom w:val="0"/>
      <w:divBdr>
        <w:top w:val="none" w:sz="0" w:space="0" w:color="auto"/>
        <w:left w:val="none" w:sz="0" w:space="0" w:color="auto"/>
        <w:bottom w:val="none" w:sz="0" w:space="0" w:color="auto"/>
        <w:right w:val="none" w:sz="0" w:space="0" w:color="auto"/>
      </w:divBdr>
    </w:div>
    <w:div w:id="2031838466">
      <w:bodyDiv w:val="1"/>
      <w:marLeft w:val="0"/>
      <w:marRight w:val="0"/>
      <w:marTop w:val="0"/>
      <w:marBottom w:val="0"/>
      <w:divBdr>
        <w:top w:val="none" w:sz="0" w:space="0" w:color="auto"/>
        <w:left w:val="none" w:sz="0" w:space="0" w:color="auto"/>
        <w:bottom w:val="none" w:sz="0" w:space="0" w:color="auto"/>
        <w:right w:val="none" w:sz="0" w:space="0" w:color="auto"/>
      </w:divBdr>
    </w:div>
    <w:div w:id="211354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TaxCatchAll xmlns="b3cc5fa8-9929-4f74-b449-d7a5840b4704">
      <Value>2</Value>
      <Value>1</Value>
    </TaxCatchAll>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d8b18ebf729c4d56932fa517449ed5cb xmlns="72567383-1e26-4692-bdad-5f5be69e1590">
      <Terms xmlns="http://schemas.microsoft.com/office/infopath/2007/PartnerControls"/>
    </d8b18ebf729c4d56932fa517449ed5cb>
  </documentManagement>
</p:properti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23" ma:contentTypeDescription="DEDJTR Document" ma:contentTypeScope="" ma:versionID="faa852885d535f84ad2d30dc96510d0a">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3c3e9c658ee4c849f2da3cfb13782a43"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833A7-526F-4955-9F9C-0E942C0A3EE7}">
  <ds:schemaRefs>
    <ds:schemaRef ds:uri="85902db6-7585-4480-9b6d-f0bd68391f49"/>
    <ds:schemaRef ds:uri="http://purl.org/dc/terms/"/>
    <ds:schemaRef ds:uri="72567383-1e26-4692-bdad-5f5be69e1590"/>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b3cc5fa8-9929-4f74-b449-d7a5840b4704"/>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79BA490-BD16-4CBB-9A25-AA792832C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85902db6-7585-4480-9b6d-f0bd68391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174D6E-F106-4965-99C7-1F2C193B4E89}">
  <ds:schemaRefs>
    <ds:schemaRef ds:uri="http://schemas.microsoft.com/sharepoint/v3/contenttype/forms"/>
  </ds:schemaRefs>
</ds:datastoreItem>
</file>

<file path=customXml/itemProps4.xml><?xml version="1.0" encoding="utf-8"?>
<ds:datastoreItem xmlns:ds="http://schemas.openxmlformats.org/officeDocument/2006/customXml" ds:itemID="{97D74833-CDFE-4FB4-A207-5E3964FE9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3345</Words>
  <Characters>16443</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Modelling a Stronger Approach to Total Sugars and Sodium</vt:lpstr>
    </vt:vector>
  </TitlesOfParts>
  <Company/>
  <LinksUpToDate>false</LinksUpToDate>
  <CharactersWithSpaces>19749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Modelling a Stronger Approach to Total Sugars and Sodium</dc:title>
  <dc:subject>Food and nutrition</dc:subject>
  <dc:creator/>
  <cp:keywords>HSR; review; evaluation</cp:keywords>
  <dc:description/>
  <cp:lastModifiedBy/>
  <cp:revision>1</cp:revision>
  <dcterms:created xsi:type="dcterms:W3CDTF">2020-11-11T09:49:00Z</dcterms:created>
  <dcterms:modified xsi:type="dcterms:W3CDTF">2020-11-11T10:00:00Z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DJTRDivision">
    <vt:lpwstr>2;#Agriculture Victoria|aa595c92-527f-46eb-8130-f23c3634d9e6</vt:lpwstr>
  </property>
  <property fmtid="{D5CDD505-2E9C-101B-9397-08002B2CF9AE}" pid="3" name="ContentTypeId">
    <vt:lpwstr>0x010100611F6414DFB111E7BA88F9DF1743E317005718E9BC78A69E40B372A0E51C09C73D</vt:lpwstr>
  </property>
  <property fmtid="{D5CDD505-2E9C-101B-9397-08002B2CF9AE}" pid="4" name="DEDJTRSecurityClassification">
    <vt:lpwstr/>
  </property>
  <property fmtid="{D5CDD505-2E9C-101B-9397-08002B2CF9AE}" pid="5" name="DEDJTRSection">
    <vt:lpwstr/>
  </property>
  <property fmtid="{D5CDD505-2E9C-101B-9397-08002B2CF9AE}" pid="6" name="DEDJTRBranch">
    <vt:lpwstr/>
  </property>
  <property fmtid="{D5CDD505-2E9C-101B-9397-08002B2CF9AE}" pid="7" name="DEDJTRGroup">
    <vt:lpwstr>1;#Employment Investment and Trade|55ce1999-68b6-4f37-bdce-009ad410cd2a</vt:lpwstr>
  </property>
</Properties>
</file>