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AE32E" w14:textId="4E8842B8" w:rsidR="0054549A" w:rsidRDefault="00B33EE3" w:rsidP="0054549A">
      <w:pPr>
        <w:spacing w:before="3120" w:after="240"/>
        <w:rPr>
          <w:rFonts w:asciiTheme="minorHAnsi" w:hAnsiTheme="minorHAnsi"/>
          <w:b/>
          <w:color w:val="FFFFFF" w:themeColor="background1"/>
          <w:sz w:val="56"/>
          <w:szCs w:val="56"/>
        </w:rPr>
      </w:pPr>
      <w:r w:rsidRPr="0054549A">
        <w:rPr>
          <w:noProof/>
          <w:color w:val="FFFFFF" w:themeColor="background1"/>
          <w:lang w:val="en-AU" w:eastAsia="en-AU"/>
        </w:rPr>
        <mc:AlternateContent>
          <mc:Choice Requires="wps">
            <w:drawing>
              <wp:anchor distT="0" distB="0" distL="114300" distR="114300" simplePos="0" relativeHeight="251659264" behindDoc="1" locked="0" layoutInCell="1" allowOverlap="1" wp14:anchorId="62CEE661" wp14:editId="4EBCBA52">
                <wp:simplePos x="0" y="0"/>
                <wp:positionH relativeFrom="column">
                  <wp:posOffset>-443864</wp:posOffset>
                </wp:positionH>
                <wp:positionV relativeFrom="paragraph">
                  <wp:posOffset>-683260</wp:posOffset>
                </wp:positionV>
                <wp:extent cx="7086190" cy="10172700"/>
                <wp:effectExtent l="0" t="0" r="635" b="12700"/>
                <wp:wrapNone/>
                <wp:docPr id="1" name="Rounded Rectangle 1" descr="Report on submissions to the Five Year Review of the Health Star Rating System"/>
                <wp:cNvGraphicFramePr/>
                <a:graphic xmlns:a="http://schemas.openxmlformats.org/drawingml/2006/main">
                  <a:graphicData uri="http://schemas.microsoft.com/office/word/2010/wordprocessingShape">
                    <wps:wsp>
                      <wps:cNvSpPr/>
                      <wps:spPr>
                        <a:xfrm>
                          <a:off x="0" y="0"/>
                          <a:ext cx="7086190" cy="10172700"/>
                        </a:xfrm>
                        <a:prstGeom prst="roundRect">
                          <a:avLst>
                            <a:gd name="adj" fmla="val 4981"/>
                          </a:avLst>
                        </a:prstGeom>
                        <a:solidFill>
                          <a:srgbClr val="516A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1140F405" id="Rounded Rectangle 1" o:spid="_x0000_s1026" alt="Report on submissions to the Five Year Review of the Health Star Rating System" style="position:absolute;margin-left:-34.95pt;margin-top:-53.75pt;width:557.95pt;height:8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65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" fillcolor="#516a8e" stroked="f" strokeweight="1pt">
                <v:stroke joinstyle="miter"/>
              </v:roundrect>
            </w:pict>
          </mc:Fallback>
        </mc:AlternateContent>
      </w:r>
      <w:bookmarkStart w:id="0" w:name="Cover_Page"/>
      <w:bookmarkStart w:id="1" w:name="_Toc438649428"/>
      <w:bookmarkEnd w:id="0"/>
      <w:r w:rsidR="00E06A8E" w:rsidRPr="0054549A">
        <w:rPr>
          <w:rFonts w:asciiTheme="minorHAnsi" w:hAnsiTheme="minorHAnsi"/>
          <w:b/>
          <w:color w:val="FFFFFF" w:themeColor="background1"/>
          <w:sz w:val="56"/>
          <w:szCs w:val="56"/>
        </w:rPr>
        <w:t xml:space="preserve">Five Year Review of the </w:t>
      </w:r>
      <w:r w:rsidR="00F120F7" w:rsidRPr="0054549A">
        <w:rPr>
          <w:rFonts w:asciiTheme="minorHAnsi" w:hAnsiTheme="minorHAnsi"/>
          <w:b/>
          <w:color w:val="FFFFFF" w:themeColor="background1"/>
          <w:sz w:val="56"/>
          <w:szCs w:val="56"/>
        </w:rPr>
        <w:t>Health Star Rating s</w:t>
      </w:r>
      <w:r w:rsidR="001220E4" w:rsidRPr="0054549A">
        <w:rPr>
          <w:rFonts w:asciiTheme="minorHAnsi" w:hAnsiTheme="minorHAnsi"/>
          <w:b/>
          <w:color w:val="FFFFFF" w:themeColor="background1"/>
          <w:sz w:val="56"/>
          <w:szCs w:val="56"/>
        </w:rPr>
        <w:t>ystem</w:t>
      </w:r>
      <w:r w:rsidR="00AE3622">
        <w:rPr>
          <w:rFonts w:asciiTheme="minorHAnsi" w:hAnsiTheme="minorHAnsi"/>
          <w:b/>
          <w:color w:val="FFFFFF" w:themeColor="background1"/>
          <w:sz w:val="56"/>
          <w:szCs w:val="56"/>
        </w:rPr>
        <w:t xml:space="preserve"> –</w:t>
      </w:r>
      <w:r w:rsidR="00B55F01" w:rsidRPr="0054549A">
        <w:rPr>
          <w:rFonts w:asciiTheme="minorHAnsi" w:hAnsiTheme="minorHAnsi"/>
          <w:b/>
          <w:color w:val="FFFFFF" w:themeColor="background1"/>
          <w:sz w:val="56"/>
          <w:szCs w:val="56"/>
        </w:rPr>
        <w:t xml:space="preserve"> </w:t>
      </w:r>
      <w:r w:rsidR="00543B16" w:rsidRPr="0054549A">
        <w:rPr>
          <w:rFonts w:asciiTheme="minorHAnsi" w:hAnsiTheme="minorHAnsi"/>
          <w:b/>
          <w:color w:val="FFFFFF" w:themeColor="background1"/>
          <w:sz w:val="56"/>
          <w:szCs w:val="56"/>
        </w:rPr>
        <w:t>Navigation</w:t>
      </w:r>
      <w:r w:rsidR="00D5653C" w:rsidRPr="0054549A">
        <w:rPr>
          <w:rFonts w:asciiTheme="minorHAnsi" w:hAnsiTheme="minorHAnsi"/>
          <w:b/>
          <w:color w:val="FFFFFF" w:themeColor="background1"/>
          <w:sz w:val="56"/>
          <w:szCs w:val="56"/>
        </w:rPr>
        <w:t xml:space="preserve"> </w:t>
      </w:r>
      <w:r w:rsidR="00AE2969" w:rsidRPr="0054549A">
        <w:rPr>
          <w:rFonts w:asciiTheme="minorHAnsi" w:hAnsiTheme="minorHAnsi"/>
          <w:b/>
          <w:color w:val="FFFFFF" w:themeColor="background1"/>
          <w:sz w:val="56"/>
          <w:szCs w:val="56"/>
        </w:rPr>
        <w:t>Paper</w:t>
      </w:r>
    </w:p>
    <w:p w14:paraId="18717622" w14:textId="682A339A" w:rsidR="001220E4" w:rsidRPr="00620565" w:rsidRDefault="00AE2969" w:rsidP="0054549A">
      <w:pPr>
        <w:spacing w:before="3120" w:after="240"/>
        <w:ind w:firstLine="284"/>
        <w:rPr>
          <w:rFonts w:asciiTheme="minorHAnsi" w:hAnsiTheme="minorHAnsi"/>
          <w:b/>
          <w:color w:val="FFFFFF" w:themeColor="background1"/>
          <w:sz w:val="48"/>
          <w:szCs w:val="48"/>
        </w:rPr>
      </w:pPr>
      <w:r w:rsidRPr="00620565">
        <w:rPr>
          <w:rFonts w:asciiTheme="minorHAnsi" w:hAnsiTheme="minorHAnsi"/>
          <w:b/>
          <w:color w:val="FFFFFF" w:themeColor="background1"/>
          <w:sz w:val="48"/>
          <w:szCs w:val="48"/>
        </w:rPr>
        <w:t xml:space="preserve">January </w:t>
      </w:r>
      <w:r w:rsidR="001220E4" w:rsidRPr="00620565">
        <w:rPr>
          <w:rFonts w:asciiTheme="minorHAnsi" w:hAnsiTheme="minorHAnsi"/>
          <w:b/>
          <w:color w:val="FFFFFF" w:themeColor="background1"/>
          <w:sz w:val="48"/>
          <w:szCs w:val="48"/>
        </w:rPr>
        <w:t>201</w:t>
      </w:r>
      <w:bookmarkEnd w:id="1"/>
      <w:r w:rsidRPr="00620565">
        <w:rPr>
          <w:rFonts w:asciiTheme="minorHAnsi" w:hAnsiTheme="minorHAnsi"/>
          <w:b/>
          <w:color w:val="FFFFFF" w:themeColor="background1"/>
          <w:sz w:val="48"/>
          <w:szCs w:val="48"/>
        </w:rPr>
        <w:t>8</w:t>
      </w:r>
    </w:p>
    <w:p w14:paraId="728C35BA" w14:textId="07F62280" w:rsidR="001220E4" w:rsidRPr="001220E4" w:rsidRDefault="001220E4" w:rsidP="00BD13C2">
      <w:pPr>
        <w:spacing w:after="240"/>
        <w:ind w:left="284"/>
        <w:rPr>
          <w:lang w:val="en-US" w:eastAsia="ja-JP"/>
        </w:rPr>
      </w:pPr>
      <w:r>
        <w:rPr>
          <w:noProof/>
          <w:lang w:val="en-AU" w:eastAsia="en-AU"/>
        </w:rPr>
        <w:drawing>
          <wp:inline distT="0" distB="0" distL="0" distR="0" wp14:anchorId="08964904" wp14:editId="087BE0FE">
            <wp:extent cx="2223135" cy="389652"/>
            <wp:effectExtent l="0" t="0" r="0" b="0"/>
            <wp:docPr id="6" name="Picture 6" descr="mpconsulting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c-logo-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3267" cy="393181"/>
                    </a:xfrm>
                    <a:prstGeom prst="rect">
                      <a:avLst/>
                    </a:prstGeom>
                  </pic:spPr>
                </pic:pic>
              </a:graphicData>
            </a:graphic>
          </wp:inline>
        </w:drawing>
      </w:r>
    </w:p>
    <w:p w14:paraId="2A0EB0CE" w14:textId="77777777" w:rsidR="00037EC7" w:rsidRDefault="00037EC7" w:rsidP="00BD13C2">
      <w:pPr>
        <w:spacing w:after="240"/>
      </w:pPr>
    </w:p>
    <w:p w14:paraId="10A19C51" w14:textId="77777777" w:rsidR="00037EC7" w:rsidRPr="0046489D" w:rsidRDefault="00037EC7" w:rsidP="00BD13C2">
      <w:pPr>
        <w:spacing w:after="240"/>
        <w:sectPr w:rsidR="00037EC7" w:rsidRPr="0046489D" w:rsidSect="00A6237D">
          <w:pgSz w:w="11900" w:h="16840"/>
          <w:pgMar w:top="1440" w:right="1080" w:bottom="1440" w:left="1080" w:header="709" w:footer="709" w:gutter="0"/>
          <w:cols w:space="708"/>
          <w:docGrid w:linePitch="360"/>
        </w:sectPr>
      </w:pPr>
    </w:p>
    <w:p w14:paraId="1C637ED7" w14:textId="3B625A88" w:rsidR="00C41380" w:rsidRPr="00B14491" w:rsidRDefault="000229EF" w:rsidP="00BD13C2">
      <w:pPr>
        <w:pStyle w:val="mpcNormal"/>
        <w:pBdr>
          <w:bottom w:val="single" w:sz="4" w:space="1" w:color="auto"/>
        </w:pBdr>
        <w:rPr>
          <w:b/>
          <w:sz w:val="36"/>
          <w:szCs w:val="36"/>
        </w:rPr>
      </w:pPr>
      <w:bookmarkStart w:id="2" w:name="Table_of_Contents"/>
      <w:bookmarkEnd w:id="2"/>
      <w:r w:rsidRPr="00B14491">
        <w:rPr>
          <w:b/>
          <w:sz w:val="36"/>
          <w:szCs w:val="36"/>
        </w:rPr>
        <w:lastRenderedPageBreak/>
        <w:t>Table of c</w:t>
      </w:r>
      <w:r w:rsidR="00CC0693">
        <w:rPr>
          <w:b/>
          <w:sz w:val="36"/>
          <w:szCs w:val="36"/>
        </w:rPr>
        <w:t>ontents</w:t>
      </w:r>
    </w:p>
    <w:p w14:paraId="3005BFF8" w14:textId="77777777" w:rsidR="00C41380" w:rsidRPr="0046489D" w:rsidRDefault="00C41380" w:rsidP="00BD13C2">
      <w:pPr>
        <w:pStyle w:val="TOC1"/>
        <w:spacing w:before="0"/>
      </w:pPr>
    </w:p>
    <w:bookmarkStart w:id="3" w:name="_Toc450649510"/>
    <w:p w14:paraId="0D03E610" w14:textId="77777777" w:rsidR="00400DE8" w:rsidRDefault="0002036A">
      <w:pPr>
        <w:pStyle w:val="TOC1"/>
        <w:rPr>
          <w:rFonts w:eastAsiaTheme="minorEastAsia"/>
          <w:b w:val="0"/>
          <w:bCs w:val="0"/>
          <w:noProof/>
          <w:lang w:val="en-GB" w:eastAsia="en-GB"/>
        </w:rPr>
      </w:pPr>
      <w:r>
        <w:fldChar w:fldCharType="begin"/>
      </w:r>
      <w:r>
        <w:instrText xml:space="preserve"> TOC \t "mpc heading 1,1,mpc heading 2,2,mpc table heading,2" </w:instrText>
      </w:r>
      <w:r>
        <w:fldChar w:fldCharType="separate"/>
      </w:r>
      <w:r w:rsidR="00400DE8">
        <w:rPr>
          <w:noProof/>
        </w:rPr>
        <w:t>Chapter 1 – Context and purpose of this paper</w:t>
      </w:r>
      <w:r w:rsidR="00400DE8">
        <w:rPr>
          <w:noProof/>
        </w:rPr>
        <w:tab/>
      </w:r>
      <w:r w:rsidR="00400DE8">
        <w:rPr>
          <w:noProof/>
        </w:rPr>
        <w:fldChar w:fldCharType="begin"/>
      </w:r>
      <w:r w:rsidR="00400DE8">
        <w:rPr>
          <w:noProof/>
        </w:rPr>
        <w:instrText xml:space="preserve"> PAGEREF _Toc503880604 \h </w:instrText>
      </w:r>
      <w:r w:rsidR="00400DE8">
        <w:rPr>
          <w:noProof/>
        </w:rPr>
      </w:r>
      <w:r w:rsidR="00400DE8">
        <w:rPr>
          <w:noProof/>
        </w:rPr>
        <w:fldChar w:fldCharType="separate"/>
      </w:r>
      <w:r w:rsidR="00920EF3">
        <w:rPr>
          <w:noProof/>
        </w:rPr>
        <w:t>3</w:t>
      </w:r>
      <w:r w:rsidR="00400DE8">
        <w:rPr>
          <w:noProof/>
        </w:rPr>
        <w:fldChar w:fldCharType="end"/>
      </w:r>
    </w:p>
    <w:p w14:paraId="699D9BD2" w14:textId="77777777" w:rsidR="00400DE8" w:rsidRDefault="00400DE8">
      <w:pPr>
        <w:pStyle w:val="TOC1"/>
        <w:rPr>
          <w:rFonts w:eastAsiaTheme="minorEastAsia"/>
          <w:b w:val="0"/>
          <w:bCs w:val="0"/>
          <w:noProof/>
          <w:lang w:val="en-GB" w:eastAsia="en-GB"/>
        </w:rPr>
      </w:pPr>
      <w:r>
        <w:rPr>
          <w:noProof/>
        </w:rPr>
        <w:t>Chapter 2 – Expectations and achievement of objectives</w:t>
      </w:r>
      <w:r>
        <w:rPr>
          <w:noProof/>
        </w:rPr>
        <w:tab/>
      </w:r>
      <w:r>
        <w:rPr>
          <w:noProof/>
        </w:rPr>
        <w:fldChar w:fldCharType="begin"/>
      </w:r>
      <w:r>
        <w:rPr>
          <w:noProof/>
        </w:rPr>
        <w:instrText xml:space="preserve"> PAGEREF _Toc503880605 \h </w:instrText>
      </w:r>
      <w:r>
        <w:rPr>
          <w:noProof/>
        </w:rPr>
      </w:r>
      <w:r>
        <w:rPr>
          <w:noProof/>
        </w:rPr>
        <w:fldChar w:fldCharType="separate"/>
      </w:r>
      <w:r w:rsidR="00920EF3">
        <w:rPr>
          <w:noProof/>
        </w:rPr>
        <w:t>5</w:t>
      </w:r>
      <w:r>
        <w:rPr>
          <w:noProof/>
        </w:rPr>
        <w:fldChar w:fldCharType="end"/>
      </w:r>
    </w:p>
    <w:p w14:paraId="5E6FC757" w14:textId="77777777" w:rsidR="00400DE8" w:rsidRDefault="00400DE8">
      <w:pPr>
        <w:pStyle w:val="TOC2"/>
        <w:tabs>
          <w:tab w:val="right" w:leader="dot" w:pos="9736"/>
        </w:tabs>
        <w:rPr>
          <w:rFonts w:eastAsiaTheme="minorEastAsia"/>
          <w:bCs w:val="0"/>
          <w:noProof/>
          <w:sz w:val="24"/>
          <w:szCs w:val="24"/>
          <w:lang w:val="en-GB" w:eastAsia="en-GB"/>
        </w:rPr>
      </w:pPr>
      <w:r>
        <w:rPr>
          <w:noProof/>
        </w:rPr>
        <w:t>Expectations of the HSR system</w:t>
      </w:r>
      <w:r>
        <w:rPr>
          <w:noProof/>
        </w:rPr>
        <w:tab/>
      </w:r>
      <w:r>
        <w:rPr>
          <w:noProof/>
        </w:rPr>
        <w:fldChar w:fldCharType="begin"/>
      </w:r>
      <w:r>
        <w:rPr>
          <w:noProof/>
        </w:rPr>
        <w:instrText xml:space="preserve"> PAGEREF _Toc503880606 \h </w:instrText>
      </w:r>
      <w:r>
        <w:rPr>
          <w:noProof/>
        </w:rPr>
      </w:r>
      <w:r>
        <w:rPr>
          <w:noProof/>
        </w:rPr>
        <w:fldChar w:fldCharType="separate"/>
      </w:r>
      <w:r w:rsidR="00920EF3">
        <w:rPr>
          <w:noProof/>
        </w:rPr>
        <w:t>5</w:t>
      </w:r>
      <w:r>
        <w:rPr>
          <w:noProof/>
        </w:rPr>
        <w:fldChar w:fldCharType="end"/>
      </w:r>
    </w:p>
    <w:p w14:paraId="013F3EB5" w14:textId="77777777" w:rsidR="00400DE8" w:rsidRDefault="00400DE8">
      <w:pPr>
        <w:pStyle w:val="TOC2"/>
        <w:tabs>
          <w:tab w:val="right" w:leader="dot" w:pos="9736"/>
        </w:tabs>
        <w:rPr>
          <w:rFonts w:eastAsiaTheme="minorEastAsia"/>
          <w:bCs w:val="0"/>
          <w:noProof/>
          <w:sz w:val="24"/>
          <w:szCs w:val="24"/>
          <w:lang w:val="en-GB" w:eastAsia="en-GB"/>
        </w:rPr>
      </w:pPr>
      <w:r>
        <w:rPr>
          <w:noProof/>
        </w:rPr>
        <w:t>Achievement of HSR system objectives</w:t>
      </w:r>
      <w:r>
        <w:rPr>
          <w:noProof/>
        </w:rPr>
        <w:tab/>
      </w:r>
      <w:r>
        <w:rPr>
          <w:noProof/>
        </w:rPr>
        <w:fldChar w:fldCharType="begin"/>
      </w:r>
      <w:r>
        <w:rPr>
          <w:noProof/>
        </w:rPr>
        <w:instrText xml:space="preserve"> PAGEREF _Toc503880607 \h </w:instrText>
      </w:r>
      <w:r>
        <w:rPr>
          <w:noProof/>
        </w:rPr>
      </w:r>
      <w:r>
        <w:rPr>
          <w:noProof/>
        </w:rPr>
        <w:fldChar w:fldCharType="separate"/>
      </w:r>
      <w:r w:rsidR="00920EF3">
        <w:rPr>
          <w:noProof/>
        </w:rPr>
        <w:t>6</w:t>
      </w:r>
      <w:r>
        <w:rPr>
          <w:noProof/>
        </w:rPr>
        <w:fldChar w:fldCharType="end"/>
      </w:r>
    </w:p>
    <w:p w14:paraId="72556105" w14:textId="77777777" w:rsidR="00400DE8" w:rsidRDefault="00400DE8">
      <w:pPr>
        <w:pStyle w:val="TOC2"/>
        <w:tabs>
          <w:tab w:val="right" w:leader="dot" w:pos="9736"/>
        </w:tabs>
        <w:rPr>
          <w:rFonts w:eastAsiaTheme="minorEastAsia"/>
          <w:bCs w:val="0"/>
          <w:noProof/>
          <w:sz w:val="24"/>
          <w:szCs w:val="24"/>
          <w:lang w:val="en-GB" w:eastAsia="en-GB"/>
        </w:rPr>
      </w:pPr>
      <w:r>
        <w:rPr>
          <w:noProof/>
        </w:rPr>
        <w:t>Uptake of the HSR system</w:t>
      </w:r>
      <w:r>
        <w:rPr>
          <w:noProof/>
        </w:rPr>
        <w:tab/>
      </w:r>
      <w:r>
        <w:rPr>
          <w:noProof/>
        </w:rPr>
        <w:fldChar w:fldCharType="begin"/>
      </w:r>
      <w:r>
        <w:rPr>
          <w:noProof/>
        </w:rPr>
        <w:instrText xml:space="preserve"> PAGEREF _Toc503880608 \h </w:instrText>
      </w:r>
      <w:r>
        <w:rPr>
          <w:noProof/>
        </w:rPr>
      </w:r>
      <w:r>
        <w:rPr>
          <w:noProof/>
        </w:rPr>
        <w:fldChar w:fldCharType="separate"/>
      </w:r>
      <w:r w:rsidR="00920EF3">
        <w:rPr>
          <w:noProof/>
        </w:rPr>
        <w:t>7</w:t>
      </w:r>
      <w:r>
        <w:rPr>
          <w:noProof/>
        </w:rPr>
        <w:fldChar w:fldCharType="end"/>
      </w:r>
    </w:p>
    <w:p w14:paraId="5077F0A8" w14:textId="77777777" w:rsidR="00400DE8" w:rsidRDefault="00400DE8">
      <w:pPr>
        <w:pStyle w:val="TOC2"/>
        <w:tabs>
          <w:tab w:val="right" w:leader="dot" w:pos="9736"/>
        </w:tabs>
        <w:rPr>
          <w:rFonts w:eastAsiaTheme="minorEastAsia"/>
          <w:bCs w:val="0"/>
          <w:noProof/>
          <w:sz w:val="24"/>
          <w:szCs w:val="24"/>
          <w:lang w:val="en-GB" w:eastAsia="en-GB"/>
        </w:rPr>
      </w:pPr>
      <w:r>
        <w:rPr>
          <w:noProof/>
        </w:rPr>
        <w:t>Impact of the HSR system</w:t>
      </w:r>
      <w:r>
        <w:rPr>
          <w:noProof/>
        </w:rPr>
        <w:tab/>
      </w:r>
      <w:r>
        <w:rPr>
          <w:noProof/>
        </w:rPr>
        <w:fldChar w:fldCharType="begin"/>
      </w:r>
      <w:r>
        <w:rPr>
          <w:noProof/>
        </w:rPr>
        <w:instrText xml:space="preserve"> PAGEREF _Toc503880609 \h </w:instrText>
      </w:r>
      <w:r>
        <w:rPr>
          <w:noProof/>
        </w:rPr>
      </w:r>
      <w:r>
        <w:rPr>
          <w:noProof/>
        </w:rPr>
        <w:fldChar w:fldCharType="separate"/>
      </w:r>
      <w:r w:rsidR="00920EF3">
        <w:rPr>
          <w:noProof/>
        </w:rPr>
        <w:t>8</w:t>
      </w:r>
      <w:r>
        <w:rPr>
          <w:noProof/>
        </w:rPr>
        <w:fldChar w:fldCharType="end"/>
      </w:r>
    </w:p>
    <w:p w14:paraId="24583B5E" w14:textId="77777777" w:rsidR="00400DE8" w:rsidRDefault="00400DE8">
      <w:pPr>
        <w:pStyle w:val="TOC2"/>
        <w:tabs>
          <w:tab w:val="right" w:leader="dot" w:pos="9736"/>
        </w:tabs>
        <w:rPr>
          <w:rFonts w:eastAsiaTheme="minorEastAsia"/>
          <w:bCs w:val="0"/>
          <w:noProof/>
          <w:sz w:val="24"/>
          <w:szCs w:val="24"/>
          <w:lang w:val="en-GB" w:eastAsia="en-GB"/>
        </w:rPr>
      </w:pPr>
      <w:r>
        <w:rPr>
          <w:noProof/>
        </w:rPr>
        <w:t>Continuation of the HSR system</w:t>
      </w:r>
      <w:r>
        <w:rPr>
          <w:noProof/>
        </w:rPr>
        <w:tab/>
      </w:r>
      <w:r>
        <w:rPr>
          <w:noProof/>
        </w:rPr>
        <w:fldChar w:fldCharType="begin"/>
      </w:r>
      <w:r>
        <w:rPr>
          <w:noProof/>
        </w:rPr>
        <w:instrText xml:space="preserve"> PAGEREF _Toc503880610 \h </w:instrText>
      </w:r>
      <w:r>
        <w:rPr>
          <w:noProof/>
        </w:rPr>
      </w:r>
      <w:r>
        <w:rPr>
          <w:noProof/>
        </w:rPr>
        <w:fldChar w:fldCharType="separate"/>
      </w:r>
      <w:r w:rsidR="00920EF3">
        <w:rPr>
          <w:noProof/>
        </w:rPr>
        <w:t>8</w:t>
      </w:r>
      <w:r>
        <w:rPr>
          <w:noProof/>
        </w:rPr>
        <w:fldChar w:fldCharType="end"/>
      </w:r>
    </w:p>
    <w:p w14:paraId="67EA52EC" w14:textId="77777777" w:rsidR="00400DE8" w:rsidRDefault="00400DE8">
      <w:pPr>
        <w:pStyle w:val="TOC1"/>
        <w:rPr>
          <w:rFonts w:eastAsiaTheme="minorEastAsia"/>
          <w:b w:val="0"/>
          <w:bCs w:val="0"/>
          <w:noProof/>
          <w:lang w:val="en-GB" w:eastAsia="en-GB"/>
        </w:rPr>
      </w:pPr>
      <w:r>
        <w:rPr>
          <w:noProof/>
        </w:rPr>
        <w:t>Chapter 3 – Our approach to identifying any HSR system changes</w:t>
      </w:r>
      <w:r>
        <w:rPr>
          <w:noProof/>
        </w:rPr>
        <w:tab/>
      </w:r>
      <w:r>
        <w:rPr>
          <w:noProof/>
        </w:rPr>
        <w:fldChar w:fldCharType="begin"/>
      </w:r>
      <w:r>
        <w:rPr>
          <w:noProof/>
        </w:rPr>
        <w:instrText xml:space="preserve"> PAGEREF _Toc503880611 \h </w:instrText>
      </w:r>
      <w:r>
        <w:rPr>
          <w:noProof/>
        </w:rPr>
      </w:r>
      <w:r>
        <w:rPr>
          <w:noProof/>
        </w:rPr>
        <w:fldChar w:fldCharType="separate"/>
      </w:r>
      <w:r w:rsidR="00920EF3">
        <w:rPr>
          <w:noProof/>
        </w:rPr>
        <w:t>10</w:t>
      </w:r>
      <w:r>
        <w:rPr>
          <w:noProof/>
        </w:rPr>
        <w:fldChar w:fldCharType="end"/>
      </w:r>
    </w:p>
    <w:p w14:paraId="237C1668" w14:textId="77777777" w:rsidR="00400DE8" w:rsidRDefault="00400DE8">
      <w:pPr>
        <w:pStyle w:val="TOC2"/>
        <w:tabs>
          <w:tab w:val="right" w:leader="dot" w:pos="9736"/>
        </w:tabs>
        <w:rPr>
          <w:rFonts w:eastAsiaTheme="minorEastAsia"/>
          <w:bCs w:val="0"/>
          <w:noProof/>
          <w:sz w:val="24"/>
          <w:szCs w:val="24"/>
          <w:lang w:val="en-GB" w:eastAsia="en-GB"/>
        </w:rPr>
      </w:pPr>
      <w:r>
        <w:rPr>
          <w:noProof/>
        </w:rPr>
        <w:t>Context</w:t>
      </w:r>
      <w:r>
        <w:rPr>
          <w:noProof/>
        </w:rPr>
        <w:tab/>
      </w:r>
      <w:r>
        <w:rPr>
          <w:noProof/>
        </w:rPr>
        <w:fldChar w:fldCharType="begin"/>
      </w:r>
      <w:r>
        <w:rPr>
          <w:noProof/>
        </w:rPr>
        <w:instrText xml:space="preserve"> PAGEREF _Toc503880612 \h </w:instrText>
      </w:r>
      <w:r>
        <w:rPr>
          <w:noProof/>
        </w:rPr>
      </w:r>
      <w:r>
        <w:rPr>
          <w:noProof/>
        </w:rPr>
        <w:fldChar w:fldCharType="separate"/>
      </w:r>
      <w:r w:rsidR="00920EF3">
        <w:rPr>
          <w:noProof/>
        </w:rPr>
        <w:t>10</w:t>
      </w:r>
      <w:r>
        <w:rPr>
          <w:noProof/>
        </w:rPr>
        <w:fldChar w:fldCharType="end"/>
      </w:r>
    </w:p>
    <w:p w14:paraId="6A74521F" w14:textId="77777777" w:rsidR="00400DE8" w:rsidRDefault="00400DE8">
      <w:pPr>
        <w:pStyle w:val="TOC2"/>
        <w:tabs>
          <w:tab w:val="right" w:leader="dot" w:pos="9736"/>
        </w:tabs>
        <w:rPr>
          <w:rFonts w:eastAsiaTheme="minorEastAsia"/>
          <w:bCs w:val="0"/>
          <w:noProof/>
          <w:sz w:val="24"/>
          <w:szCs w:val="24"/>
          <w:lang w:val="en-GB" w:eastAsia="en-GB"/>
        </w:rPr>
      </w:pPr>
      <w:r>
        <w:rPr>
          <w:noProof/>
        </w:rPr>
        <w:t>Principles for examining these issues</w:t>
      </w:r>
      <w:r>
        <w:rPr>
          <w:noProof/>
        </w:rPr>
        <w:tab/>
      </w:r>
      <w:r>
        <w:rPr>
          <w:noProof/>
        </w:rPr>
        <w:fldChar w:fldCharType="begin"/>
      </w:r>
      <w:r>
        <w:rPr>
          <w:noProof/>
        </w:rPr>
        <w:instrText xml:space="preserve"> PAGEREF _Toc503880613 \h </w:instrText>
      </w:r>
      <w:r>
        <w:rPr>
          <w:noProof/>
        </w:rPr>
      </w:r>
      <w:r>
        <w:rPr>
          <w:noProof/>
        </w:rPr>
        <w:fldChar w:fldCharType="separate"/>
      </w:r>
      <w:r w:rsidR="00920EF3">
        <w:rPr>
          <w:noProof/>
        </w:rPr>
        <w:t>10</w:t>
      </w:r>
      <w:r>
        <w:rPr>
          <w:noProof/>
        </w:rPr>
        <w:fldChar w:fldCharType="end"/>
      </w:r>
    </w:p>
    <w:p w14:paraId="0B7F4DE6" w14:textId="77777777" w:rsidR="00400DE8" w:rsidRDefault="00400DE8">
      <w:pPr>
        <w:pStyle w:val="TOC2"/>
        <w:tabs>
          <w:tab w:val="right" w:leader="dot" w:pos="9736"/>
        </w:tabs>
        <w:rPr>
          <w:rFonts w:eastAsiaTheme="minorEastAsia"/>
          <w:bCs w:val="0"/>
          <w:noProof/>
          <w:sz w:val="24"/>
          <w:szCs w:val="24"/>
          <w:lang w:val="en-GB" w:eastAsia="en-GB"/>
        </w:rPr>
      </w:pPr>
      <w:r>
        <w:rPr>
          <w:noProof/>
        </w:rPr>
        <w:t>Process for examining these issues</w:t>
      </w:r>
      <w:r>
        <w:rPr>
          <w:noProof/>
        </w:rPr>
        <w:tab/>
      </w:r>
      <w:r>
        <w:rPr>
          <w:noProof/>
        </w:rPr>
        <w:fldChar w:fldCharType="begin"/>
      </w:r>
      <w:r>
        <w:rPr>
          <w:noProof/>
        </w:rPr>
        <w:instrText xml:space="preserve"> PAGEREF _Toc503880614 \h </w:instrText>
      </w:r>
      <w:r>
        <w:rPr>
          <w:noProof/>
        </w:rPr>
      </w:r>
      <w:r>
        <w:rPr>
          <w:noProof/>
        </w:rPr>
        <w:fldChar w:fldCharType="separate"/>
      </w:r>
      <w:r w:rsidR="00920EF3">
        <w:rPr>
          <w:noProof/>
        </w:rPr>
        <w:t>13</w:t>
      </w:r>
      <w:r>
        <w:rPr>
          <w:noProof/>
        </w:rPr>
        <w:fldChar w:fldCharType="end"/>
      </w:r>
    </w:p>
    <w:p w14:paraId="2DDC33D7" w14:textId="77777777" w:rsidR="00400DE8" w:rsidRDefault="00400DE8">
      <w:pPr>
        <w:pStyle w:val="TOC1"/>
        <w:rPr>
          <w:rFonts w:eastAsiaTheme="minorEastAsia"/>
          <w:b w:val="0"/>
          <w:bCs w:val="0"/>
          <w:noProof/>
          <w:lang w:val="en-GB" w:eastAsia="en-GB"/>
        </w:rPr>
      </w:pPr>
      <w:r>
        <w:rPr>
          <w:noProof/>
        </w:rPr>
        <w:t>Chapter 4 – Key HSR system issues to be explored</w:t>
      </w:r>
      <w:r>
        <w:rPr>
          <w:noProof/>
        </w:rPr>
        <w:tab/>
      </w:r>
      <w:r>
        <w:rPr>
          <w:noProof/>
        </w:rPr>
        <w:fldChar w:fldCharType="begin"/>
      </w:r>
      <w:r>
        <w:rPr>
          <w:noProof/>
        </w:rPr>
        <w:instrText xml:space="preserve"> PAGEREF _Toc503880615 \h </w:instrText>
      </w:r>
      <w:r>
        <w:rPr>
          <w:noProof/>
        </w:rPr>
      </w:r>
      <w:r>
        <w:rPr>
          <w:noProof/>
        </w:rPr>
        <w:fldChar w:fldCharType="separate"/>
      </w:r>
      <w:r w:rsidR="00920EF3">
        <w:rPr>
          <w:noProof/>
        </w:rPr>
        <w:t>14</w:t>
      </w:r>
      <w:r>
        <w:rPr>
          <w:noProof/>
        </w:rPr>
        <w:fldChar w:fldCharType="end"/>
      </w:r>
    </w:p>
    <w:p w14:paraId="73BD9D4A" w14:textId="77777777" w:rsidR="00400DE8" w:rsidRDefault="00400DE8">
      <w:pPr>
        <w:pStyle w:val="TOC2"/>
        <w:tabs>
          <w:tab w:val="right" w:leader="dot" w:pos="9736"/>
        </w:tabs>
        <w:rPr>
          <w:rFonts w:eastAsiaTheme="minorEastAsia"/>
          <w:bCs w:val="0"/>
          <w:noProof/>
          <w:sz w:val="24"/>
          <w:szCs w:val="24"/>
          <w:lang w:val="en-GB" w:eastAsia="en-GB"/>
        </w:rPr>
      </w:pPr>
      <w:r>
        <w:rPr>
          <w:noProof/>
        </w:rPr>
        <w:t>Key concerns relating to HSR application and scoring</w:t>
      </w:r>
      <w:r>
        <w:rPr>
          <w:noProof/>
        </w:rPr>
        <w:tab/>
      </w:r>
      <w:r>
        <w:rPr>
          <w:noProof/>
        </w:rPr>
        <w:fldChar w:fldCharType="begin"/>
      </w:r>
      <w:r>
        <w:rPr>
          <w:noProof/>
        </w:rPr>
        <w:instrText xml:space="preserve"> PAGEREF _Toc503880616 \h </w:instrText>
      </w:r>
      <w:r>
        <w:rPr>
          <w:noProof/>
        </w:rPr>
      </w:r>
      <w:r>
        <w:rPr>
          <w:noProof/>
        </w:rPr>
        <w:fldChar w:fldCharType="separate"/>
      </w:r>
      <w:r w:rsidR="00920EF3">
        <w:rPr>
          <w:noProof/>
        </w:rPr>
        <w:t>14</w:t>
      </w:r>
      <w:r>
        <w:rPr>
          <w:noProof/>
        </w:rPr>
        <w:fldChar w:fldCharType="end"/>
      </w:r>
    </w:p>
    <w:p w14:paraId="4C480616" w14:textId="77777777" w:rsidR="00400DE8" w:rsidRDefault="00400DE8">
      <w:pPr>
        <w:pStyle w:val="TOC2"/>
        <w:tabs>
          <w:tab w:val="right" w:leader="dot" w:pos="9736"/>
        </w:tabs>
        <w:rPr>
          <w:rFonts w:eastAsiaTheme="minorEastAsia"/>
          <w:bCs w:val="0"/>
          <w:noProof/>
          <w:sz w:val="24"/>
          <w:szCs w:val="24"/>
          <w:lang w:val="en-GB" w:eastAsia="en-GB"/>
        </w:rPr>
      </w:pPr>
      <w:r>
        <w:rPr>
          <w:noProof/>
        </w:rPr>
        <w:t>Concerns about the general focus and scope of the HSR system</w:t>
      </w:r>
      <w:r>
        <w:rPr>
          <w:noProof/>
        </w:rPr>
        <w:tab/>
      </w:r>
      <w:r>
        <w:rPr>
          <w:noProof/>
        </w:rPr>
        <w:fldChar w:fldCharType="begin"/>
      </w:r>
      <w:r>
        <w:rPr>
          <w:noProof/>
        </w:rPr>
        <w:instrText xml:space="preserve"> PAGEREF _Toc503880617 \h </w:instrText>
      </w:r>
      <w:r>
        <w:rPr>
          <w:noProof/>
        </w:rPr>
      </w:r>
      <w:r>
        <w:rPr>
          <w:noProof/>
        </w:rPr>
        <w:fldChar w:fldCharType="separate"/>
      </w:r>
      <w:r w:rsidR="00920EF3">
        <w:rPr>
          <w:noProof/>
        </w:rPr>
        <w:t>15</w:t>
      </w:r>
      <w:r>
        <w:rPr>
          <w:noProof/>
        </w:rPr>
        <w:fldChar w:fldCharType="end"/>
      </w:r>
    </w:p>
    <w:p w14:paraId="021E4A8B" w14:textId="77777777" w:rsidR="00400DE8" w:rsidRDefault="00400DE8">
      <w:pPr>
        <w:pStyle w:val="TOC2"/>
        <w:tabs>
          <w:tab w:val="right" w:leader="dot" w:pos="9736"/>
        </w:tabs>
        <w:rPr>
          <w:rFonts w:eastAsiaTheme="minorEastAsia"/>
          <w:bCs w:val="0"/>
          <w:noProof/>
          <w:sz w:val="24"/>
          <w:szCs w:val="24"/>
          <w:lang w:val="en-GB" w:eastAsia="en-GB"/>
        </w:rPr>
      </w:pPr>
      <w:r>
        <w:rPr>
          <w:noProof/>
        </w:rPr>
        <w:t>Concerns relating to the categorisation of foods or a specific category of food</w:t>
      </w:r>
      <w:r>
        <w:rPr>
          <w:noProof/>
        </w:rPr>
        <w:tab/>
      </w:r>
      <w:r>
        <w:rPr>
          <w:noProof/>
        </w:rPr>
        <w:fldChar w:fldCharType="begin"/>
      </w:r>
      <w:r>
        <w:rPr>
          <w:noProof/>
        </w:rPr>
        <w:instrText xml:space="preserve"> PAGEREF _Toc503880618 \h </w:instrText>
      </w:r>
      <w:r>
        <w:rPr>
          <w:noProof/>
        </w:rPr>
      </w:r>
      <w:r>
        <w:rPr>
          <w:noProof/>
        </w:rPr>
        <w:fldChar w:fldCharType="separate"/>
      </w:r>
      <w:r w:rsidR="00920EF3">
        <w:rPr>
          <w:noProof/>
        </w:rPr>
        <w:t>17</w:t>
      </w:r>
      <w:r>
        <w:rPr>
          <w:noProof/>
        </w:rPr>
        <w:fldChar w:fldCharType="end"/>
      </w:r>
    </w:p>
    <w:p w14:paraId="5F1E7416" w14:textId="77777777" w:rsidR="00400DE8" w:rsidRDefault="00400DE8">
      <w:pPr>
        <w:pStyle w:val="TOC2"/>
        <w:tabs>
          <w:tab w:val="right" w:leader="dot" w:pos="9736"/>
        </w:tabs>
        <w:rPr>
          <w:rFonts w:eastAsiaTheme="minorEastAsia"/>
          <w:bCs w:val="0"/>
          <w:noProof/>
          <w:sz w:val="24"/>
          <w:szCs w:val="24"/>
          <w:lang w:val="en-GB" w:eastAsia="en-GB"/>
        </w:rPr>
      </w:pPr>
      <w:r>
        <w:rPr>
          <w:noProof/>
        </w:rPr>
        <w:t>Concerns about the form of the food for the HSR</w:t>
      </w:r>
      <w:r>
        <w:rPr>
          <w:noProof/>
        </w:rPr>
        <w:tab/>
      </w:r>
      <w:r>
        <w:rPr>
          <w:noProof/>
        </w:rPr>
        <w:fldChar w:fldCharType="begin"/>
      </w:r>
      <w:r>
        <w:rPr>
          <w:noProof/>
        </w:rPr>
        <w:instrText xml:space="preserve"> PAGEREF _Toc503880619 \h </w:instrText>
      </w:r>
      <w:r>
        <w:rPr>
          <w:noProof/>
        </w:rPr>
      </w:r>
      <w:r>
        <w:rPr>
          <w:noProof/>
        </w:rPr>
        <w:fldChar w:fldCharType="separate"/>
      </w:r>
      <w:r w:rsidR="00920EF3">
        <w:rPr>
          <w:noProof/>
        </w:rPr>
        <w:t>20</w:t>
      </w:r>
      <w:r>
        <w:rPr>
          <w:noProof/>
        </w:rPr>
        <w:fldChar w:fldCharType="end"/>
      </w:r>
    </w:p>
    <w:p w14:paraId="2E5855AC" w14:textId="77777777" w:rsidR="00400DE8" w:rsidRDefault="00400DE8">
      <w:pPr>
        <w:pStyle w:val="TOC2"/>
        <w:tabs>
          <w:tab w:val="right" w:leader="dot" w:pos="9736"/>
        </w:tabs>
        <w:rPr>
          <w:rFonts w:eastAsiaTheme="minorEastAsia"/>
          <w:bCs w:val="0"/>
          <w:noProof/>
          <w:sz w:val="24"/>
          <w:szCs w:val="24"/>
          <w:lang w:val="en-GB" w:eastAsia="en-GB"/>
        </w:rPr>
      </w:pPr>
      <w:r>
        <w:rPr>
          <w:noProof/>
        </w:rPr>
        <w:t>Concerns relating to the risk-associated nutrients</w:t>
      </w:r>
      <w:r>
        <w:rPr>
          <w:noProof/>
        </w:rPr>
        <w:tab/>
      </w:r>
      <w:r>
        <w:rPr>
          <w:noProof/>
        </w:rPr>
        <w:fldChar w:fldCharType="begin"/>
      </w:r>
      <w:r>
        <w:rPr>
          <w:noProof/>
        </w:rPr>
        <w:instrText xml:space="preserve"> PAGEREF _Toc503880620 \h </w:instrText>
      </w:r>
      <w:r>
        <w:rPr>
          <w:noProof/>
        </w:rPr>
      </w:r>
      <w:r>
        <w:rPr>
          <w:noProof/>
        </w:rPr>
        <w:fldChar w:fldCharType="separate"/>
      </w:r>
      <w:r w:rsidR="00920EF3">
        <w:rPr>
          <w:noProof/>
        </w:rPr>
        <w:t>21</w:t>
      </w:r>
      <w:r>
        <w:rPr>
          <w:noProof/>
        </w:rPr>
        <w:fldChar w:fldCharType="end"/>
      </w:r>
    </w:p>
    <w:p w14:paraId="0DDB84A0" w14:textId="77777777" w:rsidR="00400DE8" w:rsidRDefault="00400DE8">
      <w:pPr>
        <w:pStyle w:val="TOC2"/>
        <w:tabs>
          <w:tab w:val="right" w:leader="dot" w:pos="9736"/>
        </w:tabs>
        <w:rPr>
          <w:rFonts w:eastAsiaTheme="minorEastAsia"/>
          <w:bCs w:val="0"/>
          <w:noProof/>
          <w:sz w:val="24"/>
          <w:szCs w:val="24"/>
          <w:lang w:val="en-GB" w:eastAsia="en-GB"/>
        </w:rPr>
      </w:pPr>
      <w:r>
        <w:rPr>
          <w:noProof/>
        </w:rPr>
        <w:t>Concerns about ‘positive’ foods or nutrients influencing modifying points</w:t>
      </w:r>
      <w:r>
        <w:rPr>
          <w:noProof/>
        </w:rPr>
        <w:tab/>
      </w:r>
      <w:r>
        <w:rPr>
          <w:noProof/>
        </w:rPr>
        <w:fldChar w:fldCharType="begin"/>
      </w:r>
      <w:r>
        <w:rPr>
          <w:noProof/>
        </w:rPr>
        <w:instrText xml:space="preserve"> PAGEREF _Toc503880621 \h </w:instrText>
      </w:r>
      <w:r>
        <w:rPr>
          <w:noProof/>
        </w:rPr>
      </w:r>
      <w:r>
        <w:rPr>
          <w:noProof/>
        </w:rPr>
        <w:fldChar w:fldCharType="separate"/>
      </w:r>
      <w:r w:rsidR="00920EF3">
        <w:rPr>
          <w:noProof/>
        </w:rPr>
        <w:t>23</w:t>
      </w:r>
      <w:r>
        <w:rPr>
          <w:noProof/>
        </w:rPr>
        <w:fldChar w:fldCharType="end"/>
      </w:r>
    </w:p>
    <w:p w14:paraId="397B9922" w14:textId="77777777" w:rsidR="00400DE8" w:rsidRDefault="00400DE8">
      <w:pPr>
        <w:pStyle w:val="TOC2"/>
        <w:tabs>
          <w:tab w:val="right" w:leader="dot" w:pos="9736"/>
        </w:tabs>
        <w:rPr>
          <w:rFonts w:eastAsiaTheme="minorEastAsia"/>
          <w:bCs w:val="0"/>
          <w:noProof/>
          <w:sz w:val="24"/>
          <w:szCs w:val="24"/>
          <w:lang w:val="en-GB" w:eastAsia="en-GB"/>
        </w:rPr>
      </w:pPr>
      <w:r>
        <w:rPr>
          <w:noProof/>
        </w:rPr>
        <w:t>Concerns about the outcome of the calculator for specific foods</w:t>
      </w:r>
      <w:r>
        <w:rPr>
          <w:noProof/>
        </w:rPr>
        <w:tab/>
      </w:r>
      <w:r>
        <w:rPr>
          <w:noProof/>
        </w:rPr>
        <w:fldChar w:fldCharType="begin"/>
      </w:r>
      <w:r>
        <w:rPr>
          <w:noProof/>
        </w:rPr>
        <w:instrText xml:space="preserve"> PAGEREF _Toc503880622 \h </w:instrText>
      </w:r>
      <w:r>
        <w:rPr>
          <w:noProof/>
        </w:rPr>
      </w:r>
      <w:r>
        <w:rPr>
          <w:noProof/>
        </w:rPr>
        <w:fldChar w:fldCharType="separate"/>
      </w:r>
      <w:r w:rsidR="00920EF3">
        <w:rPr>
          <w:noProof/>
        </w:rPr>
        <w:t>25</w:t>
      </w:r>
      <w:r>
        <w:rPr>
          <w:noProof/>
        </w:rPr>
        <w:fldChar w:fldCharType="end"/>
      </w:r>
    </w:p>
    <w:p w14:paraId="55AE913B" w14:textId="77777777" w:rsidR="00400DE8" w:rsidRDefault="00400DE8">
      <w:pPr>
        <w:pStyle w:val="TOC1"/>
        <w:rPr>
          <w:rFonts w:eastAsiaTheme="minorEastAsia"/>
          <w:b w:val="0"/>
          <w:bCs w:val="0"/>
          <w:noProof/>
          <w:lang w:val="en-GB" w:eastAsia="en-GB"/>
        </w:rPr>
      </w:pPr>
      <w:r>
        <w:rPr>
          <w:noProof/>
        </w:rPr>
        <w:t>Chapter 5 – Promotion of the HSR system</w:t>
      </w:r>
      <w:r>
        <w:rPr>
          <w:noProof/>
        </w:rPr>
        <w:tab/>
      </w:r>
      <w:r>
        <w:rPr>
          <w:noProof/>
        </w:rPr>
        <w:fldChar w:fldCharType="begin"/>
      </w:r>
      <w:r>
        <w:rPr>
          <w:noProof/>
        </w:rPr>
        <w:instrText xml:space="preserve"> PAGEREF _Toc503880623 \h </w:instrText>
      </w:r>
      <w:r>
        <w:rPr>
          <w:noProof/>
        </w:rPr>
      </w:r>
      <w:r>
        <w:rPr>
          <w:noProof/>
        </w:rPr>
        <w:fldChar w:fldCharType="separate"/>
      </w:r>
      <w:r w:rsidR="00920EF3">
        <w:rPr>
          <w:noProof/>
        </w:rPr>
        <w:t>26</w:t>
      </w:r>
      <w:r>
        <w:rPr>
          <w:noProof/>
        </w:rPr>
        <w:fldChar w:fldCharType="end"/>
      </w:r>
    </w:p>
    <w:p w14:paraId="25066325" w14:textId="77777777" w:rsidR="00400DE8" w:rsidRDefault="00400DE8">
      <w:pPr>
        <w:pStyle w:val="TOC1"/>
        <w:rPr>
          <w:rFonts w:eastAsiaTheme="minorEastAsia"/>
          <w:b w:val="0"/>
          <w:bCs w:val="0"/>
          <w:noProof/>
          <w:lang w:val="en-GB" w:eastAsia="en-GB"/>
        </w:rPr>
      </w:pPr>
      <w:r>
        <w:rPr>
          <w:noProof/>
        </w:rPr>
        <w:t>Chapter 6 – Governance of the HSR system</w:t>
      </w:r>
      <w:r>
        <w:rPr>
          <w:noProof/>
        </w:rPr>
        <w:tab/>
      </w:r>
      <w:r>
        <w:rPr>
          <w:noProof/>
        </w:rPr>
        <w:fldChar w:fldCharType="begin"/>
      </w:r>
      <w:r>
        <w:rPr>
          <w:noProof/>
        </w:rPr>
        <w:instrText xml:space="preserve"> PAGEREF _Toc503880624 \h </w:instrText>
      </w:r>
      <w:r>
        <w:rPr>
          <w:noProof/>
        </w:rPr>
      </w:r>
      <w:r>
        <w:rPr>
          <w:noProof/>
        </w:rPr>
        <w:fldChar w:fldCharType="separate"/>
      </w:r>
      <w:r w:rsidR="00920EF3">
        <w:rPr>
          <w:noProof/>
        </w:rPr>
        <w:t>27</w:t>
      </w:r>
      <w:r>
        <w:rPr>
          <w:noProof/>
        </w:rPr>
        <w:fldChar w:fldCharType="end"/>
      </w:r>
    </w:p>
    <w:p w14:paraId="01164CB3" w14:textId="77777777" w:rsidR="00400DE8" w:rsidRDefault="00400DE8">
      <w:pPr>
        <w:pStyle w:val="TOC2"/>
        <w:tabs>
          <w:tab w:val="right" w:leader="dot" w:pos="9736"/>
        </w:tabs>
        <w:rPr>
          <w:rFonts w:eastAsiaTheme="minorEastAsia"/>
          <w:bCs w:val="0"/>
          <w:noProof/>
          <w:sz w:val="24"/>
          <w:szCs w:val="24"/>
          <w:lang w:val="en-GB" w:eastAsia="en-GB"/>
        </w:rPr>
      </w:pPr>
      <w:r>
        <w:rPr>
          <w:noProof/>
        </w:rPr>
        <w:t>Governance structures</w:t>
      </w:r>
      <w:r>
        <w:rPr>
          <w:noProof/>
        </w:rPr>
        <w:tab/>
      </w:r>
      <w:r>
        <w:rPr>
          <w:noProof/>
        </w:rPr>
        <w:fldChar w:fldCharType="begin"/>
      </w:r>
      <w:r>
        <w:rPr>
          <w:noProof/>
        </w:rPr>
        <w:instrText xml:space="preserve"> PAGEREF _Toc503880625 \h </w:instrText>
      </w:r>
      <w:r>
        <w:rPr>
          <w:noProof/>
        </w:rPr>
      </w:r>
      <w:r>
        <w:rPr>
          <w:noProof/>
        </w:rPr>
        <w:fldChar w:fldCharType="separate"/>
      </w:r>
      <w:r w:rsidR="00920EF3">
        <w:rPr>
          <w:noProof/>
        </w:rPr>
        <w:t>27</w:t>
      </w:r>
      <w:r>
        <w:rPr>
          <w:noProof/>
        </w:rPr>
        <w:fldChar w:fldCharType="end"/>
      </w:r>
    </w:p>
    <w:p w14:paraId="4F8922BA" w14:textId="77777777" w:rsidR="00400DE8" w:rsidRDefault="00400DE8">
      <w:pPr>
        <w:pStyle w:val="TOC2"/>
        <w:tabs>
          <w:tab w:val="right" w:leader="dot" w:pos="9736"/>
        </w:tabs>
        <w:rPr>
          <w:rFonts w:eastAsiaTheme="minorEastAsia"/>
          <w:bCs w:val="0"/>
          <w:noProof/>
          <w:sz w:val="24"/>
          <w:szCs w:val="24"/>
          <w:lang w:val="en-GB" w:eastAsia="en-GB"/>
        </w:rPr>
      </w:pPr>
      <w:r>
        <w:rPr>
          <w:noProof/>
        </w:rPr>
        <w:t>Ongoing implementation of the HSR</w:t>
      </w:r>
      <w:r>
        <w:rPr>
          <w:noProof/>
        </w:rPr>
        <w:tab/>
      </w:r>
      <w:r>
        <w:rPr>
          <w:noProof/>
        </w:rPr>
        <w:fldChar w:fldCharType="begin"/>
      </w:r>
      <w:r>
        <w:rPr>
          <w:noProof/>
        </w:rPr>
        <w:instrText xml:space="preserve"> PAGEREF _Toc503880626 \h </w:instrText>
      </w:r>
      <w:r>
        <w:rPr>
          <w:noProof/>
        </w:rPr>
      </w:r>
      <w:r>
        <w:rPr>
          <w:noProof/>
        </w:rPr>
        <w:fldChar w:fldCharType="separate"/>
      </w:r>
      <w:r w:rsidR="00920EF3">
        <w:rPr>
          <w:noProof/>
        </w:rPr>
        <w:t>28</w:t>
      </w:r>
      <w:r>
        <w:rPr>
          <w:noProof/>
        </w:rPr>
        <w:fldChar w:fldCharType="end"/>
      </w:r>
    </w:p>
    <w:p w14:paraId="5B062026" w14:textId="77777777" w:rsidR="00400DE8" w:rsidRDefault="00400DE8">
      <w:pPr>
        <w:pStyle w:val="TOC1"/>
        <w:rPr>
          <w:rFonts w:eastAsiaTheme="minorEastAsia"/>
          <w:b w:val="0"/>
          <w:bCs w:val="0"/>
          <w:noProof/>
          <w:lang w:val="en-GB" w:eastAsia="en-GB"/>
        </w:rPr>
      </w:pPr>
      <w:r>
        <w:rPr>
          <w:noProof/>
        </w:rPr>
        <w:t>Chapter 7 – Further consultation opportunities</w:t>
      </w:r>
      <w:r>
        <w:rPr>
          <w:noProof/>
        </w:rPr>
        <w:tab/>
      </w:r>
      <w:r>
        <w:rPr>
          <w:noProof/>
        </w:rPr>
        <w:fldChar w:fldCharType="begin"/>
      </w:r>
      <w:r>
        <w:rPr>
          <w:noProof/>
        </w:rPr>
        <w:instrText xml:space="preserve"> PAGEREF _Toc503880627 \h </w:instrText>
      </w:r>
      <w:r>
        <w:rPr>
          <w:noProof/>
        </w:rPr>
      </w:r>
      <w:r>
        <w:rPr>
          <w:noProof/>
        </w:rPr>
        <w:fldChar w:fldCharType="separate"/>
      </w:r>
      <w:r w:rsidR="00920EF3">
        <w:rPr>
          <w:noProof/>
        </w:rPr>
        <w:t>30</w:t>
      </w:r>
      <w:r>
        <w:rPr>
          <w:noProof/>
        </w:rPr>
        <w:fldChar w:fldCharType="end"/>
      </w:r>
    </w:p>
    <w:p w14:paraId="150C2A4C" w14:textId="77777777" w:rsidR="00400DE8" w:rsidRDefault="00400DE8">
      <w:pPr>
        <w:pStyle w:val="TOC2"/>
        <w:tabs>
          <w:tab w:val="right" w:leader="dot" w:pos="9736"/>
        </w:tabs>
        <w:rPr>
          <w:rFonts w:eastAsiaTheme="minorEastAsia"/>
          <w:bCs w:val="0"/>
          <w:noProof/>
          <w:sz w:val="24"/>
          <w:szCs w:val="24"/>
          <w:lang w:val="en-GB" w:eastAsia="en-GB"/>
        </w:rPr>
      </w:pPr>
      <w:r>
        <w:rPr>
          <w:noProof/>
        </w:rPr>
        <w:t>Forums</w:t>
      </w:r>
      <w:r>
        <w:rPr>
          <w:noProof/>
        </w:rPr>
        <w:tab/>
      </w:r>
      <w:r>
        <w:rPr>
          <w:noProof/>
        </w:rPr>
        <w:fldChar w:fldCharType="begin"/>
      </w:r>
      <w:r>
        <w:rPr>
          <w:noProof/>
        </w:rPr>
        <w:instrText xml:space="preserve"> PAGEREF _Toc503880628 \h </w:instrText>
      </w:r>
      <w:r>
        <w:rPr>
          <w:noProof/>
        </w:rPr>
      </w:r>
      <w:r>
        <w:rPr>
          <w:noProof/>
        </w:rPr>
        <w:fldChar w:fldCharType="separate"/>
      </w:r>
      <w:r w:rsidR="00920EF3">
        <w:rPr>
          <w:noProof/>
        </w:rPr>
        <w:t>30</w:t>
      </w:r>
      <w:r>
        <w:rPr>
          <w:noProof/>
        </w:rPr>
        <w:fldChar w:fldCharType="end"/>
      </w:r>
    </w:p>
    <w:p w14:paraId="0EBF6CF2" w14:textId="77777777" w:rsidR="00400DE8" w:rsidRDefault="00400DE8">
      <w:pPr>
        <w:pStyle w:val="TOC2"/>
        <w:tabs>
          <w:tab w:val="right" w:leader="dot" w:pos="9736"/>
        </w:tabs>
        <w:rPr>
          <w:rFonts w:eastAsiaTheme="minorEastAsia"/>
          <w:bCs w:val="0"/>
          <w:noProof/>
          <w:sz w:val="24"/>
          <w:szCs w:val="24"/>
          <w:lang w:val="en-GB" w:eastAsia="en-GB"/>
        </w:rPr>
      </w:pPr>
      <w:r>
        <w:rPr>
          <w:noProof/>
        </w:rPr>
        <w:t>Consultation on Discussion Papers</w:t>
      </w:r>
      <w:r>
        <w:rPr>
          <w:noProof/>
        </w:rPr>
        <w:tab/>
      </w:r>
      <w:r>
        <w:rPr>
          <w:noProof/>
        </w:rPr>
        <w:fldChar w:fldCharType="begin"/>
      </w:r>
      <w:r>
        <w:rPr>
          <w:noProof/>
        </w:rPr>
        <w:instrText xml:space="preserve"> PAGEREF _Toc503880629 \h </w:instrText>
      </w:r>
      <w:r>
        <w:rPr>
          <w:noProof/>
        </w:rPr>
      </w:r>
      <w:r>
        <w:rPr>
          <w:noProof/>
        </w:rPr>
        <w:fldChar w:fldCharType="separate"/>
      </w:r>
      <w:r w:rsidR="00920EF3">
        <w:rPr>
          <w:noProof/>
        </w:rPr>
        <w:t>31</w:t>
      </w:r>
      <w:r>
        <w:rPr>
          <w:noProof/>
        </w:rPr>
        <w:fldChar w:fldCharType="end"/>
      </w:r>
    </w:p>
    <w:p w14:paraId="60C33064" w14:textId="77777777" w:rsidR="00400DE8" w:rsidRDefault="00400DE8">
      <w:pPr>
        <w:pStyle w:val="TOC2"/>
        <w:tabs>
          <w:tab w:val="right" w:leader="dot" w:pos="9736"/>
        </w:tabs>
        <w:rPr>
          <w:rFonts w:eastAsiaTheme="minorEastAsia"/>
          <w:bCs w:val="0"/>
          <w:noProof/>
          <w:sz w:val="24"/>
          <w:szCs w:val="24"/>
          <w:lang w:val="en-GB" w:eastAsia="en-GB"/>
        </w:rPr>
      </w:pPr>
      <w:r>
        <w:rPr>
          <w:noProof/>
        </w:rPr>
        <w:t>Consultation on draft Review Report</w:t>
      </w:r>
      <w:r>
        <w:rPr>
          <w:noProof/>
        </w:rPr>
        <w:tab/>
      </w:r>
      <w:r>
        <w:rPr>
          <w:noProof/>
        </w:rPr>
        <w:fldChar w:fldCharType="begin"/>
      </w:r>
      <w:r>
        <w:rPr>
          <w:noProof/>
        </w:rPr>
        <w:instrText xml:space="preserve"> PAGEREF _Toc503880630 \h </w:instrText>
      </w:r>
      <w:r>
        <w:rPr>
          <w:noProof/>
        </w:rPr>
      </w:r>
      <w:r>
        <w:rPr>
          <w:noProof/>
        </w:rPr>
        <w:fldChar w:fldCharType="separate"/>
      </w:r>
      <w:r w:rsidR="00920EF3">
        <w:rPr>
          <w:noProof/>
        </w:rPr>
        <w:t>32</w:t>
      </w:r>
      <w:r>
        <w:rPr>
          <w:noProof/>
        </w:rPr>
        <w:fldChar w:fldCharType="end"/>
      </w:r>
    </w:p>
    <w:p w14:paraId="4AA38D74" w14:textId="2567023B" w:rsidR="00C41380" w:rsidRDefault="0002036A" w:rsidP="00BD13C2">
      <w:pPr>
        <w:pStyle w:val="TOC2"/>
        <w:sectPr w:rsidR="00C41380" w:rsidSect="00381925">
          <w:headerReference w:type="default" r:id="rId10"/>
          <w:footerReference w:type="default" r:id="rId11"/>
          <w:pgSz w:w="11900" w:h="16840"/>
          <w:pgMar w:top="1304" w:right="1077" w:bottom="1304" w:left="1077" w:header="709" w:footer="709" w:gutter="0"/>
          <w:cols w:space="708"/>
          <w:docGrid w:linePitch="360"/>
        </w:sectPr>
      </w:pPr>
      <w:r>
        <w:fldChar w:fldCharType="end"/>
      </w:r>
    </w:p>
    <w:p w14:paraId="546937FE" w14:textId="4E6F9FBF" w:rsidR="008062A4" w:rsidRDefault="00E06A8E" w:rsidP="00BD13C2">
      <w:pPr>
        <w:pStyle w:val="mpcheading1"/>
      </w:pPr>
      <w:bookmarkStart w:id="4" w:name="Chapter1_Background_Context"/>
      <w:bookmarkStart w:id="5" w:name="_Toc503880604"/>
      <w:bookmarkEnd w:id="3"/>
      <w:bookmarkEnd w:id="4"/>
      <w:r w:rsidRPr="00B14491">
        <w:lastRenderedPageBreak/>
        <w:t xml:space="preserve">Chapter 1 </w:t>
      </w:r>
      <w:r w:rsidR="00865375">
        <w:t>–</w:t>
      </w:r>
      <w:r w:rsidR="00EE0B5A">
        <w:t xml:space="preserve"> C</w:t>
      </w:r>
      <w:r w:rsidRPr="00B14491">
        <w:t>ontext</w:t>
      </w:r>
      <w:bookmarkStart w:id="6" w:name="_Toc450649511"/>
      <w:r w:rsidR="00EE0B5A">
        <w:t xml:space="preserve"> and purpose of this paper</w:t>
      </w:r>
      <w:bookmarkEnd w:id="5"/>
    </w:p>
    <w:p w14:paraId="4BECCD59" w14:textId="69C22AEA" w:rsidR="00382B1B" w:rsidRDefault="00AE2969" w:rsidP="00382B1B">
      <w:pPr>
        <w:pStyle w:val="mpcNormal"/>
      </w:pPr>
      <w:r>
        <w:t>In</w:t>
      </w:r>
      <w:r w:rsidR="007B4569">
        <w:t xml:space="preserve"> July 2017</w:t>
      </w:r>
      <w:r w:rsidR="00C116BA">
        <w:t>, mpcon</w:t>
      </w:r>
      <w:r>
        <w:t>s</w:t>
      </w:r>
      <w:r w:rsidR="007B4569">
        <w:t>ulting was engaged to undertake</w:t>
      </w:r>
      <w:r>
        <w:t xml:space="preserve"> a </w:t>
      </w:r>
      <w:r w:rsidR="00B56FE9">
        <w:t xml:space="preserve">Five </w:t>
      </w:r>
      <w:r w:rsidR="00BD01DE">
        <w:t>Year</w:t>
      </w:r>
      <w:r>
        <w:t xml:space="preserve"> Review</w:t>
      </w:r>
      <w:r w:rsidR="00C116BA">
        <w:t xml:space="preserve"> of the Health Star Rat</w:t>
      </w:r>
      <w:r>
        <w:t>ing system (the Review)</w:t>
      </w:r>
      <w:r w:rsidR="007B4569">
        <w:t>.</w:t>
      </w:r>
    </w:p>
    <w:p w14:paraId="054C5EEF" w14:textId="6A81C836" w:rsidR="00C87303" w:rsidRPr="00A86E46" w:rsidRDefault="005A068D" w:rsidP="00382B1B">
      <w:pPr>
        <w:pStyle w:val="mpcNormal"/>
        <w:spacing w:after="0"/>
      </w:pPr>
      <w:r w:rsidRPr="000D575F">
        <w:t xml:space="preserve">The </w:t>
      </w:r>
      <w:r w:rsidR="00F120F7">
        <w:t>Health Star Rating (</w:t>
      </w:r>
      <w:r w:rsidRPr="000D575F">
        <w:t>HSR</w:t>
      </w:r>
      <w:r w:rsidR="00F120F7">
        <w:t>)</w:t>
      </w:r>
      <w:r w:rsidRPr="000D575F">
        <w:t xml:space="preserve"> system is a voluntary front-of-pack labelling scheme that rates the overall nutritional profile of packaged food and assigns it a r</w:t>
      </w:r>
      <w:r w:rsidR="00B54DA4">
        <w:t>a</w:t>
      </w:r>
      <w:r w:rsidR="00280347">
        <w:t>ting from 0.5</w:t>
      </w:r>
      <w:r w:rsidR="00CE54B8">
        <w:t xml:space="preserve"> to 5 stars</w:t>
      </w:r>
      <w:r w:rsidR="00B54DA4">
        <w:t>.</w:t>
      </w:r>
      <w:r w:rsidR="00CE54B8">
        <w:t xml:space="preserve"> </w:t>
      </w:r>
      <w:r w:rsidR="00C87303" w:rsidRPr="004142DA">
        <w:t>With a focus on processed packaged foods, the objective of the HSR system is:</w:t>
      </w:r>
      <w:r w:rsidR="00C87303" w:rsidRPr="00A86E46">
        <w:t xml:space="preserve"> </w:t>
      </w:r>
      <w:r w:rsidR="00C87303" w:rsidRPr="003320E4">
        <w:rPr>
          <w:rStyle w:val="Emphasis"/>
        </w:rPr>
        <w:t>To provide convenient, relevant and readily under</w:t>
      </w:r>
      <w:r w:rsidR="008062A4" w:rsidRPr="003320E4">
        <w:rPr>
          <w:rStyle w:val="Emphasis"/>
        </w:rPr>
        <w:t>stood nutrition information and</w:t>
      </w:r>
      <w:r w:rsidR="00C87303" w:rsidRPr="003320E4">
        <w:rPr>
          <w:rStyle w:val="Emphasis"/>
        </w:rPr>
        <w:t>/or guidance on food packs to assist consumers to make informed food purchases and healthier eating choices.</w:t>
      </w:r>
    </w:p>
    <w:p w14:paraId="4272144B" w14:textId="77777777" w:rsidR="00382B1B" w:rsidRDefault="00382B1B" w:rsidP="003B2B46">
      <w:pPr>
        <w:pStyle w:val="mpcbullets1"/>
        <w:numPr>
          <w:ilvl w:val="0"/>
          <w:numId w:val="0"/>
        </w:numPr>
      </w:pPr>
    </w:p>
    <w:p w14:paraId="2CDEA4E1" w14:textId="5AD0498A" w:rsidR="00382B1B" w:rsidRDefault="00382B1B" w:rsidP="00382B1B">
      <w:pPr>
        <w:pStyle w:val="mpcbullets1"/>
        <w:numPr>
          <w:ilvl w:val="0"/>
          <w:numId w:val="0"/>
        </w:numPr>
      </w:pPr>
      <w:r w:rsidRPr="00382B1B">
        <w:t xml:space="preserve">The </w:t>
      </w:r>
      <w:r w:rsidR="00FB30C4">
        <w:t xml:space="preserve">Review </w:t>
      </w:r>
      <w:r w:rsidRPr="00382B1B">
        <w:t>will consider if, and how well, the objectives of the HSR system have been met, to identify options for improvements to and ongoing implementation</w:t>
      </w:r>
      <w:r w:rsidRPr="000A38BE">
        <w:rPr>
          <w:i/>
        </w:rPr>
        <w:t xml:space="preserve"> </w:t>
      </w:r>
      <w:r w:rsidRPr="00382B1B">
        <w:t>of the system.</w:t>
      </w:r>
      <w:r w:rsidRPr="000A38BE">
        <w:rPr>
          <w:i/>
        </w:rPr>
        <w:t xml:space="preserve"> </w:t>
      </w:r>
    </w:p>
    <w:p w14:paraId="7C1E2E2E" w14:textId="77777777" w:rsidR="00382B1B" w:rsidRDefault="00382B1B" w:rsidP="003B2B46">
      <w:pPr>
        <w:pStyle w:val="mpcbullets1"/>
        <w:numPr>
          <w:ilvl w:val="0"/>
          <w:numId w:val="0"/>
        </w:numPr>
      </w:pPr>
    </w:p>
    <w:p w14:paraId="68524CD5" w14:textId="6941F6F8" w:rsidR="00AF0C4F" w:rsidRPr="004142DA" w:rsidRDefault="00C87303" w:rsidP="003B2B46">
      <w:pPr>
        <w:pStyle w:val="mpcbullets1"/>
        <w:numPr>
          <w:ilvl w:val="0"/>
          <w:numId w:val="0"/>
        </w:numPr>
      </w:pPr>
      <w:r>
        <w:t>The R</w:t>
      </w:r>
      <w:r w:rsidR="00A86E46" w:rsidRPr="004142DA">
        <w:t xml:space="preserve">eview will broadly </w:t>
      </w:r>
      <w:r w:rsidR="00A86E46">
        <w:t>consider:</w:t>
      </w:r>
    </w:p>
    <w:p w14:paraId="22FFE5AB" w14:textId="0C161C29" w:rsidR="00A86E46" w:rsidRPr="00231637" w:rsidRDefault="00231637" w:rsidP="00BD13C2">
      <w:pPr>
        <w:pStyle w:val="mpcbullets1"/>
      </w:pPr>
      <w:r>
        <w:t>the impact of the system</w:t>
      </w:r>
    </w:p>
    <w:p w14:paraId="4E1A8AD1" w14:textId="70A126F7" w:rsidR="00A86E46" w:rsidRPr="00231637" w:rsidRDefault="00A86E46" w:rsidP="00BD13C2">
      <w:pPr>
        <w:pStyle w:val="mpcbullets1"/>
      </w:pPr>
      <w:r w:rsidRPr="00231637">
        <w:t>whether the system has s</w:t>
      </w:r>
      <w:r w:rsidR="00231637">
        <w:t xml:space="preserve">uccessfully met its objectives, </w:t>
      </w:r>
      <w:r w:rsidRPr="00231637">
        <w:t xml:space="preserve">and </w:t>
      </w:r>
    </w:p>
    <w:p w14:paraId="0213C713" w14:textId="79B3E552" w:rsidR="00A86E46" w:rsidRDefault="00A86E46" w:rsidP="00BD13C2">
      <w:pPr>
        <w:pStyle w:val="mpcbullets1"/>
      </w:pPr>
      <w:r w:rsidRPr="00231637">
        <w:t>if necessary, how the system, including but not limited to the algorithm, could be improved.</w:t>
      </w:r>
    </w:p>
    <w:p w14:paraId="2668B367" w14:textId="057163EB" w:rsidR="00A86E46" w:rsidRDefault="00A86E46" w:rsidP="00BD13C2">
      <w:pPr>
        <w:pStyle w:val="mpcNormal"/>
      </w:pPr>
      <w:r w:rsidRPr="004142DA">
        <w:t>The</w:t>
      </w:r>
      <w:r w:rsidR="008062A4">
        <w:t xml:space="preserve"> Review will also consider </w:t>
      </w:r>
      <w:r w:rsidRPr="004142DA">
        <w:t>communic</w:t>
      </w:r>
      <w:r w:rsidR="00AF0C4F">
        <w:t>ation, system enhancements,</w:t>
      </w:r>
      <w:r w:rsidR="008062A4">
        <w:t xml:space="preserve"> </w:t>
      </w:r>
      <w:r w:rsidRPr="004142DA">
        <w:t xml:space="preserve">monitoring and governance. </w:t>
      </w:r>
    </w:p>
    <w:p w14:paraId="6BE39A85" w14:textId="17D8D143" w:rsidR="00B94C4A" w:rsidRDefault="00A05223" w:rsidP="00BD13C2">
      <w:pPr>
        <w:pStyle w:val="mpcNormal"/>
      </w:pPr>
      <w:r>
        <w:t>The final Review Report will not be a consensus paper. Rather, it will make balanced and evidence-based r</w:t>
      </w:r>
      <w:r w:rsidR="00B94C4A">
        <w:t>ecommendations to</w:t>
      </w:r>
      <w:r>
        <w:t xml:space="preserve"> the</w:t>
      </w:r>
      <w:r w:rsidR="008D0A48">
        <w:t xml:space="preserve"> Australia and New Zealand Ministerial Forum on Food Regulation (the Forum), through the</w:t>
      </w:r>
      <w:r w:rsidR="00B94C4A">
        <w:t xml:space="preserve"> F</w:t>
      </w:r>
      <w:r>
        <w:t xml:space="preserve">ood Regulation Standing </w:t>
      </w:r>
      <w:r w:rsidR="00B94C4A">
        <w:t>C</w:t>
      </w:r>
      <w:r>
        <w:t>ommittee (FRSC)</w:t>
      </w:r>
      <w:r w:rsidR="00B94C4A">
        <w:t xml:space="preserve"> </w:t>
      </w:r>
      <w:r w:rsidR="008D0A48">
        <w:t>and</w:t>
      </w:r>
      <w:r w:rsidR="00B94C4A">
        <w:t xml:space="preserve"> the</w:t>
      </w:r>
      <w:r>
        <w:t xml:space="preserve"> Health Star Rating Advisory Committee</w:t>
      </w:r>
      <w:r w:rsidR="00B94C4A">
        <w:t xml:space="preserve"> </w:t>
      </w:r>
      <w:r>
        <w:t>(</w:t>
      </w:r>
      <w:r w:rsidR="00B94C4A">
        <w:t>HSRAC</w:t>
      </w:r>
      <w:r>
        <w:t>)</w:t>
      </w:r>
      <w:r w:rsidR="00A1509C">
        <w:t xml:space="preserve">, to inform the decision of </w:t>
      </w:r>
      <w:r w:rsidR="008D0A48">
        <w:t>the Forum</w:t>
      </w:r>
      <w:r w:rsidR="00996276">
        <w:t xml:space="preserve"> regarding the future of the HSR system</w:t>
      </w:r>
      <w:r w:rsidR="00A1509C">
        <w:t>.</w:t>
      </w:r>
    </w:p>
    <w:p w14:paraId="385A8230" w14:textId="194C081E" w:rsidR="00AF0C4F" w:rsidRDefault="00F120F7" w:rsidP="003B2B46">
      <w:pPr>
        <w:pStyle w:val="mpcbullets1"/>
        <w:numPr>
          <w:ilvl w:val="0"/>
          <w:numId w:val="0"/>
        </w:numPr>
      </w:pPr>
      <w:r>
        <w:t>In order to inform the R</w:t>
      </w:r>
      <w:r w:rsidR="00E06E2D">
        <w:t>eview, to-date mpconsulting has</w:t>
      </w:r>
      <w:r w:rsidR="00AF0C4F">
        <w:t>:</w:t>
      </w:r>
    </w:p>
    <w:p w14:paraId="3652917C" w14:textId="545A6A98" w:rsidR="00360C12" w:rsidRDefault="00360C12" w:rsidP="00E06E2D">
      <w:pPr>
        <w:pStyle w:val="mpcbullets1"/>
        <w:spacing w:after="0"/>
      </w:pPr>
      <w:r>
        <w:t xml:space="preserve">reviewed 483 stakeholder submissions. In October 2017, mpconsulting published a summary of the written submissions and this is available on the HSR website at: </w:t>
      </w:r>
      <w:hyperlink r:id="rId12" w:history="1">
        <w:r w:rsidRPr="00360C12">
          <w:rPr>
            <w:rStyle w:val="Hyperlink"/>
          </w:rPr>
          <w:t>summary of submissions to Five Year Review</w:t>
        </w:r>
      </w:hyperlink>
    </w:p>
    <w:p w14:paraId="6368B611" w14:textId="2686CED5" w:rsidR="00E06E2D" w:rsidRDefault="00E06E2D" w:rsidP="00E06E2D">
      <w:pPr>
        <w:pStyle w:val="mpcbullets1"/>
        <w:spacing w:after="0"/>
      </w:pPr>
      <w:r>
        <w:t xml:space="preserve">considered research and monitoring data developed by the </w:t>
      </w:r>
      <w:r w:rsidR="00D2218E">
        <w:t>National Heart Foundation of Australia (</w:t>
      </w:r>
      <w:r>
        <w:t>Heart Foundation</w:t>
      </w:r>
      <w:r w:rsidR="00D2218E">
        <w:t>)</w:t>
      </w:r>
      <w:r>
        <w:t xml:space="preserve"> and the New Zealand Ministry for Primary Industries (MPI)</w:t>
      </w:r>
    </w:p>
    <w:p w14:paraId="286730EE" w14:textId="11D83D71" w:rsidR="008062A4" w:rsidRDefault="00F120F7" w:rsidP="00BD13C2">
      <w:pPr>
        <w:pStyle w:val="mpcbullets1"/>
      </w:pPr>
      <w:r>
        <w:t xml:space="preserve">reviewed </w:t>
      </w:r>
      <w:r w:rsidR="008062A4">
        <w:t xml:space="preserve">a wide range of primary references including relevant policy statements, </w:t>
      </w:r>
      <w:r w:rsidR="00B022CD">
        <w:t xml:space="preserve">research and </w:t>
      </w:r>
      <w:r w:rsidR="008062A4">
        <w:t>guides (specific to the HSR and also</w:t>
      </w:r>
      <w:r w:rsidR="00B022CD">
        <w:t xml:space="preserve"> relating to diet more broadly)</w:t>
      </w:r>
    </w:p>
    <w:p w14:paraId="166C1468" w14:textId="1AC91416" w:rsidR="00AE2969" w:rsidRDefault="00F120F7" w:rsidP="00BD13C2">
      <w:pPr>
        <w:pStyle w:val="mpcbullets1"/>
      </w:pPr>
      <w:r>
        <w:t>r</w:t>
      </w:r>
      <w:r w:rsidR="00D87FC7">
        <w:t>eviewed material</w:t>
      </w:r>
      <w:r w:rsidR="004208C6">
        <w:t>s</w:t>
      </w:r>
      <w:r w:rsidR="00D87FC7">
        <w:t xml:space="preserve"> </w:t>
      </w:r>
      <w:r w:rsidR="00AE2969">
        <w:t>p</w:t>
      </w:r>
      <w:r w:rsidR="00D87FC7">
        <w:t xml:space="preserve">rovided </w:t>
      </w:r>
      <w:r w:rsidR="00AE2969">
        <w:t>by submitters</w:t>
      </w:r>
      <w:r>
        <w:t xml:space="preserve"> </w:t>
      </w:r>
    </w:p>
    <w:p w14:paraId="0BA4DC8C" w14:textId="2B62AC76" w:rsidR="00B43564" w:rsidRDefault="00F120F7" w:rsidP="00BD13C2">
      <w:pPr>
        <w:pStyle w:val="mpcbullets1"/>
      </w:pPr>
      <w:r>
        <w:t>m</w:t>
      </w:r>
      <w:r w:rsidR="00D87FC7">
        <w:t xml:space="preserve">et </w:t>
      </w:r>
      <w:r>
        <w:t>with the</w:t>
      </w:r>
      <w:r w:rsidR="004208C6">
        <w:t xml:space="preserve"> </w:t>
      </w:r>
      <w:r w:rsidR="00AE2969">
        <w:t>HSRAC</w:t>
      </w:r>
      <w:r>
        <w:t xml:space="preserve"> and the Technical Advisory Group (TAG)</w:t>
      </w:r>
      <w:r w:rsidR="00AE2969">
        <w:t xml:space="preserve"> </w:t>
      </w:r>
      <w:r w:rsidR="004208C6">
        <w:t>including to observe operations and governance arrangements</w:t>
      </w:r>
      <w:r w:rsidR="00DA5809">
        <w:t>, and</w:t>
      </w:r>
      <w:r w:rsidR="004208C6">
        <w:t xml:space="preserve"> </w:t>
      </w:r>
    </w:p>
    <w:p w14:paraId="708AFF1D" w14:textId="2DB8AA49" w:rsidR="00F120F7" w:rsidRDefault="00F120F7" w:rsidP="00BD13C2">
      <w:pPr>
        <w:pStyle w:val="mpcbullets1"/>
      </w:pPr>
      <w:r>
        <w:t>h</w:t>
      </w:r>
      <w:r w:rsidR="004208C6">
        <w:t>eld teleconference</w:t>
      </w:r>
      <w:r w:rsidR="008062A4">
        <w:t>s</w:t>
      </w:r>
      <w:r w:rsidR="004208C6">
        <w:t xml:space="preserve"> with a wide range of stakeholders </w:t>
      </w:r>
      <w:r w:rsidR="000205FB">
        <w:t>including</w:t>
      </w:r>
      <w:r w:rsidR="004208C6">
        <w:t xml:space="preserve"> </w:t>
      </w:r>
      <w:r w:rsidR="000205FB">
        <w:t>government</w:t>
      </w:r>
      <w:r w:rsidR="004208C6">
        <w:t xml:space="preserve">, public </w:t>
      </w:r>
      <w:r w:rsidR="000205FB">
        <w:t>health</w:t>
      </w:r>
      <w:r w:rsidR="004208C6">
        <w:t xml:space="preserve">, </w:t>
      </w:r>
      <w:r w:rsidR="008062A4">
        <w:t xml:space="preserve">academic, </w:t>
      </w:r>
      <w:r w:rsidR="004208C6">
        <w:t>consumer an</w:t>
      </w:r>
      <w:r>
        <w:t>d industry across Australia and</w:t>
      </w:r>
      <w:r w:rsidR="004208C6">
        <w:t xml:space="preserve"> New </w:t>
      </w:r>
      <w:r w:rsidR="000205FB">
        <w:t>Zealand</w:t>
      </w:r>
      <w:r w:rsidR="00DA5809">
        <w:t>.</w:t>
      </w:r>
    </w:p>
    <w:p w14:paraId="271F18B9" w14:textId="1166F32A" w:rsidR="007A0827" w:rsidRDefault="00011A4B" w:rsidP="00BD13C2">
      <w:pPr>
        <w:pStyle w:val="mpcNormal"/>
      </w:pPr>
      <w:r>
        <w:t>mpconsulting is</w:t>
      </w:r>
      <w:r w:rsidR="00DA5809">
        <w:t xml:space="preserve"> now keen to explore</w:t>
      </w:r>
      <w:r w:rsidR="00466446">
        <w:t>, including through a series of public forums,</w:t>
      </w:r>
      <w:r w:rsidR="00DA5809">
        <w:t xml:space="preserve"> some </w:t>
      </w:r>
      <w:r w:rsidR="00CE54B8">
        <w:t>of the key</w:t>
      </w:r>
      <w:r w:rsidR="00C116BA">
        <w:t xml:space="preserve"> issues</w:t>
      </w:r>
      <w:r w:rsidR="00466446">
        <w:t xml:space="preserve"> that stakeholders have raised,</w:t>
      </w:r>
      <w:r w:rsidR="00C116BA">
        <w:t xml:space="preserve"> and</w:t>
      </w:r>
      <w:r w:rsidR="00466446">
        <w:t xml:space="preserve"> to consider in more detail </w:t>
      </w:r>
      <w:r w:rsidR="0081455D">
        <w:t>suggested</w:t>
      </w:r>
      <w:r w:rsidR="00466446">
        <w:t xml:space="preserve"> options to address these issues</w:t>
      </w:r>
      <w:r w:rsidR="00B76FB3">
        <w:t>.</w:t>
      </w:r>
    </w:p>
    <w:p w14:paraId="7160D082" w14:textId="094958FB" w:rsidR="00231637" w:rsidRDefault="00D94640" w:rsidP="00C5766F">
      <w:pPr>
        <w:pStyle w:val="mpcbullets1"/>
        <w:keepNext/>
        <w:numPr>
          <w:ilvl w:val="0"/>
          <w:numId w:val="0"/>
        </w:numPr>
      </w:pPr>
      <w:r>
        <w:lastRenderedPageBreak/>
        <w:t>The purpose of this paper is to</w:t>
      </w:r>
      <w:r w:rsidR="00B76FB3">
        <w:t>:</w:t>
      </w:r>
      <w:r>
        <w:t xml:space="preserve"> </w:t>
      </w:r>
    </w:p>
    <w:p w14:paraId="06B17882" w14:textId="45350C5A" w:rsidR="00AE2969" w:rsidRDefault="00C04B02" w:rsidP="00C5766F">
      <w:pPr>
        <w:pStyle w:val="mpcbullets1"/>
        <w:keepNext/>
      </w:pPr>
      <w:r>
        <w:t>p</w:t>
      </w:r>
      <w:r w:rsidR="00AE2969">
        <w:t>rov</w:t>
      </w:r>
      <w:r w:rsidR="00C116BA">
        <w:t xml:space="preserve">ide background information about </w:t>
      </w:r>
      <w:r w:rsidR="00D87FC7">
        <w:t>some of our findings to date</w:t>
      </w:r>
      <w:r w:rsidR="000B7440">
        <w:t>,</w:t>
      </w:r>
      <w:r w:rsidR="00D87FC7">
        <w:t xml:space="preserve"> including some of the ke</w:t>
      </w:r>
      <w:r w:rsidR="00D67ADC">
        <w:t>y issues for discussion</w:t>
      </w:r>
      <w:r w:rsidR="00AF0C4F">
        <w:t xml:space="preserve"> as the R</w:t>
      </w:r>
      <w:r w:rsidR="00D87FC7">
        <w:t>eview progresses</w:t>
      </w:r>
    </w:p>
    <w:p w14:paraId="087D84E4" w14:textId="677F6000" w:rsidR="00A46DF0" w:rsidRDefault="00C04B02" w:rsidP="007A0827">
      <w:pPr>
        <w:pStyle w:val="mpcbullets1"/>
      </w:pPr>
      <w:r>
        <w:t>i</w:t>
      </w:r>
      <w:r w:rsidR="008062A4">
        <w:t>dentify some</w:t>
      </w:r>
      <w:r w:rsidR="00A46DF0">
        <w:t xml:space="preserve"> principles by which to guide our consideration of any </w:t>
      </w:r>
      <w:r w:rsidR="008062A4">
        <w:t xml:space="preserve">recommended </w:t>
      </w:r>
      <w:r w:rsidR="00A46DF0">
        <w:t>changes to the HSR</w:t>
      </w:r>
      <w:r w:rsidR="00361FAF">
        <w:t xml:space="preserve"> syst</w:t>
      </w:r>
      <w:r w:rsidR="00AF0C4F">
        <w:t>em</w:t>
      </w:r>
    </w:p>
    <w:p w14:paraId="45C40845" w14:textId="00A167BD" w:rsidR="00765560" w:rsidRDefault="00C04B02" w:rsidP="007A0827">
      <w:pPr>
        <w:pStyle w:val="mpcbullets1"/>
      </w:pPr>
      <w:r>
        <w:t>p</w:t>
      </w:r>
      <w:r w:rsidR="00AD0654">
        <w:t>rovide</w:t>
      </w:r>
      <w:r w:rsidR="00EA0DD5">
        <w:t xml:space="preserve"> transparency in terms of the messages we a</w:t>
      </w:r>
      <w:r w:rsidR="000B7440">
        <w:t>re hearing, the direction</w:t>
      </w:r>
      <w:r w:rsidR="00743376">
        <w:t xml:space="preserve"> in which</w:t>
      </w:r>
      <w:r w:rsidR="000B7440">
        <w:t xml:space="preserve"> the Review is</w:t>
      </w:r>
      <w:r w:rsidR="00466446">
        <w:t xml:space="preserve"> heading</w:t>
      </w:r>
      <w:r w:rsidR="00EA0DD5">
        <w:t>, the areas that we are no</w:t>
      </w:r>
      <w:r w:rsidR="008331B8">
        <w:t xml:space="preserve">t proposing </w:t>
      </w:r>
      <w:r w:rsidR="00EA0DD5">
        <w:t>to exp</w:t>
      </w:r>
      <w:r w:rsidR="008331B8">
        <w:t xml:space="preserve">lore </w:t>
      </w:r>
      <w:r w:rsidR="00EA0DD5">
        <w:t xml:space="preserve">as part of the Review and the many issues that will require </w:t>
      </w:r>
      <w:r w:rsidR="008331B8">
        <w:t>further consultation and discus</w:t>
      </w:r>
      <w:r w:rsidR="00EA0DD5">
        <w:t>s</w:t>
      </w:r>
      <w:r w:rsidR="008331B8">
        <w:t>i</w:t>
      </w:r>
      <w:r w:rsidR="00EA0DD5">
        <w:t xml:space="preserve">on as the </w:t>
      </w:r>
      <w:r w:rsidR="00AD0654">
        <w:t>R</w:t>
      </w:r>
      <w:r w:rsidR="00EA0DD5">
        <w:t>eview progresses</w:t>
      </w:r>
      <w:r w:rsidR="00641BF7">
        <w:t>, and</w:t>
      </w:r>
    </w:p>
    <w:p w14:paraId="077DFA99" w14:textId="62099BF2" w:rsidR="00641BF7" w:rsidRDefault="00641BF7" w:rsidP="00641BF7">
      <w:pPr>
        <w:pStyle w:val="mpcbullets1"/>
      </w:pPr>
      <w:r>
        <w:t>provide further details about future consultation opportunities.</w:t>
      </w:r>
    </w:p>
    <w:p w14:paraId="3C5B4B82" w14:textId="77777777" w:rsidR="00C5766F" w:rsidRDefault="00C5766F" w:rsidP="00C5766F">
      <w:pPr>
        <w:pStyle w:val="mpcbullets1"/>
        <w:numPr>
          <w:ilvl w:val="0"/>
          <w:numId w:val="0"/>
        </w:numPr>
      </w:pPr>
    </w:p>
    <w:p w14:paraId="54AC7C19" w14:textId="156C969E" w:rsidR="00C5766F" w:rsidRDefault="00C5766F" w:rsidP="00C5766F">
      <w:pPr>
        <w:pStyle w:val="mpcbullets1"/>
        <w:numPr>
          <w:ilvl w:val="0"/>
          <w:numId w:val="0"/>
        </w:numPr>
      </w:pPr>
      <w:r w:rsidRPr="007A0827">
        <w:t xml:space="preserve">We recognise that </w:t>
      </w:r>
      <w:r>
        <w:t>in the conduct of the</w:t>
      </w:r>
      <w:r w:rsidRPr="007A0827">
        <w:t xml:space="preserve"> Review we will not always use the language of all stakeholders including because, in relation to some issues, various stakeholder groups use different language to express the same concept. This Review necessarily speaks to a broad range of stakeholders. We have therefore used commonly understood language and terms where possible. Noting this approach, please feel free to raise with us any concerns regarding substantive</w:t>
      </w:r>
      <w:r>
        <w:t xml:space="preserve"> language</w:t>
      </w:r>
      <w:r w:rsidRPr="007A0827">
        <w:t xml:space="preserve"> issues.</w:t>
      </w:r>
    </w:p>
    <w:p w14:paraId="5A9F32CE" w14:textId="4C78CC27" w:rsidR="005711B7" w:rsidRDefault="00822EA7" w:rsidP="00BD13C2">
      <w:pPr>
        <w:pStyle w:val="mpcNormal"/>
      </w:pPr>
      <w:r w:rsidRPr="004F442A">
        <w:t>We sincerely thank</w:t>
      </w:r>
      <w:r w:rsidR="00D87FC7">
        <w:t xml:space="preserve"> all stakeholders for their time and </w:t>
      </w:r>
      <w:r w:rsidR="00F40A3A">
        <w:t>advice in contributing to the R</w:t>
      </w:r>
      <w:r w:rsidRPr="004F442A">
        <w:t>eview</w:t>
      </w:r>
      <w:bookmarkEnd w:id="6"/>
      <w:r w:rsidR="00D87FC7">
        <w:t xml:space="preserve"> and look forward to speaking with </w:t>
      </w:r>
      <w:r w:rsidR="00520E98">
        <w:t xml:space="preserve">many of </w:t>
      </w:r>
      <w:r w:rsidR="00D87FC7">
        <w:t>you as the Review progresses.</w:t>
      </w:r>
    </w:p>
    <w:p w14:paraId="6E97768F" w14:textId="77777777" w:rsidR="007A0827" w:rsidRDefault="007A0827" w:rsidP="00BD13C2">
      <w:pPr>
        <w:pStyle w:val="mpcNormal"/>
        <w:sectPr w:rsidR="007A0827" w:rsidSect="00381925">
          <w:footerReference w:type="default" r:id="rId13"/>
          <w:pgSz w:w="11900" w:h="16840"/>
          <w:pgMar w:top="1304" w:right="1077" w:bottom="1304" w:left="1077" w:header="709" w:footer="709" w:gutter="0"/>
          <w:cols w:space="708"/>
          <w:docGrid w:linePitch="360"/>
        </w:sectPr>
      </w:pPr>
    </w:p>
    <w:p w14:paraId="497DFCF8" w14:textId="41CEEE83" w:rsidR="00493B31" w:rsidRPr="00BD13C2" w:rsidRDefault="00C116BA" w:rsidP="00BD13C2">
      <w:pPr>
        <w:pStyle w:val="mpcheading1"/>
      </w:pPr>
      <w:bookmarkStart w:id="7" w:name="Chapter2_Submissions"/>
      <w:bookmarkStart w:id="8" w:name="Chapter3_Key_Themes"/>
      <w:bookmarkStart w:id="9" w:name="_Toc503880605"/>
      <w:bookmarkEnd w:id="7"/>
      <w:bookmarkEnd w:id="8"/>
      <w:r>
        <w:lastRenderedPageBreak/>
        <w:t>Chapter 2</w:t>
      </w:r>
      <w:r w:rsidR="00E06A8E">
        <w:t xml:space="preserve"> </w:t>
      </w:r>
      <w:r>
        <w:t>–</w:t>
      </w:r>
      <w:r w:rsidR="00E06A8E">
        <w:t xml:space="preserve"> </w:t>
      </w:r>
      <w:r w:rsidR="00B3647B">
        <w:t>Expectations and achievement of objectives</w:t>
      </w:r>
      <w:bookmarkEnd w:id="9"/>
    </w:p>
    <w:p w14:paraId="4908D444" w14:textId="796E79FD" w:rsidR="00D70BB6" w:rsidRDefault="00EE0B5A" w:rsidP="00D70BB6">
      <w:pPr>
        <w:pStyle w:val="mpcheading2"/>
      </w:pPr>
      <w:bookmarkStart w:id="10" w:name="_Toc503880606"/>
      <w:r>
        <w:t xml:space="preserve">Expectations </w:t>
      </w:r>
      <w:r w:rsidR="00D70BB6">
        <w:t>of the HSR system</w:t>
      </w:r>
      <w:bookmarkEnd w:id="10"/>
    </w:p>
    <w:p w14:paraId="0A09CB91" w14:textId="1AA59FF0" w:rsidR="0054266B" w:rsidRDefault="00B76FB3" w:rsidP="00BD13C2">
      <w:pPr>
        <w:pStyle w:val="mpcbullets1"/>
        <w:numPr>
          <w:ilvl w:val="0"/>
          <w:numId w:val="0"/>
        </w:numPr>
      </w:pPr>
      <w:r w:rsidRPr="00B76FB3">
        <w:t>D</w:t>
      </w:r>
      <w:bookmarkStart w:id="11" w:name="_GoBack"/>
      <w:bookmarkEnd w:id="11"/>
      <w:r w:rsidRPr="00B76FB3">
        <w:t xml:space="preserve">espite the </w:t>
      </w:r>
      <w:r>
        <w:t>objectives</w:t>
      </w:r>
      <w:r w:rsidRPr="00B76FB3">
        <w:t xml:space="preserve"> of the HSR </w:t>
      </w:r>
      <w:r w:rsidR="00C76A64">
        <w:t xml:space="preserve">system </w:t>
      </w:r>
      <w:r w:rsidRPr="00B76FB3">
        <w:t>being relatively nar</w:t>
      </w:r>
      <w:r w:rsidR="0025460E">
        <w:t>row</w:t>
      </w:r>
      <w:r w:rsidR="006B1C0B">
        <w:t>,</w:t>
      </w:r>
      <w:r w:rsidR="0054266B">
        <w:t xml:space="preserve"> </w:t>
      </w:r>
      <w:r w:rsidR="0054266B" w:rsidRPr="003320E4">
        <w:rPr>
          <w:rStyle w:val="Emphasis"/>
        </w:rPr>
        <w:t>“t</w:t>
      </w:r>
      <w:r w:rsidR="00EE0B5A" w:rsidRPr="003320E4">
        <w:rPr>
          <w:rStyle w:val="Emphasis"/>
        </w:rPr>
        <w:t>o provide convenient, relevant and readily understood nutrition information and/or guidance on food packs to assist consumers to make informed food purchases and healthier eating choices</w:t>
      </w:r>
      <w:r w:rsidR="0054266B" w:rsidRPr="003320E4">
        <w:rPr>
          <w:rStyle w:val="Emphasis"/>
        </w:rPr>
        <w:t>”</w:t>
      </w:r>
      <w:r w:rsidR="006B1C0B">
        <w:t xml:space="preserve">; </w:t>
      </w:r>
      <w:r w:rsidR="00C76A64">
        <w:t>the expectations of the system</w:t>
      </w:r>
      <w:r w:rsidRPr="00B76FB3">
        <w:t xml:space="preserve"> are significant. </w:t>
      </w:r>
    </w:p>
    <w:p w14:paraId="2447250A" w14:textId="77777777" w:rsidR="0054266B" w:rsidRDefault="0054266B" w:rsidP="00BD13C2">
      <w:pPr>
        <w:pStyle w:val="mpcbullets1"/>
        <w:numPr>
          <w:ilvl w:val="0"/>
          <w:numId w:val="0"/>
        </w:numPr>
      </w:pPr>
    </w:p>
    <w:p w14:paraId="1E54DDB7" w14:textId="5FBE1BF9" w:rsidR="008331B8" w:rsidRDefault="00B76FB3" w:rsidP="00BD13C2">
      <w:pPr>
        <w:pStyle w:val="mpcbullets1"/>
        <w:numPr>
          <w:ilvl w:val="0"/>
          <w:numId w:val="0"/>
        </w:numPr>
      </w:pPr>
      <w:r>
        <w:t>Stakeholders</w:t>
      </w:r>
      <w:r w:rsidRPr="00B76FB3">
        <w:t xml:space="preserve"> have variously expressed to us that</w:t>
      </w:r>
      <w:r w:rsidR="008331B8">
        <w:t xml:space="preserve"> the HSR</w:t>
      </w:r>
      <w:r w:rsidR="003F22C2">
        <w:t xml:space="preserve"> </w:t>
      </w:r>
      <w:r w:rsidR="006B1C0B">
        <w:t xml:space="preserve">system </w:t>
      </w:r>
      <w:r w:rsidR="003F22C2">
        <w:t>should</w:t>
      </w:r>
      <w:r w:rsidRPr="00B76FB3">
        <w:t>:</w:t>
      </w:r>
    </w:p>
    <w:p w14:paraId="7A90D3EA" w14:textId="269F5DF9" w:rsidR="006B2D35" w:rsidRDefault="006B2D35" w:rsidP="00BD13C2">
      <w:pPr>
        <w:pStyle w:val="mpcbullets1"/>
        <w:numPr>
          <w:ilvl w:val="0"/>
          <w:numId w:val="9"/>
        </w:numPr>
      </w:pPr>
      <w:r>
        <w:t>achieve a sustainable public health outcome</w:t>
      </w:r>
    </w:p>
    <w:p w14:paraId="369D7BC9" w14:textId="6EC16666" w:rsidR="00987D6D" w:rsidRDefault="00987D6D" w:rsidP="00BD13C2">
      <w:pPr>
        <w:pStyle w:val="mpcbullets1"/>
        <w:numPr>
          <w:ilvl w:val="0"/>
          <w:numId w:val="9"/>
        </w:numPr>
      </w:pPr>
      <w:r>
        <w:t>encourage consumers to eat:</w:t>
      </w:r>
    </w:p>
    <w:p w14:paraId="5DE8384C" w14:textId="651A297D" w:rsidR="00BD13C2" w:rsidRDefault="00C91158" w:rsidP="003263BE">
      <w:pPr>
        <w:pStyle w:val="mpcbullets1"/>
        <w:numPr>
          <w:ilvl w:val="0"/>
          <w:numId w:val="24"/>
        </w:numPr>
      </w:pPr>
      <w:r>
        <w:t>five</w:t>
      </w:r>
      <w:r w:rsidR="00714E78">
        <w:t xml:space="preserve"> food groups</w:t>
      </w:r>
      <w:r w:rsidR="005F32EC">
        <w:t xml:space="preserve"> in accordance with </w:t>
      </w:r>
      <w:r w:rsidR="00361FAF">
        <w:t>the Australian Dietary Guidelines (</w:t>
      </w:r>
      <w:r w:rsidR="005F32EC">
        <w:t xml:space="preserve">ADG) </w:t>
      </w:r>
      <w:r w:rsidR="00177FBA">
        <w:t>or</w:t>
      </w:r>
      <w:r w:rsidR="005F32EC">
        <w:t xml:space="preserve"> </w:t>
      </w:r>
      <w:r>
        <w:t>four</w:t>
      </w:r>
      <w:r w:rsidR="005F32EC">
        <w:t xml:space="preserve"> food groups in accordance with </w:t>
      </w:r>
      <w:r w:rsidR="00751226">
        <w:t xml:space="preserve">the </w:t>
      </w:r>
      <w:r w:rsidR="005F32EC">
        <w:t>N</w:t>
      </w:r>
      <w:r w:rsidR="00751226">
        <w:t>ew Zealand Eating and Activity Guidelines (N</w:t>
      </w:r>
      <w:r w:rsidR="005F32EC">
        <w:t>ZEAG)</w:t>
      </w:r>
    </w:p>
    <w:p w14:paraId="2B84A993" w14:textId="77102674" w:rsidR="00714E78" w:rsidRDefault="00C91158" w:rsidP="003263BE">
      <w:pPr>
        <w:pStyle w:val="mpcbullets1"/>
        <w:numPr>
          <w:ilvl w:val="0"/>
          <w:numId w:val="24"/>
        </w:numPr>
      </w:pPr>
      <w:r>
        <w:t>five</w:t>
      </w:r>
      <w:r w:rsidR="00714E78">
        <w:t xml:space="preserve"> </w:t>
      </w:r>
      <w:r w:rsidR="005A10FC">
        <w:t xml:space="preserve">serves of </w:t>
      </w:r>
      <w:r w:rsidR="00714E78">
        <w:t>veg</w:t>
      </w:r>
      <w:r w:rsidR="008C2CE4">
        <w:t>etables</w:t>
      </w:r>
      <w:r w:rsidR="00714E78">
        <w:t xml:space="preserve"> </w:t>
      </w:r>
      <w:r w:rsidR="00167CDA">
        <w:t>and</w:t>
      </w:r>
      <w:r w:rsidR="00714E78">
        <w:t xml:space="preserve"> </w:t>
      </w:r>
      <w:r>
        <w:t>two</w:t>
      </w:r>
      <w:r w:rsidR="005A10FC">
        <w:t xml:space="preserve"> serves of</w:t>
      </w:r>
      <w:r w:rsidR="00714E78">
        <w:t xml:space="preserve"> fruit</w:t>
      </w:r>
      <w:r w:rsidR="008C2CE4">
        <w:t xml:space="preserve"> each day</w:t>
      </w:r>
      <w:r w:rsidR="00714E78">
        <w:t xml:space="preserve"> in Australia </w:t>
      </w:r>
      <w:r w:rsidR="00A16B20">
        <w:t xml:space="preserve">or </w:t>
      </w:r>
      <w:r>
        <w:t>three</w:t>
      </w:r>
      <w:r w:rsidR="005B2D54">
        <w:t xml:space="preserve"> serves of vegetables and </w:t>
      </w:r>
      <w:r>
        <w:t>two</w:t>
      </w:r>
      <w:r w:rsidR="005B2D54">
        <w:t xml:space="preserve"> serves o</w:t>
      </w:r>
      <w:r w:rsidR="00A16B20">
        <w:t>f fruit each day in New Zealand</w:t>
      </w:r>
    </w:p>
    <w:p w14:paraId="5817D520" w14:textId="36B4153B" w:rsidR="00987D6D" w:rsidRDefault="00987D6D" w:rsidP="003263BE">
      <w:pPr>
        <w:pStyle w:val="mpcbullets1"/>
        <w:numPr>
          <w:ilvl w:val="0"/>
          <w:numId w:val="24"/>
        </w:numPr>
      </w:pPr>
      <w:r>
        <w:t>core rather than discretionary foods</w:t>
      </w:r>
      <w:r w:rsidR="005B2D54">
        <w:t xml:space="preserve"> (noting that the NZEAG</w:t>
      </w:r>
      <w:r w:rsidR="00361FAF">
        <w:t xml:space="preserve"> do not discriminate between foods in this way</w:t>
      </w:r>
      <w:r w:rsidR="005B2D54">
        <w:t xml:space="preserve">) </w:t>
      </w:r>
    </w:p>
    <w:p w14:paraId="21859996" w14:textId="24A72D72" w:rsidR="009A1189" w:rsidRDefault="009A1189" w:rsidP="00BD13C2">
      <w:pPr>
        <w:pStyle w:val="mpcbullets1"/>
        <w:numPr>
          <w:ilvl w:val="0"/>
          <w:numId w:val="9"/>
        </w:numPr>
      </w:pPr>
      <w:r>
        <w:t>be consistent with consumer expectations around food</w:t>
      </w:r>
    </w:p>
    <w:p w14:paraId="3C873FA3" w14:textId="77777777" w:rsidR="009A1189" w:rsidRDefault="00787626" w:rsidP="00BD13C2">
      <w:pPr>
        <w:pStyle w:val="mpcbullets1"/>
        <w:numPr>
          <w:ilvl w:val="0"/>
          <w:numId w:val="9"/>
        </w:numPr>
      </w:pPr>
      <w:r>
        <w:t>e</w:t>
      </w:r>
      <w:r w:rsidR="00714E78">
        <w:t xml:space="preserve">nable </w:t>
      </w:r>
      <w:r w:rsidR="009A1189">
        <w:t>consumers to:</w:t>
      </w:r>
    </w:p>
    <w:p w14:paraId="0B55C6C2" w14:textId="6041B37B" w:rsidR="00714E78" w:rsidRDefault="00714E78" w:rsidP="003263BE">
      <w:pPr>
        <w:pStyle w:val="mpcbullets1"/>
        <w:numPr>
          <w:ilvl w:val="0"/>
          <w:numId w:val="24"/>
        </w:numPr>
      </w:pPr>
      <w:r>
        <w:t xml:space="preserve">distinguish between whole foods and processed foods </w:t>
      </w:r>
    </w:p>
    <w:p w14:paraId="62D5C4C3" w14:textId="538F658D" w:rsidR="00714E78" w:rsidRDefault="00714E78" w:rsidP="003263BE">
      <w:pPr>
        <w:pStyle w:val="mpcbullets1"/>
        <w:numPr>
          <w:ilvl w:val="0"/>
          <w:numId w:val="24"/>
        </w:numPr>
      </w:pPr>
      <w:r>
        <w:t xml:space="preserve">compare across categories </w:t>
      </w:r>
    </w:p>
    <w:p w14:paraId="3F37B355" w14:textId="0FA8F158" w:rsidR="009A1189" w:rsidRDefault="009A1189" w:rsidP="003263BE">
      <w:pPr>
        <w:pStyle w:val="mpcbullets1"/>
        <w:numPr>
          <w:ilvl w:val="0"/>
          <w:numId w:val="24"/>
        </w:numPr>
      </w:pPr>
      <w:r>
        <w:t>select products based on their food preferences</w:t>
      </w:r>
    </w:p>
    <w:p w14:paraId="09D007BE" w14:textId="7F273BF2" w:rsidR="00280C2B" w:rsidRDefault="00787626" w:rsidP="00BD13C2">
      <w:pPr>
        <w:pStyle w:val="mpcbullets1"/>
        <w:numPr>
          <w:ilvl w:val="0"/>
          <w:numId w:val="9"/>
        </w:numPr>
      </w:pPr>
      <w:r>
        <w:t>encourage</w:t>
      </w:r>
      <w:r w:rsidR="00F2012B">
        <w:t xml:space="preserve"> reformulation (some consider that this should only be</w:t>
      </w:r>
      <w:r w:rsidR="00280C2B">
        <w:t xml:space="preserve"> to reduce risk-related nutrients </w:t>
      </w:r>
      <w:r w:rsidR="00E81D77">
        <w:t>and not</w:t>
      </w:r>
      <w:r w:rsidR="00F2012B">
        <w:t xml:space="preserve"> to increase positive nutrients</w:t>
      </w:r>
      <w:r w:rsidR="006B509C">
        <w:t xml:space="preserve">, </w:t>
      </w:r>
      <w:r w:rsidR="004C4C55">
        <w:t>particularly where there is no evidence that population diets are lacking a specific nutrient</w:t>
      </w:r>
      <w:r w:rsidR="003E4233">
        <w:t>)</w:t>
      </w:r>
      <w:r w:rsidR="00B73D3F">
        <w:t>, and</w:t>
      </w:r>
    </w:p>
    <w:p w14:paraId="3C2504EF" w14:textId="77777777" w:rsidR="0054549A" w:rsidRDefault="006B2D35" w:rsidP="0054549A">
      <w:pPr>
        <w:pStyle w:val="mpcbullets1"/>
        <w:numPr>
          <w:ilvl w:val="0"/>
          <w:numId w:val="9"/>
        </w:numPr>
        <w:ind w:left="357" w:hanging="357"/>
      </w:pPr>
      <w:r>
        <w:t xml:space="preserve">focus on whole foods rather than </w:t>
      </w:r>
      <w:r w:rsidR="00280C2B">
        <w:t>on nutrients</w:t>
      </w:r>
      <w:r>
        <w:t>.</w:t>
      </w:r>
    </w:p>
    <w:p w14:paraId="3E11518F" w14:textId="77777777" w:rsidR="0054549A" w:rsidRDefault="0054549A" w:rsidP="0054549A">
      <w:pPr>
        <w:pStyle w:val="mpcbullets1"/>
        <w:numPr>
          <w:ilvl w:val="0"/>
          <w:numId w:val="0"/>
        </w:numPr>
      </w:pPr>
    </w:p>
    <w:p w14:paraId="30057D16" w14:textId="09BEA5A4" w:rsidR="00280C2B" w:rsidRDefault="00335C92" w:rsidP="00BD13C2">
      <w:pPr>
        <w:pStyle w:val="mpcbullets1"/>
        <w:numPr>
          <w:ilvl w:val="0"/>
          <w:numId w:val="0"/>
        </w:numPr>
      </w:pPr>
      <w:r>
        <w:t>We consider that:</w:t>
      </w:r>
    </w:p>
    <w:p w14:paraId="7EC4C59B" w14:textId="64632D81" w:rsidR="009E2477" w:rsidRDefault="003D7819" w:rsidP="00BD13C2">
      <w:pPr>
        <w:pStyle w:val="mpcbullets1"/>
        <w:numPr>
          <w:ilvl w:val="0"/>
          <w:numId w:val="10"/>
        </w:numPr>
      </w:pPr>
      <w:r>
        <w:t>s</w:t>
      </w:r>
      <w:r w:rsidR="00D25FE3">
        <w:t>ome of these expectations</w:t>
      </w:r>
      <w:r w:rsidR="008331B8">
        <w:t xml:space="preserve"> can be achieved</w:t>
      </w:r>
      <w:r w:rsidR="003F22C2">
        <w:t xml:space="preserve"> and will be pursued through the Review</w:t>
      </w:r>
      <w:r w:rsidR="006B2D35">
        <w:t xml:space="preserve"> </w:t>
      </w:r>
    </w:p>
    <w:p w14:paraId="4B28FED3" w14:textId="72A7377D" w:rsidR="009E2477" w:rsidRDefault="00D25FE3" w:rsidP="00BD13C2">
      <w:pPr>
        <w:pStyle w:val="mpcbullets1"/>
        <w:numPr>
          <w:ilvl w:val="0"/>
          <w:numId w:val="10"/>
        </w:numPr>
      </w:pPr>
      <w:r>
        <w:t>some of the expectations</w:t>
      </w:r>
      <w:r w:rsidR="009E2477">
        <w:t xml:space="preserve"> cannot reasona</w:t>
      </w:r>
      <w:r w:rsidR="003E4233">
        <w:t>bly be achieved through the HSR</w:t>
      </w:r>
      <w:r w:rsidR="006B509C">
        <w:t xml:space="preserve"> system</w:t>
      </w:r>
      <w:r w:rsidR="003E4233">
        <w:t>. F</w:t>
      </w:r>
      <w:r w:rsidR="009E2477">
        <w:t xml:space="preserve">or example, the HSR cannot reasonably meet all consumer expectations nor reflect the level of processing of a food while still being consistent with the ADG and the NZEAG (noting that the </w:t>
      </w:r>
      <w:r w:rsidR="00DA6B48">
        <w:t xml:space="preserve">dietary </w:t>
      </w:r>
      <w:r w:rsidR="009E2477">
        <w:t xml:space="preserve">guidelines promote dairy and cereal, both of which are </w:t>
      </w:r>
      <w:r w:rsidR="00751226">
        <w:t xml:space="preserve">necessarily </w:t>
      </w:r>
      <w:r w:rsidR="009E2477">
        <w:t>processed)</w:t>
      </w:r>
    </w:p>
    <w:p w14:paraId="13DDD8F1" w14:textId="7AD4C16A" w:rsidR="00840A83" w:rsidRDefault="00840A83" w:rsidP="00BD13C2">
      <w:pPr>
        <w:pStyle w:val="mpcbullets1"/>
        <w:numPr>
          <w:ilvl w:val="0"/>
          <w:numId w:val="10"/>
        </w:numPr>
      </w:pPr>
      <w:r>
        <w:t xml:space="preserve">for some of these </w:t>
      </w:r>
      <w:r w:rsidR="00D25FE3">
        <w:t>expectations</w:t>
      </w:r>
      <w:r>
        <w:t xml:space="preserve">, a balance will </w:t>
      </w:r>
      <w:r w:rsidR="003C429A">
        <w:t>need</w:t>
      </w:r>
      <w:r>
        <w:t xml:space="preserve"> to be struck. </w:t>
      </w:r>
      <w:r w:rsidR="003C429A">
        <w:t>For exa</w:t>
      </w:r>
      <w:r w:rsidR="00361FAF">
        <w:t>mple, while it is reasonable</w:t>
      </w:r>
      <w:r w:rsidR="005F32EC">
        <w:t xml:space="preserve"> to </w:t>
      </w:r>
      <w:r w:rsidR="003C429A">
        <w:t>align</w:t>
      </w:r>
      <w:r w:rsidR="00361FAF">
        <w:t>, where possible,</w:t>
      </w:r>
      <w:r w:rsidR="003C429A">
        <w:t xml:space="preserve"> with the ADG and NZEAG</w:t>
      </w:r>
      <w:r w:rsidR="005F32EC">
        <w:t xml:space="preserve">, it </w:t>
      </w:r>
      <w:r w:rsidR="003C429A">
        <w:t xml:space="preserve">will not be possible to align </w:t>
      </w:r>
      <w:r w:rsidR="00361FAF">
        <w:t>in all cases</w:t>
      </w:r>
      <w:r w:rsidR="003C429A">
        <w:t>. This is because</w:t>
      </w:r>
      <w:r w:rsidR="005F32EC">
        <w:t>:</w:t>
      </w:r>
    </w:p>
    <w:p w14:paraId="4756421B" w14:textId="74206D45" w:rsidR="00840A83" w:rsidRDefault="003C429A" w:rsidP="003263BE">
      <w:pPr>
        <w:pStyle w:val="mpcbullets1"/>
        <w:numPr>
          <w:ilvl w:val="0"/>
          <w:numId w:val="24"/>
        </w:numPr>
      </w:pPr>
      <w:r>
        <w:t>t</w:t>
      </w:r>
      <w:r w:rsidR="00840A83">
        <w:t xml:space="preserve">he ADG and NZEAG differ in some </w:t>
      </w:r>
      <w:r>
        <w:t>important</w:t>
      </w:r>
      <w:r w:rsidR="00840A83">
        <w:t xml:space="preserve"> areas</w:t>
      </w:r>
      <w:r w:rsidR="002E5175">
        <w:t xml:space="preserve"> </w:t>
      </w:r>
    </w:p>
    <w:p w14:paraId="7763E9B9" w14:textId="3C6C7FCF" w:rsidR="00045945" w:rsidRDefault="005F32EC" w:rsidP="003263BE">
      <w:pPr>
        <w:pStyle w:val="mpcbullets1"/>
        <w:numPr>
          <w:ilvl w:val="0"/>
          <w:numId w:val="24"/>
        </w:numPr>
      </w:pPr>
      <w:r>
        <w:t>d</w:t>
      </w:r>
      <w:r w:rsidR="003C429A">
        <w:t xml:space="preserve">ietary </w:t>
      </w:r>
      <w:r w:rsidR="002E5175">
        <w:t>recommendations</w:t>
      </w:r>
      <w:r w:rsidR="003C429A">
        <w:t xml:space="preserve"> differ for different subsets of the population</w:t>
      </w:r>
      <w:r w:rsidR="002E5175">
        <w:t xml:space="preserve"> based on gender and/or age</w:t>
      </w:r>
      <w:r w:rsidR="00550D90">
        <w:t>,</w:t>
      </w:r>
      <w:r w:rsidR="003C429A">
        <w:t xml:space="preserve"> yet the HSR </w:t>
      </w:r>
      <w:r w:rsidR="00F51CA7">
        <w:t>is primarily designed to apply</w:t>
      </w:r>
      <w:r w:rsidR="003C429A">
        <w:t xml:space="preserve"> </w:t>
      </w:r>
      <w:r w:rsidR="00D74D23">
        <w:t>to</w:t>
      </w:r>
      <w:r w:rsidR="003C429A">
        <w:t xml:space="preserve"> </w:t>
      </w:r>
      <w:r w:rsidR="00D74D23">
        <w:t>the general</w:t>
      </w:r>
      <w:r w:rsidR="003C429A">
        <w:t xml:space="preserve"> population</w:t>
      </w:r>
    </w:p>
    <w:p w14:paraId="4403588D" w14:textId="45D25636" w:rsidR="0034737E" w:rsidRDefault="00045945" w:rsidP="00045945">
      <w:pPr>
        <w:pStyle w:val="mpcbullets1"/>
        <w:numPr>
          <w:ilvl w:val="0"/>
          <w:numId w:val="24"/>
        </w:numPr>
      </w:pPr>
      <w:r>
        <w:t>the ADG and the NZEAG are primarily food based recommendations, whereas the HSR is nutrient based</w:t>
      </w:r>
    </w:p>
    <w:p w14:paraId="11CA1D18" w14:textId="69BE7A8B" w:rsidR="0034737E" w:rsidRDefault="00C74036" w:rsidP="003263BE">
      <w:pPr>
        <w:pStyle w:val="mpcbullets1"/>
        <w:numPr>
          <w:ilvl w:val="0"/>
          <w:numId w:val="24"/>
        </w:numPr>
      </w:pPr>
      <w:r>
        <w:t xml:space="preserve">the ADG and NZEAG </w:t>
      </w:r>
      <w:r w:rsidR="0062725A">
        <w:t>collectively comprise 280 pages of advice around weight, dietary patterns and recommended consumption of various food types</w:t>
      </w:r>
      <w:r w:rsidR="00361FAF">
        <w:t xml:space="preserve">. </w:t>
      </w:r>
      <w:r w:rsidR="0062725A">
        <w:t>By contrast</w:t>
      </w:r>
      <w:r w:rsidR="00F51CA7">
        <w:t>,</w:t>
      </w:r>
      <w:r w:rsidR="0062725A">
        <w:t xml:space="preserve"> the</w:t>
      </w:r>
      <w:r w:rsidR="00AA0B4D">
        <w:t xml:space="preserve"> </w:t>
      </w:r>
      <w:r w:rsidR="00FA0624">
        <w:t>HSR</w:t>
      </w:r>
      <w:r w:rsidR="00AA0B4D">
        <w:t xml:space="preserve"> </w:t>
      </w:r>
      <w:r w:rsidR="0062725A">
        <w:t xml:space="preserve">reflects (in a simple panel on packaged foods) the result of </w:t>
      </w:r>
      <w:r w:rsidR="0034737E">
        <w:t>nutrient profiling using an algorithm that incorporates risk-based nutrients and positive nutrients and scoring foods continuously (10 i</w:t>
      </w:r>
      <w:r w:rsidR="0062725A">
        <w:t xml:space="preserve">ntervals between </w:t>
      </w:r>
      <w:r w:rsidR="00280347">
        <w:t>0.5 a</w:t>
      </w:r>
      <w:r w:rsidR="0062725A">
        <w:t xml:space="preserve">nd 5 stars). </w:t>
      </w:r>
      <w:r w:rsidR="00361FAF">
        <w:t xml:space="preserve">It is designed to enable quick and easy </w:t>
      </w:r>
      <w:r w:rsidR="00361FAF">
        <w:lastRenderedPageBreak/>
        <w:t>comparison of the nutritional profile of similar packaged food. While i</w:t>
      </w:r>
      <w:r w:rsidR="0062725A">
        <w:t>t is unrealistic to expect the HSR to be able to reflect the nu</w:t>
      </w:r>
      <w:r w:rsidR="00751226">
        <w:t xml:space="preserve">ance included in the ADG and </w:t>
      </w:r>
      <w:r w:rsidR="00361FAF">
        <w:t xml:space="preserve">NZEAG, </w:t>
      </w:r>
      <w:r w:rsidR="0062725A">
        <w:t xml:space="preserve">we can make efforts to ensure the system </w:t>
      </w:r>
      <w:r w:rsidR="003E4233">
        <w:t>is broadly consistent with the guidelines</w:t>
      </w:r>
      <w:r w:rsidR="001C5E29">
        <w:t>, and</w:t>
      </w:r>
    </w:p>
    <w:p w14:paraId="4587B6E5" w14:textId="056E0809" w:rsidR="00D70BB6" w:rsidRPr="00D70BB6" w:rsidRDefault="001C5E29" w:rsidP="002C3F00">
      <w:pPr>
        <w:pStyle w:val="mpcbullets1"/>
        <w:numPr>
          <w:ilvl w:val="0"/>
          <w:numId w:val="10"/>
        </w:numPr>
      </w:pPr>
      <w:r w:rsidRPr="008B2DE8">
        <w:t xml:space="preserve">the HSR is </w:t>
      </w:r>
      <w:r w:rsidR="003E4233">
        <w:t>only one tool to</w:t>
      </w:r>
      <w:r w:rsidRPr="008B2DE8">
        <w:t xml:space="preserve"> assist consumers to make dietary choices and is not designed to replace dietary guidelines, but rather to compl</w:t>
      </w:r>
      <w:r w:rsidR="00282C95">
        <w:t>e</w:t>
      </w:r>
      <w:r w:rsidRPr="008B2DE8">
        <w:t>ment them.</w:t>
      </w:r>
    </w:p>
    <w:p w14:paraId="6B74AE41" w14:textId="4DE69BD6" w:rsidR="00B43564" w:rsidRPr="00D70BB6" w:rsidRDefault="0025460E" w:rsidP="00D70BB6">
      <w:pPr>
        <w:pStyle w:val="mpcheading2"/>
      </w:pPr>
      <w:bookmarkStart w:id="12" w:name="_Toc503880607"/>
      <w:r>
        <w:t>Achievement of HSR system objectives</w:t>
      </w:r>
      <w:bookmarkEnd w:id="12"/>
    </w:p>
    <w:p w14:paraId="51C00FF8" w14:textId="4B158118" w:rsidR="00B43564" w:rsidRPr="00D70BB6" w:rsidRDefault="00F204BF" w:rsidP="00BD13C2">
      <w:pPr>
        <w:pStyle w:val="mpcbullets1"/>
        <w:keepNext/>
        <w:numPr>
          <w:ilvl w:val="0"/>
          <w:numId w:val="0"/>
        </w:numPr>
      </w:pPr>
      <w:r w:rsidRPr="00641BF7">
        <w:t>O</w:t>
      </w:r>
      <w:r w:rsidR="00E74E4F" w:rsidRPr="00641BF7">
        <w:t>n</w:t>
      </w:r>
      <w:r w:rsidR="0050150B" w:rsidRPr="00641BF7">
        <w:t xml:space="preserve"> the basis of the data we have </w:t>
      </w:r>
      <w:r w:rsidR="0045148C" w:rsidRPr="00641BF7">
        <w:t>reviewed to</w:t>
      </w:r>
      <w:r w:rsidR="0050150B" w:rsidRPr="00641BF7">
        <w:t xml:space="preserve"> date </w:t>
      </w:r>
      <w:r w:rsidRPr="00641BF7">
        <w:t>(</w:t>
      </w:r>
      <w:r w:rsidR="0050150B" w:rsidRPr="00641BF7">
        <w:t xml:space="preserve">and </w:t>
      </w:r>
      <w:r w:rsidR="00E74E4F" w:rsidRPr="00641BF7">
        <w:t>consultations</w:t>
      </w:r>
      <w:r w:rsidR="0050150B" w:rsidRPr="00641BF7">
        <w:t xml:space="preserve"> with </w:t>
      </w:r>
      <w:r w:rsidRPr="00641BF7">
        <w:t>stakeholder</w:t>
      </w:r>
      <w:r w:rsidR="002F45D1" w:rsidRPr="00641BF7">
        <w:t>s</w:t>
      </w:r>
      <w:r w:rsidRPr="00641BF7">
        <w:t>) t</w:t>
      </w:r>
      <w:r w:rsidR="0076278B" w:rsidRPr="00641BF7">
        <w:t xml:space="preserve">he HSR appears to be </w:t>
      </w:r>
      <w:r w:rsidRPr="00641BF7">
        <w:t>provi</w:t>
      </w:r>
      <w:r w:rsidR="00DC3C30" w:rsidRPr="00641BF7">
        <w:t xml:space="preserve">ding </w:t>
      </w:r>
      <w:r w:rsidRPr="003320E4">
        <w:rPr>
          <w:rStyle w:val="Emphasis"/>
        </w:rPr>
        <w:t>convenient, relevant and readily understood nutrition information on food packs</w:t>
      </w:r>
      <w:r w:rsidR="0076278B" w:rsidRPr="003320E4">
        <w:rPr>
          <w:rStyle w:val="Emphasis"/>
        </w:rPr>
        <w:t>.</w:t>
      </w:r>
    </w:p>
    <w:p w14:paraId="0D3119FF" w14:textId="2FBF14EB" w:rsidR="0050150B" w:rsidRDefault="0050150B" w:rsidP="00BD13C2">
      <w:pPr>
        <w:pStyle w:val="mpcbullets1"/>
        <w:numPr>
          <w:ilvl w:val="0"/>
          <w:numId w:val="0"/>
        </w:numPr>
      </w:pPr>
    </w:p>
    <w:p w14:paraId="348EEEB6" w14:textId="23CBEE23" w:rsidR="003F4E05" w:rsidRDefault="001D2C7F" w:rsidP="00BD13C2">
      <w:pPr>
        <w:pStyle w:val="mpcbullets1"/>
        <w:numPr>
          <w:ilvl w:val="0"/>
          <w:numId w:val="0"/>
        </w:numPr>
      </w:pPr>
      <w:r>
        <w:t>S</w:t>
      </w:r>
      <w:r w:rsidR="0050150B">
        <w:t xml:space="preserve">ome key </w:t>
      </w:r>
      <w:r w:rsidR="00E74E4F">
        <w:t>data from the Heart Foundation</w:t>
      </w:r>
      <w:r w:rsidR="00361FAF">
        <w:t xml:space="preserve"> and the MPI </w:t>
      </w:r>
      <w:r w:rsidR="009D174D">
        <w:t>indicates</w:t>
      </w:r>
      <w:r w:rsidR="00E74E4F">
        <w:t xml:space="preserve"> </w:t>
      </w:r>
      <w:r w:rsidR="00762839">
        <w:t>that:</w:t>
      </w:r>
    </w:p>
    <w:p w14:paraId="1ACD0A58" w14:textId="488D239A" w:rsidR="00641BF7" w:rsidRDefault="00641BF7" w:rsidP="00641BF7">
      <w:pPr>
        <w:pStyle w:val="mpcbullets1"/>
        <w:numPr>
          <w:ilvl w:val="0"/>
          <w:numId w:val="6"/>
        </w:numPr>
      </w:pPr>
      <w:r w:rsidRPr="00000987">
        <w:t>most Australian and New Zealand consumers view the HSR as easy to understand (74% in Australia and 61% in New Zealand), easy to use (75% in Australia) and</w:t>
      </w:r>
      <w:r>
        <w:t xml:space="preserve"> making it</w:t>
      </w:r>
      <w:r w:rsidRPr="00000987">
        <w:t xml:space="preserve"> easier to decide which packaged foods are healthier (64% in New Zealand)</w:t>
      </w:r>
      <w:r w:rsidRPr="00000987">
        <w:rPr>
          <w:rStyle w:val="FootnoteReference"/>
        </w:rPr>
        <w:footnoteReference w:id="1"/>
      </w:r>
    </w:p>
    <w:p w14:paraId="2558A5E3" w14:textId="6622313B" w:rsidR="009D174D" w:rsidRPr="004053D9" w:rsidRDefault="009D174D" w:rsidP="00BD13C2">
      <w:pPr>
        <w:pStyle w:val="mpcbullets1"/>
        <w:numPr>
          <w:ilvl w:val="0"/>
          <w:numId w:val="6"/>
        </w:numPr>
      </w:pPr>
      <w:r w:rsidRPr="004053D9">
        <w:t>consumer knowledge and under</w:t>
      </w:r>
      <w:r w:rsidR="0076278B" w:rsidRPr="004053D9">
        <w:t>standing is improving</w:t>
      </w:r>
    </w:p>
    <w:p w14:paraId="7436A811" w14:textId="430906FC" w:rsidR="0076278B" w:rsidRPr="00F035C3" w:rsidRDefault="00F753EF" w:rsidP="009708F2">
      <w:pPr>
        <w:pStyle w:val="mpcbullets1"/>
        <w:numPr>
          <w:ilvl w:val="0"/>
          <w:numId w:val="24"/>
        </w:numPr>
      </w:pPr>
      <w:r w:rsidRPr="004053D9">
        <w:t xml:space="preserve">without </w:t>
      </w:r>
      <w:r w:rsidR="0076278B" w:rsidRPr="004053D9">
        <w:t>prompting with possible responses, close to half of New Zealand shoppers (49</w:t>
      </w:r>
      <w:r w:rsidR="008E104D" w:rsidRPr="004053D9">
        <w:t>%</w:t>
      </w:r>
      <w:r w:rsidR="0076278B" w:rsidRPr="004053D9">
        <w:t xml:space="preserve">) provided comments that suggest an accurate understanding of </w:t>
      </w:r>
      <w:r w:rsidR="00550D90" w:rsidRPr="004053D9">
        <w:t xml:space="preserve">the </w:t>
      </w:r>
      <w:r w:rsidR="0076278B" w:rsidRPr="004053D9">
        <w:t>HSR</w:t>
      </w:r>
      <w:r w:rsidRPr="004053D9">
        <w:rPr>
          <w:rStyle w:val="FootnoteReference"/>
        </w:rPr>
        <w:footnoteReference w:id="2"/>
      </w:r>
      <w:r w:rsidR="0076278B" w:rsidRPr="004053D9">
        <w:t>. Similarly</w:t>
      </w:r>
      <w:r w:rsidR="00B73D3F" w:rsidRPr="004053D9">
        <w:t>,</w:t>
      </w:r>
      <w:r w:rsidR="0076278B" w:rsidRPr="004053D9">
        <w:t xml:space="preserve"> in Australia there has been a significant increase in the number of shoppers who correctly understand t</w:t>
      </w:r>
      <w:r w:rsidR="0076278B" w:rsidRPr="00F035C3">
        <w:t>he HSR</w:t>
      </w:r>
      <w:r w:rsidR="00F62597" w:rsidRPr="00F035C3">
        <w:t xml:space="preserve"> (with 64% identifying</w:t>
      </w:r>
      <w:r w:rsidR="0076278B" w:rsidRPr="00F035C3">
        <w:t xml:space="preserve"> that a product with one star is unhealthy or has little nutriti</w:t>
      </w:r>
      <w:r w:rsidR="0014125F" w:rsidRPr="00F035C3">
        <w:t>onal</w:t>
      </w:r>
      <w:r w:rsidR="000901D4">
        <w:t xml:space="preserve"> value</w:t>
      </w:r>
      <w:r w:rsidR="0076278B" w:rsidRPr="00F035C3">
        <w:t xml:space="preserve"> and</w:t>
      </w:r>
      <w:r w:rsidR="00F62597" w:rsidRPr="00F035C3">
        <w:t xml:space="preserve"> 89% identifying</w:t>
      </w:r>
      <w:r w:rsidR="0076278B" w:rsidRPr="00F035C3">
        <w:t xml:space="preserve"> tha</w:t>
      </w:r>
      <w:r w:rsidR="00F62597" w:rsidRPr="00F035C3">
        <w:t>t a product with five stars is the</w:t>
      </w:r>
      <w:r w:rsidR="0076278B" w:rsidRPr="00F035C3">
        <w:t xml:space="preserve"> </w:t>
      </w:r>
      <w:r w:rsidR="00F62597" w:rsidRPr="00F035C3">
        <w:t>healthiest</w:t>
      </w:r>
      <w:r w:rsidR="0076278B" w:rsidRPr="00F035C3">
        <w:t xml:space="preserve"> choice</w:t>
      </w:r>
      <w:r w:rsidR="00F62597" w:rsidRPr="00F035C3">
        <w:rPr>
          <w:rStyle w:val="FootnoteReference"/>
        </w:rPr>
        <w:footnoteReference w:id="3"/>
      </w:r>
      <w:r w:rsidR="000901D4">
        <w:t>)</w:t>
      </w:r>
    </w:p>
    <w:p w14:paraId="60D02369" w14:textId="4C5DDAE5" w:rsidR="00762839" w:rsidRDefault="00D60D82" w:rsidP="003263BE">
      <w:pPr>
        <w:pStyle w:val="mpcbullets1"/>
        <w:numPr>
          <w:ilvl w:val="0"/>
          <w:numId w:val="24"/>
        </w:numPr>
      </w:pPr>
      <w:r w:rsidRPr="00F035C3">
        <w:t>more than three in five Australians who bought</w:t>
      </w:r>
      <w:r w:rsidRPr="004053D9">
        <w:t xml:space="preserve"> a product with the H</w:t>
      </w:r>
      <w:r w:rsidR="00F204BF" w:rsidRPr="004053D9">
        <w:t xml:space="preserve">SR </w:t>
      </w:r>
      <w:r w:rsidRPr="004053D9">
        <w:t>reported that it had i</w:t>
      </w:r>
      <w:r w:rsidR="00F204BF" w:rsidRPr="004053D9">
        <w:t>nfluenced their product choice</w:t>
      </w:r>
      <w:r w:rsidR="00DF5EA8">
        <w:t>. One in two purchased</w:t>
      </w:r>
      <w:r w:rsidRPr="004053D9">
        <w:t xml:space="preserve"> a product they would</w:t>
      </w:r>
      <w:r w:rsidR="0014125F">
        <w:t xml:space="preserve"> </w:t>
      </w:r>
      <w:r w:rsidRPr="004053D9">
        <w:t>n</w:t>
      </w:r>
      <w:r w:rsidR="0014125F">
        <w:t>o</w:t>
      </w:r>
      <w:r w:rsidRPr="004053D9">
        <w:t xml:space="preserve">t normally buy due to </w:t>
      </w:r>
      <w:r w:rsidR="00762839" w:rsidRPr="004053D9">
        <w:t>the</w:t>
      </w:r>
      <w:r w:rsidR="00DF5EA8">
        <w:t xml:space="preserve"> presence of the</w:t>
      </w:r>
      <w:r w:rsidR="00762839" w:rsidRPr="004053D9">
        <w:t xml:space="preserve"> H</w:t>
      </w:r>
      <w:r w:rsidR="00DC3C30" w:rsidRPr="004053D9">
        <w:t>SR</w:t>
      </w:r>
      <w:r w:rsidR="00762839" w:rsidRPr="004053D9">
        <w:t xml:space="preserve"> </w:t>
      </w:r>
      <w:r w:rsidR="00BD01DE" w:rsidRPr="004053D9">
        <w:t>and close</w:t>
      </w:r>
      <w:r w:rsidRPr="004053D9">
        <w:t xml:space="preserve"> to nine in 10 of these shoppers said they wo</w:t>
      </w:r>
      <w:r w:rsidR="00231637" w:rsidRPr="004053D9">
        <w:t>uld continue to buy the product</w:t>
      </w:r>
      <w:r w:rsidR="000901D4">
        <w:rPr>
          <w:rStyle w:val="FootnoteReference"/>
        </w:rPr>
        <w:t>3</w:t>
      </w:r>
      <w:r w:rsidR="000901D4">
        <w:t>, and</w:t>
      </w:r>
    </w:p>
    <w:p w14:paraId="00176275" w14:textId="361A0896" w:rsidR="0082411C" w:rsidRPr="004053D9" w:rsidRDefault="0082411C" w:rsidP="0082411C">
      <w:pPr>
        <w:pStyle w:val="mpcbullets1"/>
        <w:numPr>
          <w:ilvl w:val="0"/>
          <w:numId w:val="24"/>
        </w:numPr>
      </w:pPr>
      <w:r w:rsidRPr="00C03D54">
        <w:t>In 2016, 19% of New Zealand shoppers used the HSR to help choose packaged food, with 57% of these shoppers reporting the HSR encouraged them to buy a product they do not usually buy. Half of shoppers in the general population said they are likely to use the HSR the next time they see it on something they are thinking of buying</w:t>
      </w:r>
      <w:r>
        <w:rPr>
          <w:rStyle w:val="FootnoteReference"/>
        </w:rPr>
        <w:footnoteReference w:id="4"/>
      </w:r>
      <w:r w:rsidR="00171EE4">
        <w:t>.</w:t>
      </w:r>
    </w:p>
    <w:p w14:paraId="4D83EF16" w14:textId="77777777" w:rsidR="00DF5EA8" w:rsidRDefault="00DF5EA8" w:rsidP="00BD13C2">
      <w:pPr>
        <w:pStyle w:val="mpcbullets1"/>
        <w:numPr>
          <w:ilvl w:val="0"/>
          <w:numId w:val="0"/>
        </w:numPr>
      </w:pPr>
    </w:p>
    <w:p w14:paraId="70354101" w14:textId="48EC3196" w:rsidR="00421BC4" w:rsidRDefault="0092342E" w:rsidP="00BD13C2">
      <w:pPr>
        <w:pStyle w:val="mpcbullets1"/>
        <w:numPr>
          <w:ilvl w:val="0"/>
          <w:numId w:val="0"/>
        </w:numPr>
      </w:pPr>
      <w:r>
        <w:t xml:space="preserve">We are aware that various studies have </w:t>
      </w:r>
      <w:r w:rsidR="00B76FB3">
        <w:t>been</w:t>
      </w:r>
      <w:r>
        <w:t xml:space="preserve"> undertaken by </w:t>
      </w:r>
      <w:r w:rsidR="00A3353C">
        <w:t>different bodies including b</w:t>
      </w:r>
      <w:r w:rsidR="00641BF7">
        <w:t xml:space="preserve">y </w:t>
      </w:r>
      <w:r w:rsidR="00421BC4">
        <w:t>universities</w:t>
      </w:r>
      <w:r w:rsidR="00FA0624">
        <w:t>,</w:t>
      </w:r>
      <w:r w:rsidR="00421BC4">
        <w:t xml:space="preserve"> </w:t>
      </w:r>
      <w:r w:rsidR="00DC3C30">
        <w:t xml:space="preserve">food </w:t>
      </w:r>
      <w:r w:rsidR="00421BC4">
        <w:t>manufacturers</w:t>
      </w:r>
      <w:r w:rsidR="00DC3C30">
        <w:t xml:space="preserve"> and food retailers.</w:t>
      </w:r>
      <w:r w:rsidR="00A3353C">
        <w:t xml:space="preserve"> The studies deliver similar results in the sense that </w:t>
      </w:r>
      <w:r w:rsidR="00DC3C30">
        <w:t>they indicate that:</w:t>
      </w:r>
    </w:p>
    <w:p w14:paraId="02F6D384" w14:textId="36650EA0" w:rsidR="00DC3C30" w:rsidRDefault="00421BC4" w:rsidP="00BD13C2">
      <w:pPr>
        <w:pStyle w:val="mpcbullets1"/>
        <w:numPr>
          <w:ilvl w:val="0"/>
          <w:numId w:val="6"/>
        </w:numPr>
      </w:pPr>
      <w:r>
        <w:t>awareness of the HSR is growing</w:t>
      </w:r>
    </w:p>
    <w:p w14:paraId="5EE3BCA2" w14:textId="1D1D2121" w:rsidR="00DC3C30" w:rsidRDefault="00421BC4" w:rsidP="00BD13C2">
      <w:pPr>
        <w:pStyle w:val="mpcbullets1"/>
        <w:numPr>
          <w:ilvl w:val="0"/>
          <w:numId w:val="6"/>
        </w:numPr>
      </w:pPr>
      <w:r>
        <w:t>c</w:t>
      </w:r>
      <w:r w:rsidR="00DC3C30">
        <w:t>onsumer</w:t>
      </w:r>
      <w:r>
        <w:t>s</w:t>
      </w:r>
      <w:r w:rsidR="00DC3C30">
        <w:t xml:space="preserve"> prefer </w:t>
      </w:r>
      <w:r w:rsidR="00361FAF">
        <w:t xml:space="preserve">the </w:t>
      </w:r>
      <w:r w:rsidR="00DC3C30">
        <w:t xml:space="preserve">HSR to other </w:t>
      </w:r>
      <w:r>
        <w:t>labelling</w:t>
      </w:r>
      <w:r w:rsidR="00DC3C30">
        <w:t xml:space="preserve"> systems</w:t>
      </w:r>
      <w:r w:rsidR="00FA0624">
        <w:t>, and</w:t>
      </w:r>
    </w:p>
    <w:p w14:paraId="0CFCB367" w14:textId="53977B90" w:rsidR="0076278B" w:rsidRDefault="0076278B" w:rsidP="00BD13C2">
      <w:pPr>
        <w:pStyle w:val="mpcbullets1"/>
        <w:numPr>
          <w:ilvl w:val="0"/>
          <w:numId w:val="6"/>
        </w:numPr>
      </w:pPr>
      <w:r>
        <w:t>the HSR graphic is easy to understand.</w:t>
      </w:r>
    </w:p>
    <w:p w14:paraId="4BCFCBAB" w14:textId="77777777" w:rsidR="0076278B" w:rsidRDefault="0076278B" w:rsidP="00BD13C2">
      <w:pPr>
        <w:pStyle w:val="mpcbullets1"/>
        <w:numPr>
          <w:ilvl w:val="0"/>
          <w:numId w:val="0"/>
        </w:numPr>
      </w:pPr>
    </w:p>
    <w:p w14:paraId="672BF911" w14:textId="15BD18A4" w:rsidR="0054549A" w:rsidRDefault="0076278B" w:rsidP="00BD13C2">
      <w:pPr>
        <w:pStyle w:val="mpcbullets1"/>
        <w:numPr>
          <w:ilvl w:val="0"/>
          <w:numId w:val="0"/>
        </w:numPr>
      </w:pPr>
      <w:r w:rsidRPr="001C6068">
        <w:rPr>
          <w:iCs/>
        </w:rPr>
        <w:t>On</w:t>
      </w:r>
      <w:r w:rsidR="00FA0624" w:rsidRPr="001C6068">
        <w:rPr>
          <w:iCs/>
        </w:rPr>
        <w:t xml:space="preserve"> t</w:t>
      </w:r>
      <w:r w:rsidRPr="001C6068">
        <w:rPr>
          <w:iCs/>
        </w:rPr>
        <w:t>h</w:t>
      </w:r>
      <w:r w:rsidR="00FA0624" w:rsidRPr="001C6068">
        <w:rPr>
          <w:iCs/>
        </w:rPr>
        <w:t>e</w:t>
      </w:r>
      <w:r w:rsidRPr="001C6068">
        <w:rPr>
          <w:iCs/>
        </w:rPr>
        <w:t xml:space="preserve"> questi</w:t>
      </w:r>
      <w:r w:rsidR="00FA0624" w:rsidRPr="001C6068">
        <w:rPr>
          <w:iCs/>
        </w:rPr>
        <w:t>o</w:t>
      </w:r>
      <w:r w:rsidRPr="001C6068">
        <w:rPr>
          <w:iCs/>
        </w:rPr>
        <w:t xml:space="preserve">n of whether the HSR </w:t>
      </w:r>
      <w:r w:rsidR="00FA0624" w:rsidRPr="001C6068">
        <w:rPr>
          <w:iCs/>
        </w:rPr>
        <w:t xml:space="preserve">is </w:t>
      </w:r>
      <w:r w:rsidRPr="003320E4">
        <w:rPr>
          <w:rStyle w:val="Emphasis"/>
        </w:rPr>
        <w:t>assisting consumers to make informed food purchases</w:t>
      </w:r>
      <w:r w:rsidR="00FA0624" w:rsidRPr="001C6068">
        <w:rPr>
          <w:iCs/>
        </w:rPr>
        <w:t>, s</w:t>
      </w:r>
      <w:r w:rsidR="00FA0624" w:rsidRPr="001C6068">
        <w:t xml:space="preserve">tudies suggest that </w:t>
      </w:r>
      <w:r w:rsidR="00421BC4" w:rsidRPr="001C6068">
        <w:t xml:space="preserve">consumers are better able to accurately assess the relative healthiness of a </w:t>
      </w:r>
      <w:r w:rsidR="00C5766F">
        <w:t xml:space="preserve">packaged </w:t>
      </w:r>
      <w:r w:rsidR="00421BC4" w:rsidRPr="001C6068">
        <w:t>product</w:t>
      </w:r>
      <w:r w:rsidR="00135F13" w:rsidRPr="001C6068">
        <w:t xml:space="preserve"> (when comparing</w:t>
      </w:r>
      <w:r w:rsidR="00550D90" w:rsidRPr="001C6068">
        <w:t xml:space="preserve"> the</w:t>
      </w:r>
      <w:r w:rsidR="00135F13" w:rsidRPr="001C6068">
        <w:t xml:space="preserve"> </w:t>
      </w:r>
      <w:r w:rsidR="00421BC4" w:rsidRPr="001C6068">
        <w:t>HSR</w:t>
      </w:r>
      <w:r w:rsidR="00550D90" w:rsidRPr="001C6068">
        <w:t xml:space="preserve"> system</w:t>
      </w:r>
      <w:r w:rsidR="00421BC4" w:rsidRPr="001C6068">
        <w:t xml:space="preserve"> to no front of pack labelling</w:t>
      </w:r>
      <w:r w:rsidR="006A4348" w:rsidRPr="001C6068">
        <w:t xml:space="preserve"> and relative to the </w:t>
      </w:r>
      <w:r w:rsidR="002C3B36" w:rsidRPr="001C6068">
        <w:t>D</w:t>
      </w:r>
      <w:r w:rsidR="006F0DC8">
        <w:t>aily</w:t>
      </w:r>
      <w:r w:rsidR="002C3B36" w:rsidRPr="001C6068">
        <w:t xml:space="preserve"> Intake Guide</w:t>
      </w:r>
      <w:r w:rsidR="00135F13" w:rsidRPr="001C6068">
        <w:t>)</w:t>
      </w:r>
      <w:r w:rsidR="00FA0624" w:rsidRPr="001C6068">
        <w:t>.</w:t>
      </w:r>
      <w:r w:rsidR="0054549A">
        <w:t xml:space="preserve"> </w:t>
      </w:r>
    </w:p>
    <w:p w14:paraId="7CEAA328" w14:textId="77777777" w:rsidR="0054549A" w:rsidRDefault="0054549A" w:rsidP="00BD13C2">
      <w:pPr>
        <w:pStyle w:val="mpcbullets1"/>
        <w:numPr>
          <w:ilvl w:val="0"/>
          <w:numId w:val="0"/>
        </w:numPr>
      </w:pPr>
    </w:p>
    <w:p w14:paraId="6EFDDFDE" w14:textId="374A06EF" w:rsidR="00FA0624" w:rsidRDefault="0054549A" w:rsidP="00BD13C2">
      <w:pPr>
        <w:pStyle w:val="mpcbullets1"/>
        <w:numPr>
          <w:ilvl w:val="0"/>
          <w:numId w:val="0"/>
        </w:numPr>
      </w:pPr>
      <w:r>
        <w:t>S</w:t>
      </w:r>
      <w:r w:rsidR="003179B0">
        <w:t>ome</w:t>
      </w:r>
      <w:r w:rsidR="00FA0624">
        <w:t xml:space="preserve"> stakeholders have expressed concern that</w:t>
      </w:r>
      <w:r w:rsidR="00751226">
        <w:t xml:space="preserve"> consumers</w:t>
      </w:r>
      <w:r w:rsidR="00FA0624">
        <w:t xml:space="preserve"> are incorrectly </w:t>
      </w:r>
      <w:r w:rsidR="00751226">
        <w:t>using</w:t>
      </w:r>
      <w:r w:rsidR="00FA0624">
        <w:t xml:space="preserve"> the HSR</w:t>
      </w:r>
      <w:r w:rsidR="00DF5B5A">
        <w:t>, for example, by not understanding that food should be compared within and not across a category</w:t>
      </w:r>
      <w:r w:rsidR="00AA6706">
        <w:t>.</w:t>
      </w:r>
      <w:r w:rsidR="00FA0624">
        <w:t xml:space="preserve"> </w:t>
      </w:r>
      <w:r w:rsidR="00AA6706">
        <w:t>T</w:t>
      </w:r>
      <w:r w:rsidR="001C6068">
        <w:t>he Heart Foundation and MPI data also suggests that some consumer</w:t>
      </w:r>
      <w:r w:rsidR="00CA35A9">
        <w:t>s are incorrectly using the HSR</w:t>
      </w:r>
      <w:r w:rsidR="001C6068">
        <w:t xml:space="preserve"> and others have suggested that consumers m</w:t>
      </w:r>
      <w:r w:rsidR="00FA0624">
        <w:t xml:space="preserve">ay be selecting less healthy </w:t>
      </w:r>
      <w:r w:rsidR="0062725A">
        <w:t>packaged</w:t>
      </w:r>
      <w:r w:rsidR="00FA0624">
        <w:t xml:space="preserve"> </w:t>
      </w:r>
      <w:r w:rsidR="00B73D3F">
        <w:t>products</w:t>
      </w:r>
      <w:r w:rsidR="00FA0624">
        <w:t xml:space="preserve"> over fresh fruit and vegetables</w:t>
      </w:r>
      <w:r w:rsidR="001C6068">
        <w:t xml:space="preserve"> (</w:t>
      </w:r>
      <w:r w:rsidR="0014125F">
        <w:t xml:space="preserve">however, </w:t>
      </w:r>
      <w:r w:rsidR="001C6068">
        <w:t>w</w:t>
      </w:r>
      <w:r w:rsidR="002169BB">
        <w:t xml:space="preserve">e have not yet seen evidence to </w:t>
      </w:r>
      <w:r w:rsidR="001C6068">
        <w:t>support this)</w:t>
      </w:r>
      <w:r w:rsidR="00600758">
        <w:t>. Some early research is also suggesting that roll out of the HSR is driving healthier refo</w:t>
      </w:r>
      <w:r w:rsidR="00C36A79">
        <w:t>rmulation of some products.</w:t>
      </w:r>
    </w:p>
    <w:p w14:paraId="0D2FF79D" w14:textId="77777777" w:rsidR="00B73D3F" w:rsidRDefault="00B73D3F" w:rsidP="00BD13C2">
      <w:pPr>
        <w:pStyle w:val="mpcbullets1"/>
        <w:numPr>
          <w:ilvl w:val="0"/>
          <w:numId w:val="0"/>
        </w:numPr>
      </w:pPr>
    </w:p>
    <w:p w14:paraId="04B79843" w14:textId="1D074955" w:rsidR="007D2F4D" w:rsidRDefault="00600758" w:rsidP="004F3864">
      <w:pPr>
        <w:pStyle w:val="mpcbullets1"/>
        <w:numPr>
          <w:ilvl w:val="0"/>
          <w:numId w:val="0"/>
        </w:numPr>
      </w:pPr>
      <w:r>
        <w:t xml:space="preserve">We are conscious that </w:t>
      </w:r>
      <w:r w:rsidR="003179B0">
        <w:t xml:space="preserve">this is a dynamic space, that monitoring is ongoing (with results shifting) and that </w:t>
      </w:r>
      <w:r w:rsidR="00DF5204">
        <w:t>studies about</w:t>
      </w:r>
      <w:r w:rsidR="003179B0">
        <w:t xml:space="preserve"> the impacts of the HSR</w:t>
      </w:r>
      <w:r w:rsidR="00DF5204">
        <w:t xml:space="preserve"> are regularly published</w:t>
      </w:r>
      <w:r w:rsidR="003179B0">
        <w:t xml:space="preserve">. </w:t>
      </w:r>
    </w:p>
    <w:p w14:paraId="5B64B54D" w14:textId="77777777" w:rsidR="00641BF7" w:rsidRDefault="00641BF7" w:rsidP="004F3864">
      <w:pPr>
        <w:pStyle w:val="mpcbullets1"/>
        <w:numPr>
          <w:ilvl w:val="0"/>
          <w:numId w:val="0"/>
        </w:numPr>
      </w:pPr>
    </w:p>
    <w:p w14:paraId="418C3A77" w14:textId="48B88E96" w:rsidR="00641BF7" w:rsidRDefault="00641BF7" w:rsidP="004F3864">
      <w:pPr>
        <w:pStyle w:val="mpcbullets1"/>
        <w:numPr>
          <w:ilvl w:val="0"/>
          <w:numId w:val="0"/>
        </w:numPr>
      </w:pPr>
      <w:r>
        <w:t>The Review will examine these matters in detail.</w:t>
      </w:r>
    </w:p>
    <w:p w14:paraId="372FA2F9" w14:textId="5BDE3772" w:rsidR="00B3647B" w:rsidRDefault="00B3647B" w:rsidP="00B3647B">
      <w:pPr>
        <w:pStyle w:val="mpcheading2"/>
      </w:pPr>
      <w:bookmarkStart w:id="13" w:name="_Toc503880608"/>
      <w:r>
        <w:t xml:space="preserve">Uptake of the </w:t>
      </w:r>
      <w:r w:rsidR="00D70BB6">
        <w:t xml:space="preserve">HSR </w:t>
      </w:r>
      <w:r w:rsidR="00FB30C4">
        <w:t>system</w:t>
      </w:r>
      <w:bookmarkEnd w:id="13"/>
    </w:p>
    <w:p w14:paraId="71015003" w14:textId="77777777" w:rsidR="00C36A79" w:rsidRDefault="00D70BB6" w:rsidP="00D70BB6">
      <w:pPr>
        <w:pStyle w:val="mpcbullets1"/>
        <w:numPr>
          <w:ilvl w:val="0"/>
          <w:numId w:val="0"/>
        </w:numPr>
      </w:pPr>
      <w:r w:rsidRPr="008A5FAE">
        <w:t>In their report of October 2017, the Heart Foundation reported 3,231 products in FoodTrack displayed the HSR. This represents an increase on previous years, with 331 HSR products in FoodTrack in June 2015 and 1,919 HSR products in June 2016</w:t>
      </w:r>
      <w:r w:rsidR="006865B3">
        <w:rPr>
          <w:rStyle w:val="FootnoteReference"/>
        </w:rPr>
        <w:footnoteReference w:id="5"/>
      </w:r>
      <w:r w:rsidRPr="008A5FAE">
        <w:t xml:space="preserve">. </w:t>
      </w:r>
      <w:r w:rsidR="00210F81" w:rsidRPr="008A5FAE">
        <w:t>This data exclude</w:t>
      </w:r>
      <w:r w:rsidR="00210F81">
        <w:t>s</w:t>
      </w:r>
      <w:r w:rsidR="00210F81" w:rsidRPr="008A5FAE">
        <w:t xml:space="preserve"> products labelled using the energy icon only.</w:t>
      </w:r>
      <w:r w:rsidR="00210F81">
        <w:t xml:space="preserve"> </w:t>
      </w:r>
      <w:r w:rsidRPr="008A5FAE">
        <w:t>In April 2017, the MPI reported 807 products displaying the HSR in the New Zealand Nutritrack Database at the end of April 2016, increas</w:t>
      </w:r>
      <w:r w:rsidR="00210F81">
        <w:t>ing from 39 at the end of April </w:t>
      </w:r>
      <w:r w:rsidRPr="008A5FAE">
        <w:t>2015</w:t>
      </w:r>
      <w:r w:rsidR="006865B3">
        <w:rPr>
          <w:rStyle w:val="FootnoteReference"/>
        </w:rPr>
        <w:footnoteReference w:id="6"/>
      </w:r>
      <w:r w:rsidRPr="008A5FAE">
        <w:t>.</w:t>
      </w:r>
    </w:p>
    <w:p w14:paraId="2DF8D79E" w14:textId="77777777" w:rsidR="00C36A79" w:rsidRDefault="00C36A79" w:rsidP="00D70BB6">
      <w:pPr>
        <w:pStyle w:val="mpcbullets1"/>
        <w:numPr>
          <w:ilvl w:val="0"/>
          <w:numId w:val="0"/>
        </w:numPr>
      </w:pPr>
    </w:p>
    <w:p w14:paraId="20518901" w14:textId="1C95C380" w:rsidR="00D70BB6" w:rsidRPr="00344D8E" w:rsidRDefault="00D70BB6" w:rsidP="00D70BB6">
      <w:pPr>
        <w:pStyle w:val="mpcbullets1"/>
        <w:numPr>
          <w:ilvl w:val="0"/>
          <w:numId w:val="0"/>
        </w:numPr>
      </w:pPr>
      <w:r>
        <w:t>Based on discussions with companies, many are continuing to roll</w:t>
      </w:r>
      <w:r w:rsidR="00395E33">
        <w:t xml:space="preserve"> out the HSR and aim to have 80</w:t>
      </w:r>
      <w:r w:rsidR="00395E33">
        <w:noBreakHyphen/>
      </w:r>
      <w:r>
        <w:t>100% of product covera</w:t>
      </w:r>
      <w:r w:rsidRPr="00344D8E">
        <w:t xml:space="preserve">ge in the next year. </w:t>
      </w:r>
      <w:r>
        <w:t>However, some</w:t>
      </w:r>
      <w:r w:rsidRPr="00344D8E">
        <w:t xml:space="preserve"> companies do not support</w:t>
      </w:r>
      <w:r>
        <w:t xml:space="preserve"> the</w:t>
      </w:r>
      <w:r w:rsidRPr="00344D8E">
        <w:t xml:space="preserve"> HSR and do not intend to implement the system. Reasons for not adopting the HSR </w:t>
      </w:r>
      <w:r w:rsidR="00395E33">
        <w:t xml:space="preserve">system </w:t>
      </w:r>
      <w:r w:rsidRPr="00344D8E">
        <w:t>var</w:t>
      </w:r>
      <w:r w:rsidR="00395E33">
        <w:t>y,</w:t>
      </w:r>
      <w:r w:rsidRPr="00344D8E">
        <w:t xml:space="preserve"> including because: </w:t>
      </w:r>
    </w:p>
    <w:p w14:paraId="7301A727" w14:textId="53A41FFA" w:rsidR="00D70BB6" w:rsidRPr="00344D8E" w:rsidRDefault="00D70BB6" w:rsidP="00004C64">
      <w:pPr>
        <w:pStyle w:val="mpcbullets1"/>
        <w:numPr>
          <w:ilvl w:val="0"/>
          <w:numId w:val="26"/>
        </w:numPr>
      </w:pPr>
      <w:r w:rsidRPr="00344D8E">
        <w:t>the algorithm does not take account</w:t>
      </w:r>
      <w:r>
        <w:t xml:space="preserve"> of</w:t>
      </w:r>
      <w:r w:rsidRPr="00344D8E">
        <w:t xml:space="preserve"> certain nutrients that would distinguish products as healthier</w:t>
      </w:r>
      <w:r w:rsidR="00395E33">
        <w:t>, which some companies consider</w:t>
      </w:r>
      <w:r w:rsidRPr="00344D8E">
        <w:t xml:space="preserve"> misleading for consumers (for example, </w:t>
      </w:r>
      <w:r>
        <w:t>some suggest that</w:t>
      </w:r>
      <w:r w:rsidR="00395E33">
        <w:t>,</w:t>
      </w:r>
      <w:r>
        <w:t xml:space="preserve"> by not taking account of </w:t>
      </w:r>
      <w:r w:rsidRPr="00344D8E">
        <w:t>wholegrain</w:t>
      </w:r>
      <w:r>
        <w:t xml:space="preserve">, </w:t>
      </w:r>
      <w:r w:rsidRPr="00344D8E">
        <w:t xml:space="preserve">brown rice products score the same as white rice products) </w:t>
      </w:r>
    </w:p>
    <w:p w14:paraId="2176816D" w14:textId="5A6BA950" w:rsidR="00D70BB6" w:rsidRPr="00344D8E" w:rsidRDefault="00D70BB6" w:rsidP="00004C64">
      <w:pPr>
        <w:pStyle w:val="mpcbullets1"/>
        <w:numPr>
          <w:ilvl w:val="0"/>
          <w:numId w:val="26"/>
        </w:numPr>
      </w:pPr>
      <w:r w:rsidRPr="00344D8E">
        <w:t>certain companies already have strong dietary, nutritional and health credentials across their product range, such that the</w:t>
      </w:r>
      <w:r>
        <w:t>y consider the</w:t>
      </w:r>
      <w:r w:rsidRPr="00344D8E">
        <w:t xml:space="preserve"> HSR gives no added benefit to consumers, and</w:t>
      </w:r>
    </w:p>
    <w:p w14:paraId="5A4FE89F" w14:textId="0721C14D" w:rsidR="00D70BB6" w:rsidRPr="00344D8E" w:rsidRDefault="00D70BB6" w:rsidP="00004C64">
      <w:pPr>
        <w:pStyle w:val="mpcbullets1"/>
        <w:numPr>
          <w:ilvl w:val="0"/>
          <w:numId w:val="26"/>
        </w:numPr>
      </w:pPr>
      <w:r w:rsidRPr="00344D8E">
        <w:t xml:space="preserve">for some companies, the lead time for getting the HSR on packaging is significant (at least </w:t>
      </w:r>
      <w:r w:rsidR="00395E33">
        <w:t>18 months</w:t>
      </w:r>
      <w:r w:rsidRPr="00344D8E">
        <w:t xml:space="preserve">), such that </w:t>
      </w:r>
      <w:r w:rsidR="00395E33">
        <w:t>these companies</w:t>
      </w:r>
      <w:r w:rsidRPr="00344D8E">
        <w:t xml:space="preserve"> want to see any issu</w:t>
      </w:r>
      <w:r>
        <w:t>es with the HSR system resolved</w:t>
      </w:r>
      <w:r w:rsidRPr="00344D8E">
        <w:t xml:space="preserve"> before adopting </w:t>
      </w:r>
      <w:r w:rsidR="00C5053A">
        <w:t>it</w:t>
      </w:r>
      <w:r w:rsidRPr="00344D8E">
        <w:t>.</w:t>
      </w:r>
    </w:p>
    <w:p w14:paraId="469BF42D" w14:textId="77777777" w:rsidR="00D70BB6" w:rsidRDefault="00D70BB6" w:rsidP="00D70BB6">
      <w:pPr>
        <w:pStyle w:val="mpcbullets1"/>
        <w:numPr>
          <w:ilvl w:val="0"/>
          <w:numId w:val="0"/>
        </w:numPr>
      </w:pPr>
    </w:p>
    <w:p w14:paraId="67F34912" w14:textId="6179A3A1" w:rsidR="00D70BB6" w:rsidRDefault="00D70BB6" w:rsidP="00D70BB6">
      <w:pPr>
        <w:pStyle w:val="mpcbullets1"/>
        <w:numPr>
          <w:ilvl w:val="0"/>
          <w:numId w:val="0"/>
        </w:numPr>
      </w:pPr>
      <w:r w:rsidRPr="00796371">
        <w:lastRenderedPageBreak/>
        <w:t>Still others are making decisions within their businesses about which products to prioritise for HSR labelling</w:t>
      </w:r>
      <w:r w:rsidR="00641BF7">
        <w:t xml:space="preserve">. Some </w:t>
      </w:r>
      <w:r w:rsidRPr="00796371">
        <w:t>are being influenced by</w:t>
      </w:r>
      <w:r w:rsidR="00641BF7">
        <w:t xml:space="preserve"> the expectations of retailers </w:t>
      </w:r>
      <w:r w:rsidRPr="00796371">
        <w:t xml:space="preserve">especially around private brands, </w:t>
      </w:r>
      <w:r w:rsidR="00641BF7">
        <w:t xml:space="preserve">noting that </w:t>
      </w:r>
      <w:r w:rsidRPr="00796371">
        <w:t>some retailers are requiring</w:t>
      </w:r>
      <w:r w:rsidR="00796371" w:rsidRPr="00796371">
        <w:t xml:space="preserve"> contracted suppliers to </w:t>
      </w:r>
      <w:r w:rsidR="00796371">
        <w:t>display</w:t>
      </w:r>
      <w:r w:rsidRPr="00796371">
        <w:t xml:space="preserve"> </w:t>
      </w:r>
      <w:r w:rsidR="00796371" w:rsidRPr="00796371">
        <w:t xml:space="preserve">the HSR </w:t>
      </w:r>
      <w:r w:rsidRPr="00796371">
        <w:t>on all private label products.</w:t>
      </w:r>
    </w:p>
    <w:p w14:paraId="7B4738DD" w14:textId="77777777" w:rsidR="00D70BB6" w:rsidRDefault="00D70BB6" w:rsidP="00D70BB6">
      <w:pPr>
        <w:pStyle w:val="mpcbullets1"/>
        <w:numPr>
          <w:ilvl w:val="0"/>
          <w:numId w:val="0"/>
        </w:numPr>
      </w:pPr>
      <w:r>
        <w:t xml:space="preserve"> </w:t>
      </w:r>
    </w:p>
    <w:p w14:paraId="765D63C1" w14:textId="0663FA9B" w:rsidR="00D70BB6" w:rsidRDefault="00D70BB6" w:rsidP="00D70BB6">
      <w:pPr>
        <w:pStyle w:val="mpcbullets1"/>
        <w:numPr>
          <w:ilvl w:val="0"/>
          <w:numId w:val="0"/>
        </w:numPr>
      </w:pPr>
      <w:r>
        <w:t>While most stakeholders agree that wide uptake of the HSR is critical to support consumers to make choices within categories, not all stakeholders agree on the best way to achieve this. Some suggest the system must be mandated and others support the system continuing as voluntary (possibly enhanced by the setting of formal uptake targets to encourage further implementation by industry).</w:t>
      </w:r>
    </w:p>
    <w:p w14:paraId="77C8CB7C" w14:textId="77777777" w:rsidR="00D70BB6" w:rsidRDefault="00D70BB6" w:rsidP="00D70BB6">
      <w:pPr>
        <w:pStyle w:val="mpcbullets1"/>
        <w:numPr>
          <w:ilvl w:val="0"/>
          <w:numId w:val="0"/>
        </w:numPr>
      </w:pPr>
    </w:p>
    <w:p w14:paraId="5B137134" w14:textId="77777777" w:rsidR="000543E8" w:rsidRDefault="00D70BB6" w:rsidP="007D2F4D">
      <w:pPr>
        <w:pStyle w:val="mpcbullets1"/>
        <w:numPr>
          <w:ilvl w:val="0"/>
          <w:numId w:val="0"/>
        </w:numPr>
      </w:pPr>
      <w:r>
        <w:t xml:space="preserve">The Review will examine the uptake of the HSR and, where necessary, make recommendations as to how uptake could be improved. This will include considering the relative merits of maintaining a voluntary approach as opposed to mandating the system. Noting that, as with all other aspects of the Review, recommendations will be made to the Forum via the FRSC and the HSRAC. </w:t>
      </w:r>
    </w:p>
    <w:p w14:paraId="434A2D81" w14:textId="77777777" w:rsidR="00EB7EEE" w:rsidRPr="00D70BB6" w:rsidRDefault="00EB7EEE" w:rsidP="00EB7EEE">
      <w:pPr>
        <w:pStyle w:val="mpcheading2"/>
      </w:pPr>
      <w:bookmarkStart w:id="14" w:name="_Toc503880609"/>
      <w:r>
        <w:t>Impact of the HSR system</w:t>
      </w:r>
      <w:bookmarkEnd w:id="14"/>
    </w:p>
    <w:p w14:paraId="0FC07CEA" w14:textId="1F702113" w:rsidR="00EB7EEE" w:rsidRDefault="00EB7EEE" w:rsidP="00EB7EEE">
      <w:pPr>
        <w:pStyle w:val="mpcbullets1"/>
        <w:numPr>
          <w:ilvl w:val="0"/>
          <w:numId w:val="0"/>
        </w:numPr>
      </w:pPr>
      <w:r>
        <w:t>While monitoring of the system enables conclusions to be drawn about whether the HSR system is meeting its objectives (</w:t>
      </w:r>
      <w:r w:rsidRPr="003320E4">
        <w:rPr>
          <w:rStyle w:val="Emphasis"/>
        </w:rPr>
        <w:t>to provide convenient, relevant and readily understood nutrition information and/or guidance on food packs to assist consumers to make informed food purchases and healthier eating choices</w:t>
      </w:r>
      <w:r>
        <w:t>)</w:t>
      </w:r>
      <w:r w:rsidR="007F0825">
        <w:t>,</w:t>
      </w:r>
      <w:r>
        <w:t xml:space="preserve"> a separate but related question is whether the HSR is achieving a positive public health impact.</w:t>
      </w:r>
    </w:p>
    <w:p w14:paraId="6684E8AF" w14:textId="39127EDA" w:rsidR="00EB7EEE" w:rsidRDefault="00EB7EEE" w:rsidP="00EB7EEE">
      <w:pPr>
        <w:pStyle w:val="NormalWeb"/>
        <w:spacing w:before="240" w:beforeAutospacing="0" w:after="240" w:afterAutospacing="0" w:line="300" w:lineRule="atLeast"/>
        <w:rPr>
          <w:rFonts w:asciiTheme="minorHAnsi" w:hAnsiTheme="minorHAnsi" w:cstheme="minorBidi"/>
          <w:lang w:val="en-AU" w:eastAsia="en-US"/>
        </w:rPr>
      </w:pPr>
      <w:r w:rsidRPr="003C7BDA">
        <w:rPr>
          <w:rFonts w:asciiTheme="minorHAnsi" w:hAnsiTheme="minorHAnsi" w:cstheme="minorBidi"/>
          <w:lang w:val="en-AU" w:eastAsia="en-US"/>
        </w:rPr>
        <w:t>The HSR website</w:t>
      </w:r>
      <w:r w:rsidR="00D9511D">
        <w:rPr>
          <w:rStyle w:val="FootnoteReference"/>
          <w:rFonts w:asciiTheme="minorHAnsi" w:hAnsiTheme="minorHAnsi" w:cstheme="minorBidi"/>
          <w:lang w:val="en-AU" w:eastAsia="en-US"/>
        </w:rPr>
        <w:footnoteReference w:id="7"/>
      </w:r>
      <w:r w:rsidR="00D9511D">
        <w:rPr>
          <w:rFonts w:asciiTheme="minorHAnsi" w:hAnsiTheme="minorHAnsi" w:cstheme="minorBidi"/>
          <w:lang w:val="en-AU" w:eastAsia="en-US"/>
        </w:rPr>
        <w:t xml:space="preserve"> </w:t>
      </w:r>
      <w:r>
        <w:rPr>
          <w:rFonts w:asciiTheme="minorHAnsi" w:hAnsiTheme="minorHAnsi" w:cstheme="minorBidi"/>
          <w:lang w:val="en-AU" w:eastAsia="en-US"/>
        </w:rPr>
        <w:t xml:space="preserve">explains the need </w:t>
      </w:r>
      <w:r w:rsidRPr="003C7BDA">
        <w:rPr>
          <w:rFonts w:asciiTheme="minorHAnsi" w:hAnsiTheme="minorHAnsi" w:cstheme="minorBidi"/>
          <w:lang w:val="en-AU" w:eastAsia="en-US"/>
        </w:rPr>
        <w:t xml:space="preserve">for </w:t>
      </w:r>
      <w:r>
        <w:rPr>
          <w:rFonts w:asciiTheme="minorHAnsi" w:hAnsiTheme="minorHAnsi" w:cstheme="minorBidi"/>
          <w:lang w:val="en-AU" w:eastAsia="en-US"/>
        </w:rPr>
        <w:t xml:space="preserve">the </w:t>
      </w:r>
      <w:r w:rsidRPr="003C7BDA">
        <w:rPr>
          <w:rFonts w:asciiTheme="minorHAnsi" w:hAnsiTheme="minorHAnsi" w:cstheme="minorBidi"/>
          <w:lang w:val="en-AU" w:eastAsia="en-US"/>
        </w:rPr>
        <w:t xml:space="preserve">system by reference to Australia’s obesity rates and </w:t>
      </w:r>
      <w:r>
        <w:rPr>
          <w:rFonts w:asciiTheme="minorHAnsi" w:hAnsiTheme="minorHAnsi" w:cstheme="minorBidi"/>
          <w:lang w:val="en-AU" w:eastAsia="en-US"/>
        </w:rPr>
        <w:t xml:space="preserve">also notes </w:t>
      </w:r>
      <w:r w:rsidRPr="003C7BDA">
        <w:rPr>
          <w:rFonts w:asciiTheme="minorHAnsi" w:hAnsiTheme="minorHAnsi" w:cstheme="minorBidi"/>
          <w:lang w:val="en-AU" w:eastAsia="en-US"/>
        </w:rPr>
        <w:t xml:space="preserve">that </w:t>
      </w:r>
      <w:r>
        <w:rPr>
          <w:rFonts w:asciiTheme="minorHAnsi" w:hAnsiTheme="minorHAnsi" w:cstheme="minorBidi"/>
          <w:lang w:val="en-AU" w:eastAsia="en-US"/>
        </w:rPr>
        <w:t>‘</w:t>
      </w:r>
      <w:r w:rsidRPr="003320E4">
        <w:rPr>
          <w:rStyle w:val="Emphasis"/>
          <w:rFonts w:ascii="Calibri" w:hAnsi="Calibri"/>
        </w:rPr>
        <w:t>choosing foods that are higher in positive nutrients and lower in risk nutrients that are linked to obesity and diet-related chronic diseases; (saturated fat, sodium (salt), sugars and energy), will help contribute to a balanced diet and lead to better health</w:t>
      </w:r>
      <w:r>
        <w:rPr>
          <w:rFonts w:asciiTheme="minorHAnsi" w:hAnsiTheme="minorHAnsi" w:cstheme="minorBidi"/>
          <w:lang w:val="en-AU" w:eastAsia="en-US"/>
        </w:rPr>
        <w:t>’.</w:t>
      </w:r>
    </w:p>
    <w:p w14:paraId="13DF6CF3" w14:textId="4363C625" w:rsidR="00EB7EEE" w:rsidRDefault="00EB7EEE" w:rsidP="00EB7EEE">
      <w:pPr>
        <w:pStyle w:val="mpcbullets1"/>
        <w:numPr>
          <w:ilvl w:val="0"/>
          <w:numId w:val="0"/>
        </w:numPr>
      </w:pPr>
      <w:r>
        <w:t xml:space="preserve">We are not aware that any impact indicators (or target levels for the impact indicators) have been set in order to measure the </w:t>
      </w:r>
      <w:r w:rsidR="005430C4">
        <w:t xml:space="preserve">overall </w:t>
      </w:r>
      <w:r>
        <w:t>public health impact of the HSR system.</w:t>
      </w:r>
    </w:p>
    <w:p w14:paraId="7D6364EA" w14:textId="77777777" w:rsidR="00EB7EEE" w:rsidRDefault="00EB7EEE" w:rsidP="00EB7EEE">
      <w:pPr>
        <w:pStyle w:val="mpcbullets1"/>
        <w:numPr>
          <w:ilvl w:val="0"/>
          <w:numId w:val="0"/>
        </w:numPr>
      </w:pPr>
    </w:p>
    <w:p w14:paraId="69235F83" w14:textId="291E6D90" w:rsidR="00EB7EEE" w:rsidRDefault="00A775C4" w:rsidP="00EB7EEE">
      <w:pPr>
        <w:pStyle w:val="mpcbullets1"/>
        <w:numPr>
          <w:ilvl w:val="0"/>
          <w:numId w:val="0"/>
        </w:numPr>
      </w:pPr>
      <w:r>
        <w:t xml:space="preserve">Despite the challenges of </w:t>
      </w:r>
      <w:r w:rsidR="00EB7EEE">
        <w:t xml:space="preserve">outcome measurement for </w:t>
      </w:r>
      <w:r>
        <w:t xml:space="preserve">many </w:t>
      </w:r>
      <w:r w:rsidR="00EB7EEE">
        <w:t xml:space="preserve">public health initiatives, we are conscious </w:t>
      </w:r>
      <w:r>
        <w:t xml:space="preserve">that many </w:t>
      </w:r>
      <w:r w:rsidR="00EB7EEE">
        <w:t>stakeholders (including those investing in its management and governance) are looking for a ‘return on investment’ and for the HSR system to demonstrate a positive public health</w:t>
      </w:r>
      <w:r w:rsidR="00F37475">
        <w:t xml:space="preserve"> impact</w:t>
      </w:r>
      <w:r w:rsidR="00EB7EEE">
        <w:t>.</w:t>
      </w:r>
    </w:p>
    <w:p w14:paraId="0D142432" w14:textId="77777777" w:rsidR="00EB7EEE" w:rsidRDefault="00EB7EEE" w:rsidP="00EB7EEE">
      <w:pPr>
        <w:pStyle w:val="mpcbullets1"/>
        <w:numPr>
          <w:ilvl w:val="0"/>
          <w:numId w:val="0"/>
        </w:numPr>
        <w:ind w:left="360" w:hanging="360"/>
      </w:pPr>
    </w:p>
    <w:p w14:paraId="6F178567" w14:textId="77777777" w:rsidR="00A775C4" w:rsidRDefault="00EB7EEE" w:rsidP="007D2F4D">
      <w:pPr>
        <w:pStyle w:val="mpcbullets1"/>
        <w:numPr>
          <w:ilvl w:val="0"/>
          <w:numId w:val="0"/>
        </w:numPr>
      </w:pPr>
      <w:r>
        <w:t>As part of the Review we will consider</w:t>
      </w:r>
      <w:r w:rsidR="00A775C4">
        <w:t>:</w:t>
      </w:r>
    </w:p>
    <w:p w14:paraId="2C329F54" w14:textId="10BF65C2" w:rsidR="00A775C4" w:rsidRDefault="00EB7EEE" w:rsidP="00004C64">
      <w:pPr>
        <w:pStyle w:val="mpcbullets1"/>
        <w:numPr>
          <w:ilvl w:val="0"/>
          <w:numId w:val="26"/>
        </w:numPr>
      </w:pPr>
      <w:r>
        <w:t xml:space="preserve">the conclusions that can be drawn from existing monitoring </w:t>
      </w:r>
      <w:r w:rsidR="00641AC3">
        <w:t xml:space="preserve">and other </w:t>
      </w:r>
      <w:r>
        <w:t>data</w:t>
      </w:r>
      <w:r w:rsidR="00F37475">
        <w:t>, and</w:t>
      </w:r>
    </w:p>
    <w:p w14:paraId="4B98E306" w14:textId="7B5844BA" w:rsidR="00EB7EEE" w:rsidRPr="007D2F4D" w:rsidRDefault="00EB7EEE" w:rsidP="00004C64">
      <w:pPr>
        <w:pStyle w:val="mpcbullets1"/>
        <w:numPr>
          <w:ilvl w:val="0"/>
          <w:numId w:val="26"/>
        </w:numPr>
      </w:pPr>
      <w:r>
        <w:t>the most appropriate impact indicators for the</w:t>
      </w:r>
      <w:r w:rsidR="00456B79">
        <w:t xml:space="preserve"> future</w:t>
      </w:r>
      <w:r w:rsidR="00F37475">
        <w:t xml:space="preserve"> (taking into account what can reasonably be measured and attributed to the HSR system). </w:t>
      </w:r>
    </w:p>
    <w:p w14:paraId="5FFE1741" w14:textId="64805835" w:rsidR="00914E7F" w:rsidRPr="00D70BB6" w:rsidRDefault="00914E7F" w:rsidP="00D70BB6">
      <w:pPr>
        <w:pStyle w:val="mpcheading2"/>
        <w:rPr>
          <w:b w:val="0"/>
        </w:rPr>
      </w:pPr>
      <w:bookmarkStart w:id="15" w:name="_Toc503880610"/>
      <w:r>
        <w:t>Continuation of the</w:t>
      </w:r>
      <w:r w:rsidRPr="00E74E4F">
        <w:t xml:space="preserve"> HSR </w:t>
      </w:r>
      <w:r>
        <w:t>system</w:t>
      </w:r>
      <w:bookmarkEnd w:id="15"/>
      <w:r>
        <w:t xml:space="preserve"> </w:t>
      </w:r>
    </w:p>
    <w:p w14:paraId="31CF0423" w14:textId="21EB3C6D" w:rsidR="00914E7F" w:rsidRDefault="00EB7EEE" w:rsidP="00914E7F">
      <w:pPr>
        <w:pStyle w:val="mpcbullets1"/>
        <w:numPr>
          <w:ilvl w:val="0"/>
          <w:numId w:val="0"/>
        </w:numPr>
      </w:pPr>
      <w:r>
        <w:t xml:space="preserve">Despite challenges in </w:t>
      </w:r>
      <w:r w:rsidR="00796371">
        <w:t xml:space="preserve">measuring </w:t>
      </w:r>
      <w:r>
        <w:t>the public health impact, m</w:t>
      </w:r>
      <w:r w:rsidR="00914E7F">
        <w:t xml:space="preserve">ost stakeholders support continuation of the HSR system and </w:t>
      </w:r>
      <w:r w:rsidR="00914E7F" w:rsidRPr="005430C4">
        <w:t xml:space="preserve">feel that the HSR, as part of an integrated system of other healthy eating </w:t>
      </w:r>
      <w:r w:rsidR="00914E7F" w:rsidRPr="005430C4">
        <w:lastRenderedPageBreak/>
        <w:t>programs, has the potential to be a successful public health intervention by assisting consumers to make healthier choices when choosing packaged foods.</w:t>
      </w:r>
    </w:p>
    <w:p w14:paraId="6DDE7F4A" w14:textId="77777777" w:rsidR="00914E7F" w:rsidRDefault="00914E7F" w:rsidP="00914E7F">
      <w:pPr>
        <w:pStyle w:val="mpcbullets1"/>
        <w:numPr>
          <w:ilvl w:val="0"/>
          <w:numId w:val="0"/>
        </w:numPr>
      </w:pPr>
    </w:p>
    <w:p w14:paraId="0BC62C27" w14:textId="65B54BEF" w:rsidR="00914E7F" w:rsidRDefault="00914E7F" w:rsidP="00914E7F">
      <w:pPr>
        <w:pStyle w:val="mpcbullets1"/>
        <w:numPr>
          <w:ilvl w:val="0"/>
          <w:numId w:val="0"/>
        </w:numPr>
      </w:pPr>
      <w:r>
        <w:t xml:space="preserve">While there are a number of stakeholders who are critical of the HSR system, they have consistently advised that they consider that the HSR is worth continuing and that, with some changes, the HSR could be a more effective public health intervention. </w:t>
      </w:r>
    </w:p>
    <w:p w14:paraId="4C9887CB" w14:textId="77777777" w:rsidR="00914E7F" w:rsidRDefault="00914E7F" w:rsidP="00914E7F">
      <w:pPr>
        <w:pStyle w:val="mpcbullets1"/>
        <w:numPr>
          <w:ilvl w:val="0"/>
          <w:numId w:val="0"/>
        </w:numPr>
      </w:pPr>
    </w:p>
    <w:p w14:paraId="0EB86A3B" w14:textId="02A99097" w:rsidR="00914E7F" w:rsidRDefault="00914E7F" w:rsidP="00914E7F">
      <w:pPr>
        <w:pStyle w:val="mpcbullets1"/>
        <w:numPr>
          <w:ilvl w:val="0"/>
          <w:numId w:val="0"/>
        </w:numPr>
      </w:pPr>
      <w:r>
        <w:t>Where stakeholders generally differ is the extent of the ‘tweaks’ they consider necessary to optimise the HSR system, the areas in which they think these tweaks need to be made and their perception of the impact of any such tweaks.</w:t>
      </w:r>
      <w:r w:rsidR="00F012D7">
        <w:t xml:space="preserve"> </w:t>
      </w:r>
      <w:r>
        <w:t xml:space="preserve">For example, some stakeholders consider </w:t>
      </w:r>
      <w:r w:rsidR="00F012D7">
        <w:t>the central issue to be</w:t>
      </w:r>
      <w:r>
        <w:t xml:space="preserve"> mandating the system (</w:t>
      </w:r>
      <w:r w:rsidR="00DE303A">
        <w:t>as</w:t>
      </w:r>
      <w:r>
        <w:t xml:space="preserve"> if there was adequate uptake of the HSR</w:t>
      </w:r>
      <w:r w:rsidR="00DE303A">
        <w:t>,</w:t>
      </w:r>
      <w:r>
        <w:t xml:space="preserve"> there would be public health benefits). Some consider that the main changes needed are around the algorithm, especially the treatment of both risk-related nutrients and positive nutrients. Some consider that by making changes across the </w:t>
      </w:r>
      <w:r w:rsidR="00DE303A">
        <w:t xml:space="preserve">HSR </w:t>
      </w:r>
      <w:r>
        <w:t xml:space="preserve">system (including to better align with the ADG and NZEAG and better enable consumers to select core foods over discretionary foods), greater progress will be achieved in terms of public health outcomes. </w:t>
      </w:r>
    </w:p>
    <w:p w14:paraId="53D01E24" w14:textId="77777777" w:rsidR="00914E7F" w:rsidRDefault="00914E7F" w:rsidP="00914E7F">
      <w:pPr>
        <w:pStyle w:val="mpcbullets1"/>
        <w:numPr>
          <w:ilvl w:val="0"/>
          <w:numId w:val="0"/>
        </w:numPr>
      </w:pPr>
    </w:p>
    <w:p w14:paraId="4F6B3E9A" w14:textId="6D1224E4" w:rsidR="007D2F4D" w:rsidRDefault="00914E7F" w:rsidP="007D2F4D">
      <w:pPr>
        <w:pStyle w:val="mpcbullets1"/>
        <w:numPr>
          <w:ilvl w:val="0"/>
          <w:numId w:val="0"/>
        </w:numPr>
      </w:pPr>
      <w:r w:rsidRPr="00F37475">
        <w:t xml:space="preserve">Based on the weight of support for continuation of the HSR and the results of early </w:t>
      </w:r>
      <w:r w:rsidR="00F37475" w:rsidRPr="00F37475">
        <w:t>monitoring</w:t>
      </w:r>
      <w:r w:rsidRPr="00F37475">
        <w:t>, it is likely that the Review will recommend the continuation of the HSR.</w:t>
      </w:r>
      <w:r>
        <w:t xml:space="preserve"> </w:t>
      </w:r>
    </w:p>
    <w:p w14:paraId="3B16B2DA" w14:textId="77777777" w:rsidR="00914E7F" w:rsidRDefault="00914E7F" w:rsidP="00914E7F">
      <w:pPr>
        <w:pStyle w:val="mpcbullets1"/>
        <w:numPr>
          <w:ilvl w:val="0"/>
          <w:numId w:val="0"/>
        </w:numPr>
      </w:pPr>
    </w:p>
    <w:p w14:paraId="16A94C36" w14:textId="62923684" w:rsidR="004F3864" w:rsidRDefault="00914E7F" w:rsidP="007D2F4D">
      <w:pPr>
        <w:pStyle w:val="mpcbullets1"/>
        <w:numPr>
          <w:ilvl w:val="0"/>
          <w:numId w:val="0"/>
        </w:numPr>
      </w:pPr>
      <w:r>
        <w:t xml:space="preserve">Our focus </w:t>
      </w:r>
      <w:r w:rsidR="00076050">
        <w:t>will be on: identifying how the HSR system complements and can be supported by other initiatives to achieve improved public health outcomes; any necessary or desirable changes to the HSR and related activities (for example, the HSR website and education on the HSR), and the appropriate ongoing monitoring and governance arrangements to inform recommendations for consideration by the Forum</w:t>
      </w:r>
      <w:r>
        <w:t xml:space="preserve">. </w:t>
      </w:r>
    </w:p>
    <w:p w14:paraId="4F722E0E" w14:textId="77777777" w:rsidR="00F37475" w:rsidRDefault="00F37475" w:rsidP="007D2F4D">
      <w:pPr>
        <w:pStyle w:val="mpcbullets1"/>
        <w:numPr>
          <w:ilvl w:val="0"/>
          <w:numId w:val="0"/>
        </w:numPr>
      </w:pPr>
    </w:p>
    <w:p w14:paraId="26EF94B8" w14:textId="77777777" w:rsidR="00F37475" w:rsidRDefault="00F37475" w:rsidP="00F37475">
      <w:pPr>
        <w:pStyle w:val="mpcbullets1"/>
        <w:numPr>
          <w:ilvl w:val="0"/>
          <w:numId w:val="0"/>
        </w:numPr>
      </w:pPr>
      <w:r>
        <w:t>While we will consider adjustments that may be made to the HSR to improve the existing system, we will not be exploring alternative models such as traffic light labelling.</w:t>
      </w:r>
    </w:p>
    <w:p w14:paraId="6A5DAE2B" w14:textId="77777777" w:rsidR="00F37475" w:rsidRPr="007D2F4D" w:rsidRDefault="00F37475" w:rsidP="007D2F4D">
      <w:pPr>
        <w:pStyle w:val="mpcbullets1"/>
        <w:numPr>
          <w:ilvl w:val="0"/>
          <w:numId w:val="0"/>
        </w:numPr>
      </w:pPr>
    </w:p>
    <w:p w14:paraId="685992BF" w14:textId="77777777" w:rsidR="007D2F4D" w:rsidRDefault="007D2F4D">
      <w:pPr>
        <w:rPr>
          <w:rFonts w:asciiTheme="minorHAnsi" w:hAnsiTheme="minorHAnsi" w:cstheme="minorBidi"/>
          <w:b/>
          <w:sz w:val="36"/>
          <w:szCs w:val="36"/>
          <w:lang w:val="en-AU" w:eastAsia="en-US"/>
        </w:rPr>
      </w:pPr>
      <w:r>
        <w:br w:type="page"/>
      </w:r>
    </w:p>
    <w:p w14:paraId="386A66E2" w14:textId="60C7B437" w:rsidR="00163F66" w:rsidRDefault="00C116BA" w:rsidP="00BD13C2">
      <w:pPr>
        <w:pStyle w:val="mpcheading1"/>
      </w:pPr>
      <w:bookmarkStart w:id="16" w:name="_Toc503880611"/>
      <w:r>
        <w:lastRenderedPageBreak/>
        <w:t>Chapter 3</w:t>
      </w:r>
      <w:r w:rsidR="00D659C4">
        <w:t xml:space="preserve"> –</w:t>
      </w:r>
      <w:r w:rsidR="009A6447">
        <w:t xml:space="preserve"> </w:t>
      </w:r>
      <w:bookmarkStart w:id="17" w:name="Foods_HSR_should_appear_on"/>
      <w:bookmarkEnd w:id="17"/>
      <w:r w:rsidR="00B3647B">
        <w:t xml:space="preserve">Our approach to </w:t>
      </w:r>
      <w:r w:rsidR="00511098">
        <w:t>identifying any HSR system changes</w:t>
      </w:r>
      <w:bookmarkEnd w:id="16"/>
      <w:r w:rsidR="00511098">
        <w:t xml:space="preserve"> </w:t>
      </w:r>
    </w:p>
    <w:p w14:paraId="01AB40B6" w14:textId="6475372A" w:rsidR="0022766C" w:rsidRDefault="00C43FC1" w:rsidP="0022766C">
      <w:pPr>
        <w:pStyle w:val="mpcheading2"/>
      </w:pPr>
      <w:bookmarkStart w:id="18" w:name="Does_HSR_scrore_foods_appropriately"/>
      <w:bookmarkStart w:id="19" w:name="_Toc503880612"/>
      <w:bookmarkEnd w:id="18"/>
      <w:r>
        <w:t>Context</w:t>
      </w:r>
      <w:bookmarkEnd w:id="19"/>
    </w:p>
    <w:p w14:paraId="33F6BD68" w14:textId="7C24D991" w:rsidR="006B7E99" w:rsidRDefault="0022766C" w:rsidP="0022766C">
      <w:pPr>
        <w:pStyle w:val="mpcNormal"/>
      </w:pPr>
      <w:r>
        <w:t xml:space="preserve">The HSR </w:t>
      </w:r>
      <w:r w:rsidR="006B7E99">
        <w:t xml:space="preserve">system is underpinned by a six step process used to determine </w:t>
      </w:r>
      <w:r w:rsidR="005430C4">
        <w:t xml:space="preserve">a </w:t>
      </w:r>
      <w:r w:rsidR="006B7E99">
        <w:t>HSR score and assign a rating to a food.</w:t>
      </w:r>
    </w:p>
    <w:p w14:paraId="21DE38C5" w14:textId="2F4E68D7" w:rsidR="0022766C" w:rsidRPr="00DA5FCF" w:rsidRDefault="006B7E99" w:rsidP="0022766C">
      <w:pPr>
        <w:pStyle w:val="mpcNormal"/>
      </w:pPr>
      <w:r>
        <w:t xml:space="preserve">An algorithm </w:t>
      </w:r>
      <w:r w:rsidR="0022766C" w:rsidRPr="00DA5FCF">
        <w:t>assigns points based on the nutrient content of 100 grams (or m</w:t>
      </w:r>
      <w:r w:rsidR="0022766C">
        <w:t>il</w:t>
      </w:r>
      <w:r w:rsidR="0022766C" w:rsidRPr="00DA5FCF">
        <w:t>l</w:t>
      </w:r>
      <w:r w:rsidR="0022766C">
        <w:t>ilitre</w:t>
      </w:r>
      <w:r w:rsidR="0022766C" w:rsidRPr="00DA5FCF">
        <w:t>s) </w:t>
      </w:r>
      <w:r w:rsidR="0022766C">
        <w:t xml:space="preserve">of a food. </w:t>
      </w:r>
      <w:r w:rsidR="0022766C" w:rsidRPr="00DA5FCF">
        <w:t xml:space="preserve">The algorithm considers the negative nutrients the dietary guidelines recommend eating less of (energy, saturated fat, sugars, </w:t>
      </w:r>
      <w:r w:rsidR="00512195">
        <w:t>salt</w:t>
      </w:r>
      <w:r w:rsidR="001922D9">
        <w:t>)</w:t>
      </w:r>
      <w:r w:rsidR="0022766C" w:rsidRPr="00DA5FCF">
        <w:t xml:space="preserve"> and positive nutrients the dietary guidelines recommend eating more of (fruits, vegetables, nuts and legumes</w:t>
      </w:r>
      <w:r w:rsidR="0022766C">
        <w:t xml:space="preserve"> and, in some instances, protein and</w:t>
      </w:r>
      <w:r w:rsidR="0022766C" w:rsidRPr="00DA5FCF">
        <w:t xml:space="preserve"> dietary fibre). </w:t>
      </w:r>
      <w:r w:rsidR="0022766C">
        <w:t>The HSR is</w:t>
      </w:r>
      <w:r w:rsidR="0022766C" w:rsidRPr="00DA5FCF">
        <w:t xml:space="preserve"> calculated by balancing these negative and positive components of the food per 100 grams (or m</w:t>
      </w:r>
      <w:r w:rsidR="0022766C">
        <w:t>il</w:t>
      </w:r>
      <w:r w:rsidR="0022766C" w:rsidRPr="00DA5FCF">
        <w:t>l</w:t>
      </w:r>
      <w:r w:rsidR="0022766C">
        <w:t>ilitre</w:t>
      </w:r>
      <w:r w:rsidR="0022766C" w:rsidRPr="00DA5FCF">
        <w:t xml:space="preserve">s), with the algorithm adjusted for different categories of foods. </w:t>
      </w:r>
    </w:p>
    <w:p w14:paraId="6534AF50" w14:textId="1EE90CEF" w:rsidR="0022766C" w:rsidRDefault="0022766C" w:rsidP="0022766C">
      <w:pPr>
        <w:pStyle w:val="mpcNormal"/>
      </w:pPr>
      <w:r w:rsidRPr="00DA5FCF">
        <w:t>Th</w:t>
      </w:r>
      <w:r>
        <w:t>e</w:t>
      </w:r>
      <w:r w:rsidRPr="00DA5FCF">
        <w:t xml:space="preserve"> HSR is designed so that all risk-associated (negative) nutrients have roughly twice the impact on final scor</w:t>
      </w:r>
      <w:r>
        <w:t xml:space="preserve">es compared with the </w:t>
      </w:r>
      <w:r w:rsidRPr="00DA5FCF">
        <w:t>offset (positive) nutrients.</w:t>
      </w:r>
      <w:r>
        <w:t xml:space="preserve"> F</w:t>
      </w:r>
      <w:r w:rsidRPr="00DA5FCF">
        <w:t>ruit, vegetable, nut and legume </w:t>
      </w:r>
      <w:r w:rsidR="00C15EC1">
        <w:t xml:space="preserve">(FVNL) </w:t>
      </w:r>
      <w:r w:rsidRPr="00DA5FCF">
        <w:t>content must be over 40</w:t>
      </w:r>
      <w:r>
        <w:t>%</w:t>
      </w:r>
      <w:r w:rsidRPr="00DA5FCF">
        <w:t xml:space="preserve"> of the total food before </w:t>
      </w:r>
      <w:r>
        <w:t>it can start counting towards health s</w:t>
      </w:r>
      <w:r w:rsidR="00400DE8">
        <w:t>tars and improve the rating (25% for c</w:t>
      </w:r>
      <w:r w:rsidR="00CE383B">
        <w:t>oncentrated fruit and vegetable content</w:t>
      </w:r>
      <w:r w:rsidR="00400DE8">
        <w:t>)</w:t>
      </w:r>
      <w:r w:rsidR="00CE383B" w:rsidRPr="00DA5FCF">
        <w:t>. </w:t>
      </w:r>
    </w:p>
    <w:p w14:paraId="3724AC88" w14:textId="578F08C8" w:rsidR="0022766C" w:rsidRDefault="0022766C" w:rsidP="004F3864">
      <w:pPr>
        <w:pStyle w:val="mpcbullets1"/>
        <w:numPr>
          <w:ilvl w:val="0"/>
          <w:numId w:val="0"/>
        </w:numPr>
      </w:pPr>
      <w:r>
        <w:t>Stakeholders have raised a very wide range of issues with the calculator, the rules that support the calculator and the outcomes of the calculator for specific foods.</w:t>
      </w:r>
    </w:p>
    <w:p w14:paraId="0C0BED67" w14:textId="7762F6C4" w:rsidR="00DA2D77" w:rsidRPr="00434F26" w:rsidRDefault="00C116BA" w:rsidP="00BD13C2">
      <w:pPr>
        <w:pStyle w:val="mpcheading2"/>
      </w:pPr>
      <w:bookmarkStart w:id="20" w:name="_Toc503880613"/>
      <w:r>
        <w:t>Principles</w:t>
      </w:r>
      <w:r w:rsidR="00C43FC1">
        <w:t xml:space="preserve"> for </w:t>
      </w:r>
      <w:r w:rsidR="00B3647B">
        <w:t>examining these issues</w:t>
      </w:r>
      <w:bookmarkEnd w:id="20"/>
    </w:p>
    <w:p w14:paraId="030969E4" w14:textId="18ACFED0" w:rsidR="00E35286" w:rsidRDefault="00F13BCF" w:rsidP="00BD13C2">
      <w:pPr>
        <w:pStyle w:val="mpcNormal"/>
      </w:pPr>
      <w:r>
        <w:t>In identifying possible option</w:t>
      </w:r>
      <w:r w:rsidR="00483D3E">
        <w:t>s</w:t>
      </w:r>
      <w:r>
        <w:t xml:space="preserve"> to </w:t>
      </w:r>
      <w:r w:rsidR="00483D3E">
        <w:t>address</w:t>
      </w:r>
      <w:r w:rsidR="00814696">
        <w:t xml:space="preserve"> issues</w:t>
      </w:r>
      <w:r>
        <w:t xml:space="preserve"> </w:t>
      </w:r>
      <w:r w:rsidR="00814696">
        <w:t xml:space="preserve">relating to the HSR rules and calculator, </w:t>
      </w:r>
      <w:r w:rsidR="00E35286">
        <w:t xml:space="preserve">we will draw on </w:t>
      </w:r>
      <w:r w:rsidR="000F622C">
        <w:t>the modelling and advice</w:t>
      </w:r>
      <w:r w:rsidR="00751226">
        <w:t xml:space="preserve"> of </w:t>
      </w:r>
      <w:r w:rsidR="001768D4">
        <w:t xml:space="preserve">the </w:t>
      </w:r>
      <w:r w:rsidR="00751226">
        <w:t xml:space="preserve">TAG and </w:t>
      </w:r>
      <w:r w:rsidR="001768D4">
        <w:t xml:space="preserve">the </w:t>
      </w:r>
      <w:r w:rsidR="000F622C">
        <w:t xml:space="preserve">HSRAC, along with the advice and evidence provided by </w:t>
      </w:r>
      <w:r w:rsidR="00751226">
        <w:t>stakeholders.</w:t>
      </w:r>
      <w:r w:rsidR="00E35286">
        <w:t xml:space="preserve"> </w:t>
      </w:r>
    </w:p>
    <w:p w14:paraId="3FFB5989" w14:textId="7702D484" w:rsidR="005769D6" w:rsidRPr="00301CF2" w:rsidRDefault="00301CF2" w:rsidP="00BD13C2">
      <w:pPr>
        <w:pStyle w:val="mpcNormal"/>
      </w:pPr>
      <w:r w:rsidRPr="00301CF2">
        <w:t xml:space="preserve">In collectively </w:t>
      </w:r>
      <w:r w:rsidR="00B45E96">
        <w:t>identifying</w:t>
      </w:r>
      <w:r w:rsidR="00687453">
        <w:t xml:space="preserve"> preferred options, </w:t>
      </w:r>
      <w:r w:rsidR="00E01F02">
        <w:t xml:space="preserve">our focus </w:t>
      </w:r>
      <w:r w:rsidR="005769D6" w:rsidRPr="00301CF2">
        <w:t>will be:</w:t>
      </w:r>
    </w:p>
    <w:p w14:paraId="7770789A" w14:textId="41347DAF" w:rsidR="00565C83" w:rsidRPr="003320E4" w:rsidRDefault="005769D6" w:rsidP="00BD13C2">
      <w:pPr>
        <w:pStyle w:val="mpcNormal"/>
        <w:pBdr>
          <w:top w:val="single" w:sz="4" w:space="1" w:color="auto"/>
          <w:left w:val="single" w:sz="4" w:space="4" w:color="auto"/>
          <w:bottom w:val="single" w:sz="4" w:space="1" w:color="auto"/>
          <w:right w:val="single" w:sz="4" w:space="4" w:color="auto"/>
        </w:pBdr>
        <w:shd w:val="clear" w:color="auto" w:fill="D9D9D9" w:themeFill="background1" w:themeFillShade="D9"/>
        <w:rPr>
          <w:rStyle w:val="Emphasis"/>
        </w:rPr>
      </w:pPr>
      <w:r w:rsidRPr="003320E4">
        <w:rPr>
          <w:rStyle w:val="Emphasis"/>
        </w:rPr>
        <w:t>W</w:t>
      </w:r>
      <w:r w:rsidR="00565C83" w:rsidRPr="003320E4">
        <w:rPr>
          <w:rStyle w:val="Emphasis"/>
        </w:rPr>
        <w:t xml:space="preserve">hat is </w:t>
      </w:r>
      <w:r w:rsidR="00B640B0" w:rsidRPr="003320E4">
        <w:rPr>
          <w:rStyle w:val="Emphasis"/>
        </w:rPr>
        <w:t>likely</w:t>
      </w:r>
      <w:r w:rsidR="00565C83" w:rsidRPr="003320E4">
        <w:rPr>
          <w:rStyle w:val="Emphasis"/>
        </w:rPr>
        <w:t xml:space="preserve"> to have the greatest </w:t>
      </w:r>
      <w:r w:rsidR="00B640B0" w:rsidRPr="003320E4">
        <w:rPr>
          <w:rStyle w:val="Emphasis"/>
        </w:rPr>
        <w:t xml:space="preserve">positive </w:t>
      </w:r>
      <w:r w:rsidR="00E35382" w:rsidRPr="003320E4">
        <w:rPr>
          <w:rStyle w:val="Emphasis"/>
        </w:rPr>
        <w:t>public</w:t>
      </w:r>
      <w:r w:rsidR="00565C83" w:rsidRPr="003320E4">
        <w:rPr>
          <w:rStyle w:val="Emphasis"/>
        </w:rPr>
        <w:t xml:space="preserve"> </w:t>
      </w:r>
      <w:r w:rsidR="00B640B0" w:rsidRPr="003320E4">
        <w:rPr>
          <w:rStyle w:val="Emphasis"/>
        </w:rPr>
        <w:t>health</w:t>
      </w:r>
      <w:r w:rsidR="00565C83" w:rsidRPr="003320E4">
        <w:rPr>
          <w:rStyle w:val="Emphasis"/>
        </w:rPr>
        <w:t xml:space="preserve"> </w:t>
      </w:r>
      <w:r w:rsidR="00B640B0" w:rsidRPr="003320E4">
        <w:rPr>
          <w:rStyle w:val="Emphasis"/>
        </w:rPr>
        <w:t xml:space="preserve">impact taking </w:t>
      </w:r>
      <w:r w:rsidR="00565C83" w:rsidRPr="003320E4">
        <w:rPr>
          <w:rStyle w:val="Emphasis"/>
        </w:rPr>
        <w:t xml:space="preserve">into account </w:t>
      </w:r>
      <w:r w:rsidR="00BD01DE" w:rsidRPr="003320E4">
        <w:rPr>
          <w:rStyle w:val="Emphasis"/>
        </w:rPr>
        <w:t xml:space="preserve">the </w:t>
      </w:r>
      <w:r w:rsidR="00B640B0" w:rsidRPr="003320E4">
        <w:rPr>
          <w:rStyle w:val="Emphasis"/>
        </w:rPr>
        <w:t>objectives</w:t>
      </w:r>
      <w:r w:rsidR="00565C83" w:rsidRPr="003320E4">
        <w:rPr>
          <w:rStyle w:val="Emphasis"/>
        </w:rPr>
        <w:t xml:space="preserve"> of </w:t>
      </w:r>
      <w:r w:rsidR="00C05967" w:rsidRPr="003320E4">
        <w:rPr>
          <w:rStyle w:val="Emphasis"/>
        </w:rPr>
        <w:t xml:space="preserve">the </w:t>
      </w:r>
      <w:r w:rsidR="00565C83" w:rsidRPr="003320E4">
        <w:rPr>
          <w:rStyle w:val="Emphasis"/>
        </w:rPr>
        <w:t>HSR, how consume</w:t>
      </w:r>
      <w:r w:rsidR="00E27D12" w:rsidRPr="003320E4">
        <w:rPr>
          <w:rStyle w:val="Emphasis"/>
        </w:rPr>
        <w:t>r</w:t>
      </w:r>
      <w:r w:rsidR="00565C83" w:rsidRPr="003320E4">
        <w:rPr>
          <w:rStyle w:val="Emphasis"/>
        </w:rPr>
        <w:t xml:space="preserve">s </w:t>
      </w:r>
      <w:r w:rsidR="00E27D12" w:rsidRPr="003320E4">
        <w:rPr>
          <w:rStyle w:val="Emphasis"/>
        </w:rPr>
        <w:t xml:space="preserve">are likely to </w:t>
      </w:r>
      <w:r w:rsidR="00565C83" w:rsidRPr="003320E4">
        <w:rPr>
          <w:rStyle w:val="Emphasis"/>
        </w:rPr>
        <w:t>use</w:t>
      </w:r>
      <w:r w:rsidR="00C05967" w:rsidRPr="003320E4">
        <w:rPr>
          <w:rStyle w:val="Emphasis"/>
        </w:rPr>
        <w:t xml:space="preserve"> the</w:t>
      </w:r>
      <w:r w:rsidR="00565C83" w:rsidRPr="003320E4">
        <w:rPr>
          <w:rStyle w:val="Emphasis"/>
        </w:rPr>
        <w:t xml:space="preserve"> HSR </w:t>
      </w:r>
      <w:r w:rsidR="00E35382" w:rsidRPr="003320E4">
        <w:rPr>
          <w:rStyle w:val="Emphasis"/>
        </w:rPr>
        <w:t xml:space="preserve">and how industry </w:t>
      </w:r>
      <w:r w:rsidR="00B770B2" w:rsidRPr="003320E4">
        <w:rPr>
          <w:rStyle w:val="Emphasis"/>
        </w:rPr>
        <w:t>will be</w:t>
      </w:r>
      <w:r w:rsidR="00E35382" w:rsidRPr="003320E4">
        <w:rPr>
          <w:rStyle w:val="Emphasis"/>
        </w:rPr>
        <w:t xml:space="preserve"> motivated</w:t>
      </w:r>
      <w:r w:rsidR="00B770B2" w:rsidRPr="003320E4">
        <w:rPr>
          <w:rStyle w:val="Emphasis"/>
        </w:rPr>
        <w:t xml:space="preserve"> </w:t>
      </w:r>
      <w:r w:rsidR="00E35382" w:rsidRPr="003320E4">
        <w:rPr>
          <w:rStyle w:val="Emphasis"/>
        </w:rPr>
        <w:t xml:space="preserve">to apply </w:t>
      </w:r>
      <w:r w:rsidR="00C05967" w:rsidRPr="003320E4">
        <w:rPr>
          <w:rStyle w:val="Emphasis"/>
        </w:rPr>
        <w:t xml:space="preserve">the </w:t>
      </w:r>
      <w:r w:rsidR="00E35382" w:rsidRPr="003320E4">
        <w:rPr>
          <w:rStyle w:val="Emphasis"/>
        </w:rPr>
        <w:t xml:space="preserve">HSR and </w:t>
      </w:r>
      <w:r w:rsidR="00B770B2" w:rsidRPr="003320E4">
        <w:rPr>
          <w:rStyle w:val="Emphasis"/>
        </w:rPr>
        <w:t>reformulate</w:t>
      </w:r>
      <w:r w:rsidR="00E35382" w:rsidRPr="003320E4">
        <w:rPr>
          <w:rStyle w:val="Emphasis"/>
        </w:rPr>
        <w:t xml:space="preserve"> </w:t>
      </w:r>
      <w:r w:rsidR="00565C83" w:rsidRPr="003320E4">
        <w:rPr>
          <w:rStyle w:val="Emphasis"/>
        </w:rPr>
        <w:t xml:space="preserve">products </w:t>
      </w:r>
      <w:r w:rsidR="00E35382" w:rsidRPr="003320E4">
        <w:rPr>
          <w:rStyle w:val="Emphasis"/>
        </w:rPr>
        <w:t>to reduce risk-</w:t>
      </w:r>
      <w:r w:rsidR="00B45E96" w:rsidRPr="003320E4">
        <w:rPr>
          <w:rStyle w:val="Emphasis"/>
        </w:rPr>
        <w:t>associated nutrients?</w:t>
      </w:r>
    </w:p>
    <w:p w14:paraId="26AEF898" w14:textId="725CF8ED" w:rsidR="00565C83" w:rsidRPr="00B770B2" w:rsidRDefault="003F3880" w:rsidP="00BD13C2">
      <w:pPr>
        <w:pStyle w:val="mpcNormal"/>
      </w:pPr>
      <w:r>
        <w:t>W</w:t>
      </w:r>
      <w:r w:rsidR="00BD01DE">
        <w:t>h</w:t>
      </w:r>
      <w:r w:rsidR="00B770B2">
        <w:t>ere elements of the HSR system are being reviewed</w:t>
      </w:r>
      <w:r w:rsidR="00565C83" w:rsidRPr="00B770B2">
        <w:t xml:space="preserve"> (</w:t>
      </w:r>
      <w:r w:rsidR="004F3D0B">
        <w:t>either because</w:t>
      </w:r>
      <w:r w:rsidR="00B770B2">
        <w:t xml:space="preserve"> the system is </w:t>
      </w:r>
      <w:r w:rsidR="00825587">
        <w:t xml:space="preserve">not </w:t>
      </w:r>
      <w:r w:rsidR="00B770B2">
        <w:t xml:space="preserve">working as it should or we want to better </w:t>
      </w:r>
      <w:r w:rsidR="00B45E96">
        <w:t>pursue the</w:t>
      </w:r>
      <w:r w:rsidR="00565C83" w:rsidRPr="00B770B2">
        <w:t xml:space="preserve"> above </w:t>
      </w:r>
      <w:r w:rsidR="00B770B2">
        <w:t>objectives</w:t>
      </w:r>
      <w:r w:rsidR="00565C83" w:rsidRPr="00B770B2">
        <w:t xml:space="preserve">), </w:t>
      </w:r>
      <w:r w:rsidR="00B770B2">
        <w:t>we w</w:t>
      </w:r>
      <w:r w:rsidR="00565C83" w:rsidRPr="00B770B2">
        <w:t xml:space="preserve">ill apply the </w:t>
      </w:r>
      <w:r w:rsidR="00B770B2">
        <w:t>following principles:</w:t>
      </w:r>
    </w:p>
    <w:p w14:paraId="6D6591AC" w14:textId="1A7C4749" w:rsidR="005430C4" w:rsidRPr="003320E4" w:rsidRDefault="005430C4" w:rsidP="003320E4">
      <w:pPr>
        <w:pStyle w:val="mpcheading3"/>
        <w:rPr>
          <w:rStyle w:val="Emphasis"/>
          <w:i w:val="0"/>
        </w:rPr>
      </w:pPr>
      <w:bookmarkStart w:id="21" w:name="_Toc503802293"/>
      <w:bookmarkStart w:id="22" w:name="_Toc503804507"/>
      <w:r w:rsidRPr="003320E4">
        <w:rPr>
          <w:rStyle w:val="Emphasis"/>
          <w:i w:val="0"/>
        </w:rPr>
        <w:t>Principle 1 – Clearly articulate the problem to be addressed</w:t>
      </w:r>
      <w:bookmarkEnd w:id="21"/>
      <w:bookmarkEnd w:id="22"/>
      <w:r w:rsidRPr="003320E4">
        <w:rPr>
          <w:rStyle w:val="Emphasis"/>
          <w:i w:val="0"/>
        </w:rPr>
        <w:t xml:space="preserve"> </w:t>
      </w:r>
    </w:p>
    <w:p w14:paraId="1233735C" w14:textId="094C8F3B" w:rsidR="001F4DA9" w:rsidRDefault="001F4DA9" w:rsidP="005430C4">
      <w:pPr>
        <w:pStyle w:val="mpcbullets1"/>
        <w:numPr>
          <w:ilvl w:val="0"/>
          <w:numId w:val="6"/>
        </w:numPr>
      </w:pPr>
      <w:r>
        <w:t>We</w:t>
      </w:r>
      <w:r w:rsidR="005C56B2">
        <w:t xml:space="preserve"> will</w:t>
      </w:r>
      <w:r>
        <w:t xml:space="preserve"> rigorously define the problem we are trying to address in order to identify the most effective solution.</w:t>
      </w:r>
    </w:p>
    <w:p w14:paraId="5A9F307E" w14:textId="1D83F8FF" w:rsidR="005430C4" w:rsidRPr="005430C4" w:rsidRDefault="005430C4" w:rsidP="005430C4">
      <w:pPr>
        <w:pStyle w:val="mpcbullets1"/>
        <w:numPr>
          <w:ilvl w:val="0"/>
          <w:numId w:val="6"/>
        </w:numPr>
      </w:pPr>
      <w:r w:rsidRPr="005430C4">
        <w:t xml:space="preserve">Where </w:t>
      </w:r>
      <w:r w:rsidR="001F4DA9">
        <w:t>problems have been broadly expressed</w:t>
      </w:r>
      <w:r w:rsidRPr="005430C4">
        <w:t xml:space="preserve"> (such as ‘sugar’</w:t>
      </w:r>
      <w:r w:rsidR="001F4DA9">
        <w:t>)</w:t>
      </w:r>
      <w:r w:rsidR="00CC35F9">
        <w:t>,</w:t>
      </w:r>
      <w:r w:rsidR="001F4DA9">
        <w:t xml:space="preserve"> we will seek to understand the underlying c</w:t>
      </w:r>
      <w:r w:rsidR="005C56B2">
        <w:t xml:space="preserve">oncern, what the problem is and </w:t>
      </w:r>
      <w:r w:rsidR="001F4DA9">
        <w:t>how and why the problem</w:t>
      </w:r>
      <w:r w:rsidR="00D9511D">
        <w:t xml:space="preserve"> (if any)</w:t>
      </w:r>
      <w:r w:rsidR="001F4DA9">
        <w:t xml:space="preserve"> manifests in the HSR system.</w:t>
      </w:r>
    </w:p>
    <w:p w14:paraId="2D648038" w14:textId="64D1814D" w:rsidR="00DA5FCF" w:rsidRPr="003320E4" w:rsidRDefault="001F4DA9" w:rsidP="003320E4">
      <w:pPr>
        <w:pStyle w:val="mpcheading3"/>
        <w:rPr>
          <w:rStyle w:val="Emphasis"/>
          <w:i w:val="0"/>
          <w:iCs/>
        </w:rPr>
      </w:pPr>
      <w:bookmarkStart w:id="23" w:name="_Toc503802294"/>
      <w:bookmarkStart w:id="24" w:name="_Toc503804508"/>
      <w:r w:rsidRPr="003320E4">
        <w:rPr>
          <w:rStyle w:val="Emphasis"/>
          <w:i w:val="0"/>
          <w:iCs/>
        </w:rPr>
        <w:lastRenderedPageBreak/>
        <w:t>Principle 2</w:t>
      </w:r>
      <w:r w:rsidR="00C41D2B" w:rsidRPr="003320E4">
        <w:rPr>
          <w:rStyle w:val="Emphasis"/>
          <w:i w:val="0"/>
          <w:iCs/>
        </w:rPr>
        <w:t xml:space="preserve"> </w:t>
      </w:r>
      <w:r w:rsidR="00BE132B" w:rsidRPr="003320E4">
        <w:rPr>
          <w:rStyle w:val="Emphasis"/>
          <w:i w:val="0"/>
          <w:iCs/>
        </w:rPr>
        <w:t>–</w:t>
      </w:r>
      <w:r w:rsidR="00C41D2B" w:rsidRPr="003320E4">
        <w:rPr>
          <w:rStyle w:val="Emphasis"/>
          <w:i w:val="0"/>
          <w:iCs/>
        </w:rPr>
        <w:t xml:space="preserve"> </w:t>
      </w:r>
      <w:r w:rsidR="003E1D3B" w:rsidRPr="003320E4">
        <w:rPr>
          <w:rStyle w:val="Emphasis"/>
          <w:i w:val="0"/>
          <w:iCs/>
        </w:rPr>
        <w:t xml:space="preserve">Seek </w:t>
      </w:r>
      <w:r w:rsidR="001768D4" w:rsidRPr="003320E4">
        <w:rPr>
          <w:rStyle w:val="Emphasis"/>
          <w:i w:val="0"/>
          <w:iCs/>
        </w:rPr>
        <w:t>further</w:t>
      </w:r>
      <w:r w:rsidR="00DA5FCF" w:rsidRPr="003320E4">
        <w:rPr>
          <w:rStyle w:val="Emphasis"/>
          <w:i w:val="0"/>
          <w:iCs/>
        </w:rPr>
        <w:t xml:space="preserve"> align</w:t>
      </w:r>
      <w:r w:rsidR="003E1D3B" w:rsidRPr="003320E4">
        <w:rPr>
          <w:rStyle w:val="Emphasis"/>
          <w:i w:val="0"/>
          <w:iCs/>
        </w:rPr>
        <w:t>ment</w:t>
      </w:r>
      <w:r w:rsidR="00DA5FCF" w:rsidRPr="003320E4">
        <w:rPr>
          <w:rStyle w:val="Emphasis"/>
          <w:i w:val="0"/>
          <w:iCs/>
        </w:rPr>
        <w:t xml:space="preserve"> with </w:t>
      </w:r>
      <w:r w:rsidR="003E1D3B" w:rsidRPr="003320E4">
        <w:rPr>
          <w:rStyle w:val="Emphasis"/>
          <w:i w:val="0"/>
          <w:iCs/>
        </w:rPr>
        <w:t xml:space="preserve">the </w:t>
      </w:r>
      <w:r w:rsidR="00DA5FCF" w:rsidRPr="003320E4">
        <w:rPr>
          <w:rStyle w:val="Emphasis"/>
          <w:i w:val="0"/>
          <w:iCs/>
        </w:rPr>
        <w:t>ADG and NZ</w:t>
      </w:r>
      <w:r w:rsidR="009719F4" w:rsidRPr="003320E4">
        <w:rPr>
          <w:rStyle w:val="Emphasis"/>
          <w:i w:val="0"/>
          <w:iCs/>
        </w:rPr>
        <w:t>EA</w:t>
      </w:r>
      <w:r w:rsidR="006F2B22" w:rsidRPr="003320E4">
        <w:rPr>
          <w:rStyle w:val="Emphasis"/>
          <w:i w:val="0"/>
          <w:iCs/>
        </w:rPr>
        <w:t xml:space="preserve">G </w:t>
      </w:r>
      <w:r w:rsidR="003E1D3B" w:rsidRPr="003320E4">
        <w:rPr>
          <w:rStyle w:val="Emphasis"/>
          <w:i w:val="0"/>
          <w:iCs/>
        </w:rPr>
        <w:t>wherever possible</w:t>
      </w:r>
      <w:r w:rsidR="00DA5FCF" w:rsidRPr="003320E4">
        <w:rPr>
          <w:rStyle w:val="Emphasis"/>
          <w:i w:val="0"/>
          <w:iCs/>
        </w:rPr>
        <w:t>, noting</w:t>
      </w:r>
      <w:r w:rsidR="00896748" w:rsidRPr="003320E4">
        <w:rPr>
          <w:rStyle w:val="Emphasis"/>
          <w:i w:val="0"/>
          <w:iCs/>
        </w:rPr>
        <w:t xml:space="preserve"> the different focus of the ADG</w:t>
      </w:r>
      <w:r w:rsidR="00631637" w:rsidRPr="003320E4">
        <w:rPr>
          <w:rStyle w:val="Emphasis"/>
          <w:i w:val="0"/>
          <w:iCs/>
        </w:rPr>
        <w:t>,</w:t>
      </w:r>
      <w:r w:rsidR="00896748" w:rsidRPr="003320E4">
        <w:rPr>
          <w:rStyle w:val="Emphasis"/>
          <w:i w:val="0"/>
          <w:iCs/>
        </w:rPr>
        <w:t xml:space="preserve"> </w:t>
      </w:r>
      <w:r w:rsidR="00DA5FCF" w:rsidRPr="003320E4">
        <w:rPr>
          <w:rStyle w:val="Emphasis"/>
          <w:i w:val="0"/>
          <w:iCs/>
        </w:rPr>
        <w:t>NZ</w:t>
      </w:r>
      <w:r w:rsidR="009719F4" w:rsidRPr="003320E4">
        <w:rPr>
          <w:rStyle w:val="Emphasis"/>
          <w:i w:val="0"/>
          <w:iCs/>
        </w:rPr>
        <w:t>EAG</w:t>
      </w:r>
      <w:r w:rsidR="00DA5FCF" w:rsidRPr="003320E4">
        <w:rPr>
          <w:rStyle w:val="Emphasis"/>
          <w:i w:val="0"/>
          <w:iCs/>
        </w:rPr>
        <w:t xml:space="preserve"> and the HSR</w:t>
      </w:r>
      <w:bookmarkEnd w:id="23"/>
      <w:bookmarkEnd w:id="24"/>
    </w:p>
    <w:p w14:paraId="0397BC63" w14:textId="2D2E5946" w:rsidR="00DA5FCF" w:rsidRPr="00E36484" w:rsidRDefault="003D619C" w:rsidP="005C56B2">
      <w:pPr>
        <w:pStyle w:val="mpcbullets1"/>
        <w:keepNext/>
        <w:numPr>
          <w:ilvl w:val="0"/>
          <w:numId w:val="6"/>
        </w:numPr>
      </w:pPr>
      <w:r>
        <w:t>The ADG</w:t>
      </w:r>
      <w:r w:rsidR="00DA5FCF">
        <w:t xml:space="preserve"> are designed to address types of food, food groups and dietary patterns and classify food </w:t>
      </w:r>
      <w:r w:rsidR="00D4686A">
        <w:t>on a</w:t>
      </w:r>
      <w:r w:rsidR="0027416C">
        <w:t xml:space="preserve"> </w:t>
      </w:r>
      <w:r w:rsidR="00DA5FCF">
        <w:t>core or discretionary</w:t>
      </w:r>
      <w:r w:rsidR="00D4686A">
        <w:t xml:space="preserve"> basis</w:t>
      </w:r>
      <w:r w:rsidR="00DA5FCF">
        <w:t>. The NZ</w:t>
      </w:r>
      <w:r w:rsidR="009719F4">
        <w:t xml:space="preserve">EAG </w:t>
      </w:r>
      <w:r w:rsidR="00DA5FCF">
        <w:t>similarly l</w:t>
      </w:r>
      <w:r w:rsidR="006F2B22">
        <w:t>ook at food groups and dietary</w:t>
      </w:r>
      <w:r w:rsidR="00DA5FCF">
        <w:t xml:space="preserve"> patterns but do</w:t>
      </w:r>
      <w:r w:rsidR="006F2B22">
        <w:t xml:space="preserve"> not focus on whether the food is </w:t>
      </w:r>
      <w:r w:rsidR="00DA5FCF">
        <w:t>core or discretionary.</w:t>
      </w:r>
    </w:p>
    <w:p w14:paraId="6F22E5D9" w14:textId="66D4A7D5" w:rsidR="00DA5FCF" w:rsidRPr="00E36484" w:rsidRDefault="00631637" w:rsidP="0080126B">
      <w:pPr>
        <w:pStyle w:val="mpcbullets1"/>
        <w:numPr>
          <w:ilvl w:val="0"/>
          <w:numId w:val="6"/>
        </w:numPr>
      </w:pPr>
      <w:r>
        <w:t>In</w:t>
      </w:r>
      <w:r w:rsidR="00DA5FCF">
        <w:t xml:space="preserve"> contrast</w:t>
      </w:r>
      <w:r w:rsidR="008734DC">
        <w:t>,</w:t>
      </w:r>
      <w:r w:rsidR="00DA5FCF">
        <w:t xml:space="preserve"> </w:t>
      </w:r>
      <w:r w:rsidR="001768D4">
        <w:t xml:space="preserve">the </w:t>
      </w:r>
      <w:r w:rsidR="00DA5FCF">
        <w:t>HSR is based on</w:t>
      </w:r>
      <w:r w:rsidR="00FD77CC">
        <w:t xml:space="preserve"> the</w:t>
      </w:r>
      <w:r w:rsidR="00DA5FCF">
        <w:t xml:space="preserve"> nutrient profile of the product using an algorithm that incorporates risk-based nutrients and positive nutrients a</w:t>
      </w:r>
      <w:r w:rsidR="006F2B22">
        <w:t>nd scoring foods continuously (10</w:t>
      </w:r>
      <w:r w:rsidR="00DA5FCF">
        <w:t xml:space="preserve"> intervals between </w:t>
      </w:r>
      <w:r w:rsidR="00280347">
        <w:t>0.5 a</w:t>
      </w:r>
      <w:r w:rsidR="00DA5FCF">
        <w:t>nd 5 stars).</w:t>
      </w:r>
      <w:r w:rsidR="00F57862">
        <w:t xml:space="preserve"> The HSR system is not intended to replace, but rather to compl</w:t>
      </w:r>
      <w:r w:rsidR="00FD77CC">
        <w:t>e</w:t>
      </w:r>
      <w:r w:rsidR="00F57862">
        <w:t>ment dietary guidelines</w:t>
      </w:r>
      <w:r w:rsidR="008734DC">
        <w:t xml:space="preserve"> and related public health and education initiatives</w:t>
      </w:r>
      <w:r w:rsidR="00F57862">
        <w:t>.</w:t>
      </w:r>
    </w:p>
    <w:p w14:paraId="28D8A567" w14:textId="4BB9060F" w:rsidR="00DA5FCF" w:rsidRDefault="00DA5FCF" w:rsidP="0080126B">
      <w:pPr>
        <w:pStyle w:val="mpcbullets1"/>
        <w:numPr>
          <w:ilvl w:val="0"/>
          <w:numId w:val="6"/>
        </w:numPr>
        <w:spacing w:after="0"/>
        <w:ind w:left="357" w:hanging="357"/>
      </w:pPr>
      <w:r w:rsidRPr="00E36484">
        <w:t>To some extent</w:t>
      </w:r>
      <w:r w:rsidR="00631637">
        <w:t>,</w:t>
      </w:r>
      <w:r w:rsidRPr="00E36484">
        <w:t xml:space="preserve"> this means that absolute al</w:t>
      </w:r>
      <w:r>
        <w:t>ignment is not possible becaus</w:t>
      </w:r>
      <w:r w:rsidR="006F2B22">
        <w:t>e the</w:t>
      </w:r>
      <w:r w:rsidR="001768D4">
        <w:t xml:space="preserve"> ADG and </w:t>
      </w:r>
      <w:r w:rsidR="009719F4">
        <w:t>NZ</w:t>
      </w:r>
      <w:r w:rsidR="006F2B22">
        <w:t>E</w:t>
      </w:r>
      <w:r w:rsidR="009719F4">
        <w:t>A</w:t>
      </w:r>
      <w:r w:rsidR="006F2B22">
        <w:t>G have different foci</w:t>
      </w:r>
      <w:r>
        <w:t xml:space="preserve">. </w:t>
      </w:r>
      <w:r w:rsidR="00C05967">
        <w:t>Further, alignment is</w:t>
      </w:r>
      <w:r w:rsidR="0039245A">
        <w:t xml:space="preserve"> not </w:t>
      </w:r>
      <w:r w:rsidR="006F2B22">
        <w:t>always s</w:t>
      </w:r>
      <w:r>
        <w:t>imple to achieve</w:t>
      </w:r>
      <w:r w:rsidR="00622DC9">
        <w:t xml:space="preserve"> </w:t>
      </w:r>
      <w:r>
        <w:t xml:space="preserve">because </w:t>
      </w:r>
      <w:r w:rsidR="0039245A">
        <w:t xml:space="preserve">some of the </w:t>
      </w:r>
      <w:r w:rsidR="00C05967">
        <w:t xml:space="preserve">recommendations </w:t>
      </w:r>
      <w:r>
        <w:t>are gender and</w:t>
      </w:r>
      <w:r w:rsidR="00621B8D">
        <w:t>/or</w:t>
      </w:r>
      <w:r>
        <w:t xml:space="preserve"> age</w:t>
      </w:r>
      <w:r w:rsidR="00621B8D">
        <w:t xml:space="preserve"> specific</w:t>
      </w:r>
      <w:r>
        <w:t xml:space="preserve"> and are not aligned across Australia and New Zealan</w:t>
      </w:r>
      <w:r w:rsidR="0039245A">
        <w:t>d.</w:t>
      </w:r>
    </w:p>
    <w:p w14:paraId="05E41F96" w14:textId="2414EFA5" w:rsidR="00362699" w:rsidRDefault="00362699" w:rsidP="00362699">
      <w:pPr>
        <w:pStyle w:val="mpcbullets1"/>
        <w:numPr>
          <w:ilvl w:val="0"/>
          <w:numId w:val="6"/>
        </w:numPr>
      </w:pPr>
      <w:r>
        <w:t>Where possible</w:t>
      </w:r>
      <w:r w:rsidR="00631637">
        <w:t>,</w:t>
      </w:r>
      <w:r>
        <w:t xml:space="preserve"> we will seek to ensure that any changes further align with the ADG and NZEAG. </w:t>
      </w:r>
    </w:p>
    <w:p w14:paraId="45FE1B44" w14:textId="77777777" w:rsidR="00721FE0" w:rsidRPr="00CC111C" w:rsidRDefault="00721FE0" w:rsidP="00721FE0">
      <w:pPr>
        <w:pStyle w:val="mpcbullets1"/>
        <w:numPr>
          <w:ilvl w:val="0"/>
          <w:numId w:val="0"/>
        </w:numPr>
        <w:spacing w:after="0"/>
        <w:ind w:left="357"/>
      </w:pPr>
    </w:p>
    <w:p w14:paraId="26A59BBC" w14:textId="2A1B47B2" w:rsidR="00C41D2B" w:rsidRPr="003320E4" w:rsidRDefault="001F4DA9" w:rsidP="003320E4">
      <w:pPr>
        <w:pStyle w:val="mpcheading3"/>
        <w:rPr>
          <w:rStyle w:val="Emphasis"/>
          <w:i w:val="0"/>
        </w:rPr>
      </w:pPr>
      <w:bookmarkStart w:id="25" w:name="_Toc503802295"/>
      <w:bookmarkStart w:id="26" w:name="_Toc503804509"/>
      <w:r w:rsidRPr="003320E4">
        <w:rPr>
          <w:rStyle w:val="Emphasis"/>
          <w:i w:val="0"/>
        </w:rPr>
        <w:t>Principle 3</w:t>
      </w:r>
      <w:r w:rsidR="00C41D2B" w:rsidRPr="003320E4">
        <w:rPr>
          <w:rStyle w:val="Emphasis"/>
          <w:i w:val="0"/>
        </w:rPr>
        <w:t xml:space="preserve"> </w:t>
      </w:r>
      <w:r w:rsidR="00BE132B" w:rsidRPr="003320E4">
        <w:rPr>
          <w:rStyle w:val="Emphasis"/>
          <w:i w:val="0"/>
        </w:rPr>
        <w:t>–</w:t>
      </w:r>
      <w:r w:rsidR="00C41D2B" w:rsidRPr="003320E4">
        <w:rPr>
          <w:rStyle w:val="Emphasis"/>
          <w:i w:val="0"/>
        </w:rPr>
        <w:t xml:space="preserve"> Be evidence based</w:t>
      </w:r>
      <w:bookmarkEnd w:id="25"/>
      <w:bookmarkEnd w:id="26"/>
    </w:p>
    <w:p w14:paraId="58F7C9BD" w14:textId="7D50B8CD" w:rsidR="0089553A" w:rsidRDefault="00C41D2B" w:rsidP="00D9511D">
      <w:pPr>
        <w:pStyle w:val="mpcbullets1"/>
      </w:pPr>
      <w:r>
        <w:t>In submissions and through our i</w:t>
      </w:r>
      <w:r w:rsidR="004F3D0B">
        <w:t xml:space="preserve">nitial consultations, </w:t>
      </w:r>
      <w:r>
        <w:t>stakeholders have en</w:t>
      </w:r>
      <w:r w:rsidR="004F3D0B">
        <w:t>couraged us to look at a range of</w:t>
      </w:r>
      <w:r>
        <w:t xml:space="preserve"> data sets or research outcome</w:t>
      </w:r>
      <w:r w:rsidR="00DF7045">
        <w:t>s, with some suggesting that a particular data set or statement</w:t>
      </w:r>
      <w:r>
        <w:t xml:space="preserve"> of findings is preferable to another.</w:t>
      </w:r>
      <w:r w:rsidR="008409C9">
        <w:t xml:space="preserve"> </w:t>
      </w:r>
    </w:p>
    <w:p w14:paraId="7C35EBA9" w14:textId="01C9E1E1" w:rsidR="002317AA" w:rsidRDefault="008409C9" w:rsidP="00D9511D">
      <w:pPr>
        <w:pStyle w:val="mpcbullets1"/>
      </w:pPr>
      <w:r w:rsidRPr="007110AC">
        <w:t>In undertaking the Review, we</w:t>
      </w:r>
      <w:r w:rsidR="00F51C0D" w:rsidRPr="007110AC">
        <w:t xml:space="preserve"> will consider the breadth</w:t>
      </w:r>
      <w:r w:rsidRPr="007110AC">
        <w:t xml:space="preserve"> and the quality</w:t>
      </w:r>
      <w:r w:rsidR="00F51C0D" w:rsidRPr="007110AC">
        <w:t xml:space="preserve"> of evidence presented</w:t>
      </w:r>
      <w:r w:rsidR="00631637">
        <w:t xml:space="preserve"> (n</w:t>
      </w:r>
      <w:r w:rsidR="0089553A" w:rsidRPr="007110AC">
        <w:t xml:space="preserve">oting that opinion </w:t>
      </w:r>
      <w:r w:rsidR="002317AA">
        <w:t>and the nature and scope of the evidence as to the operation of the HSR system will be considered appropriately).</w:t>
      </w:r>
    </w:p>
    <w:p w14:paraId="1F2341F2" w14:textId="1E5606CA" w:rsidR="00C41D2B" w:rsidRDefault="00C41D2B" w:rsidP="00D9511D">
      <w:pPr>
        <w:pStyle w:val="mpcbullets1"/>
      </w:pPr>
      <w:r>
        <w:t>We will also</w:t>
      </w:r>
      <w:r w:rsidR="004F3D0B">
        <w:t xml:space="preserve"> ascertain</w:t>
      </w:r>
      <w:r>
        <w:t xml:space="preserve"> what</w:t>
      </w:r>
      <w:r w:rsidR="00362699">
        <w:t xml:space="preserve"> the</w:t>
      </w:r>
      <w:r w:rsidR="004F3D0B">
        <w:t xml:space="preserve"> data </w:t>
      </w:r>
      <w:r w:rsidR="00362699">
        <w:t>is telling us about the HSR</w:t>
      </w:r>
      <w:r w:rsidR="003D619C">
        <w:t xml:space="preserve"> system</w:t>
      </w:r>
      <w:r w:rsidR="00362699">
        <w:t>, noting that there may be many reasons for a particular result.</w:t>
      </w:r>
      <w:r w:rsidR="002317AA">
        <w:t xml:space="preserve"> F</w:t>
      </w:r>
      <w:r w:rsidR="00C05967">
        <w:t>or example,</w:t>
      </w:r>
      <w:r w:rsidRPr="00A86374">
        <w:t xml:space="preserve"> work done by </w:t>
      </w:r>
      <w:r>
        <w:t xml:space="preserve">NSW Health and </w:t>
      </w:r>
      <w:r w:rsidRPr="00A86374">
        <w:t>the George Insti</w:t>
      </w:r>
      <w:r>
        <w:t xml:space="preserve">tute </w:t>
      </w:r>
      <w:r w:rsidR="0069300B">
        <w:t xml:space="preserve">of Global Health </w:t>
      </w:r>
      <w:r>
        <w:t>suggests that 14</w:t>
      </w:r>
      <w:r w:rsidR="008E104D">
        <w:t>%</w:t>
      </w:r>
      <w:r>
        <w:t xml:space="preserve"> of discretionary foods score an HSR of 3.5 or greater. </w:t>
      </w:r>
      <w:r w:rsidR="008D25B4">
        <w:t xml:space="preserve">While the authors conclude this suggests the HSR is working well overall, other </w:t>
      </w:r>
      <w:r w:rsidR="00C05967">
        <w:t>stakeholders</w:t>
      </w:r>
      <w:r w:rsidR="008D25B4">
        <w:t xml:space="preserve"> suggest</w:t>
      </w:r>
      <w:r w:rsidR="00C05967">
        <w:t xml:space="preserve"> this is</w:t>
      </w:r>
      <w:r>
        <w:t xml:space="preserve"> evidence that the HSR is failing. </w:t>
      </w:r>
      <w:r w:rsidR="008D25B4">
        <w:t xml:space="preserve">Further work is currently underway to investigate these ‘outliers’ and whether the problems are with the algorithm or the HSR, or </w:t>
      </w:r>
      <w:r>
        <w:t>with the ADG or the core/discretionary food divi</w:t>
      </w:r>
      <w:r w:rsidR="00460790">
        <w:t>de</w:t>
      </w:r>
      <w:r w:rsidR="005430C4">
        <w:t>. Some c</w:t>
      </w:r>
      <w:r>
        <w:t xml:space="preserve">ase studies </w:t>
      </w:r>
      <w:r w:rsidR="00C05967">
        <w:t xml:space="preserve">in </w:t>
      </w:r>
      <w:r w:rsidR="005430C4">
        <w:t>Chapter</w:t>
      </w:r>
      <w:r w:rsidR="00824E51">
        <w:t xml:space="preserve"> 4</w:t>
      </w:r>
      <w:r w:rsidR="005430C4">
        <w:t xml:space="preserve"> </w:t>
      </w:r>
      <w:r w:rsidR="00460790">
        <w:t xml:space="preserve">identify </w:t>
      </w:r>
      <w:r>
        <w:t>potential issues for further investigation.</w:t>
      </w:r>
    </w:p>
    <w:p w14:paraId="4E8CEAEE" w14:textId="77777777" w:rsidR="00362699" w:rsidRPr="00C41D2B" w:rsidRDefault="00362699" w:rsidP="00362699">
      <w:pPr>
        <w:pStyle w:val="mpcbullets2"/>
        <w:numPr>
          <w:ilvl w:val="0"/>
          <w:numId w:val="0"/>
        </w:numPr>
        <w:ind w:left="720"/>
      </w:pPr>
    </w:p>
    <w:p w14:paraId="41564FAB" w14:textId="7F6CB39B" w:rsidR="00593E2F" w:rsidRPr="003320E4" w:rsidRDefault="00C41D2B" w:rsidP="003320E4">
      <w:pPr>
        <w:pStyle w:val="mpcheading3"/>
        <w:rPr>
          <w:rStyle w:val="Emphasis"/>
          <w:i w:val="0"/>
        </w:rPr>
      </w:pPr>
      <w:bookmarkStart w:id="27" w:name="_Toc503802296"/>
      <w:bookmarkStart w:id="28" w:name="_Toc503804510"/>
      <w:r w:rsidRPr="003320E4">
        <w:rPr>
          <w:rStyle w:val="Emphasis"/>
          <w:i w:val="0"/>
        </w:rPr>
        <w:t>Principle</w:t>
      </w:r>
      <w:r w:rsidR="001F4DA9" w:rsidRPr="003320E4">
        <w:rPr>
          <w:rStyle w:val="Emphasis"/>
          <w:i w:val="0"/>
        </w:rPr>
        <w:t xml:space="preserve"> 4</w:t>
      </w:r>
      <w:r w:rsidRPr="003320E4">
        <w:rPr>
          <w:rStyle w:val="Emphasis"/>
          <w:i w:val="0"/>
        </w:rPr>
        <w:t xml:space="preserve"> </w:t>
      </w:r>
      <w:r w:rsidR="00BE132B" w:rsidRPr="003320E4">
        <w:rPr>
          <w:rStyle w:val="Emphasis"/>
          <w:i w:val="0"/>
        </w:rPr>
        <w:t>–</w:t>
      </w:r>
      <w:r w:rsidRPr="003320E4">
        <w:rPr>
          <w:rStyle w:val="Emphasis"/>
          <w:i w:val="0"/>
        </w:rPr>
        <w:t xml:space="preserve"> </w:t>
      </w:r>
      <w:r w:rsidR="007807DC" w:rsidRPr="003320E4">
        <w:rPr>
          <w:rStyle w:val="Emphasis"/>
          <w:i w:val="0"/>
        </w:rPr>
        <w:t>Seek to apply a systems-</w:t>
      </w:r>
      <w:r w:rsidR="00FA4321" w:rsidRPr="003320E4">
        <w:rPr>
          <w:rStyle w:val="Emphasis"/>
          <w:i w:val="0"/>
        </w:rPr>
        <w:t xml:space="preserve">based approach rather than finding ‘fixes’ for individual </w:t>
      </w:r>
      <w:r w:rsidR="007807DC" w:rsidRPr="003320E4">
        <w:rPr>
          <w:rStyle w:val="Emphasis"/>
          <w:i w:val="0"/>
        </w:rPr>
        <w:t>foods</w:t>
      </w:r>
      <w:bookmarkEnd w:id="27"/>
      <w:bookmarkEnd w:id="28"/>
    </w:p>
    <w:p w14:paraId="639C20F4" w14:textId="09722E85" w:rsidR="00991D60" w:rsidRPr="00F1223B" w:rsidRDefault="00DC47D3" w:rsidP="00D9511D">
      <w:pPr>
        <w:pStyle w:val="mpcbullets1"/>
      </w:pPr>
      <w:r>
        <w:t xml:space="preserve">Sometimes, </w:t>
      </w:r>
      <w:r w:rsidR="00991D60" w:rsidRPr="00F1223B">
        <w:t xml:space="preserve">in consultation with </w:t>
      </w:r>
      <w:r w:rsidR="007807DC">
        <w:t>stakeholders</w:t>
      </w:r>
      <w:r>
        <w:t xml:space="preserve">, </w:t>
      </w:r>
      <w:r w:rsidR="007807DC">
        <w:t xml:space="preserve">people </w:t>
      </w:r>
      <w:r w:rsidR="00C05967">
        <w:t xml:space="preserve">have </w:t>
      </w:r>
      <w:r w:rsidR="007807DC">
        <w:t xml:space="preserve">used </w:t>
      </w:r>
      <w:r w:rsidR="00991D60" w:rsidRPr="00F1223B">
        <w:t xml:space="preserve">examples </w:t>
      </w:r>
      <w:r w:rsidR="005430C4">
        <w:t xml:space="preserve">of individual foods </w:t>
      </w:r>
      <w:r w:rsidR="00991D60" w:rsidRPr="00F1223B">
        <w:t xml:space="preserve">to demonstrate that ‘the </w:t>
      </w:r>
      <w:r w:rsidR="00290610">
        <w:t>system</w:t>
      </w:r>
      <w:r w:rsidR="00991D60" w:rsidRPr="00F1223B">
        <w:t xml:space="preserve"> is broken’ and</w:t>
      </w:r>
      <w:r w:rsidR="00DB2863">
        <w:t xml:space="preserve"> requested</w:t>
      </w:r>
      <w:r w:rsidR="00991D60" w:rsidRPr="00F1223B">
        <w:t xml:space="preserve"> that</w:t>
      </w:r>
      <w:r w:rsidR="00290610">
        <w:t xml:space="preserve"> a </w:t>
      </w:r>
      <w:r w:rsidR="00991D60" w:rsidRPr="00F1223B">
        <w:t xml:space="preserve">solution be found to the </w:t>
      </w:r>
      <w:r w:rsidR="00C05967">
        <w:t xml:space="preserve">specific </w:t>
      </w:r>
      <w:r w:rsidR="00991D60" w:rsidRPr="00F1223B">
        <w:t>product ‘problem’ to restore consumer confidence</w:t>
      </w:r>
      <w:r w:rsidR="0065797C">
        <w:t>.</w:t>
      </w:r>
    </w:p>
    <w:p w14:paraId="448DF6D0" w14:textId="454D5ED8" w:rsidR="00991D60" w:rsidRPr="00F1223B" w:rsidRDefault="00013A1B" w:rsidP="00D9511D">
      <w:pPr>
        <w:pStyle w:val="mpcbullets1"/>
      </w:pPr>
      <w:r>
        <w:t>While</w:t>
      </w:r>
      <w:r w:rsidR="00991D60" w:rsidRPr="00F1223B">
        <w:t xml:space="preserve"> we </w:t>
      </w:r>
      <w:r w:rsidR="00C05967">
        <w:t>acknowledge</w:t>
      </w:r>
      <w:r w:rsidR="00991D60" w:rsidRPr="00F1223B">
        <w:t xml:space="preserve"> that </w:t>
      </w:r>
      <w:r w:rsidR="00AE7960" w:rsidRPr="00F1223B">
        <w:t>there have been</w:t>
      </w:r>
      <w:r w:rsidR="00DB2863">
        <w:t xml:space="preserve"> </w:t>
      </w:r>
      <w:r w:rsidR="00991D60" w:rsidRPr="00F1223B">
        <w:t xml:space="preserve">individual </w:t>
      </w:r>
      <w:r w:rsidR="007807DC">
        <w:t>foods</w:t>
      </w:r>
      <w:r w:rsidR="00AE7960" w:rsidRPr="00F1223B">
        <w:t xml:space="preserve"> </w:t>
      </w:r>
      <w:r w:rsidR="00DB2863">
        <w:t xml:space="preserve">whose HSR </w:t>
      </w:r>
      <w:r w:rsidR="00AE7960" w:rsidRPr="00F1223B">
        <w:t>do</w:t>
      </w:r>
      <w:r w:rsidR="00DB2863">
        <w:t>es</w:t>
      </w:r>
      <w:r w:rsidR="00AE7960" w:rsidRPr="00F1223B">
        <w:t xml:space="preserve"> not </w:t>
      </w:r>
      <w:r w:rsidR="001870EA" w:rsidRPr="00F1223B">
        <w:t>align</w:t>
      </w:r>
      <w:r w:rsidR="00AE7960" w:rsidRPr="00F1223B">
        <w:t xml:space="preserve"> with </w:t>
      </w:r>
      <w:r w:rsidR="00F44BDC">
        <w:t>consumer</w:t>
      </w:r>
      <w:r w:rsidR="00AE7960" w:rsidRPr="00F1223B">
        <w:t xml:space="preserve"> expectations </w:t>
      </w:r>
      <w:r w:rsidR="00C21441">
        <w:t>resulting</w:t>
      </w:r>
      <w:r w:rsidR="00BA0C84">
        <w:t xml:space="preserve"> in concerns </w:t>
      </w:r>
      <w:r w:rsidR="005A5F4C">
        <w:t>about</w:t>
      </w:r>
      <w:r w:rsidR="00991D60" w:rsidRPr="00F1223B">
        <w:t xml:space="preserve"> the </w:t>
      </w:r>
      <w:r>
        <w:t>credibility o</w:t>
      </w:r>
      <w:r w:rsidR="001870EA" w:rsidRPr="00F1223B">
        <w:t xml:space="preserve">f </w:t>
      </w:r>
      <w:r>
        <w:t>the</w:t>
      </w:r>
      <w:r w:rsidR="001870EA" w:rsidRPr="00F1223B">
        <w:t xml:space="preserve"> </w:t>
      </w:r>
      <w:r w:rsidR="00F44BDC">
        <w:t>system</w:t>
      </w:r>
      <w:r w:rsidR="00C05967">
        <w:t>,</w:t>
      </w:r>
      <w:r w:rsidR="001870EA" w:rsidRPr="00F1223B">
        <w:t xml:space="preserve"> we will work </w:t>
      </w:r>
      <w:r w:rsidR="00F44BDC">
        <w:t>with</w:t>
      </w:r>
      <w:r w:rsidR="001870EA" w:rsidRPr="00F1223B">
        <w:t xml:space="preserve"> </w:t>
      </w:r>
      <w:r w:rsidR="00C05967">
        <w:t xml:space="preserve">the </w:t>
      </w:r>
      <w:r w:rsidR="001870EA" w:rsidRPr="00F1223B">
        <w:t>TAG</w:t>
      </w:r>
      <w:r w:rsidR="00C05967">
        <w:t xml:space="preserve">, the </w:t>
      </w:r>
      <w:r w:rsidR="001870EA" w:rsidRPr="00F1223B">
        <w:t xml:space="preserve">HSRAC </w:t>
      </w:r>
      <w:r w:rsidR="00C05967">
        <w:t xml:space="preserve">and stakeholders </w:t>
      </w:r>
      <w:r w:rsidR="001870EA" w:rsidRPr="00F1223B">
        <w:t xml:space="preserve">to </w:t>
      </w:r>
      <w:r w:rsidR="008B2026">
        <w:t>identify</w:t>
      </w:r>
      <w:r w:rsidR="001870EA" w:rsidRPr="00F1223B">
        <w:t xml:space="preserve"> the underlying </w:t>
      </w:r>
      <w:r w:rsidR="00BA0C84">
        <w:t>issue</w:t>
      </w:r>
      <w:r w:rsidR="00DB2863">
        <w:t xml:space="preserve"> at a system level</w:t>
      </w:r>
      <w:r w:rsidR="001870EA" w:rsidRPr="00F1223B">
        <w:t xml:space="preserve"> (and </w:t>
      </w:r>
      <w:r w:rsidR="00F44BDC">
        <w:t>options</w:t>
      </w:r>
      <w:r w:rsidR="001870EA" w:rsidRPr="00F1223B">
        <w:t xml:space="preserve"> for addressing it) rather than seeking to </w:t>
      </w:r>
      <w:r w:rsidR="00631637">
        <w:t xml:space="preserve">resolve issues </w:t>
      </w:r>
      <w:r w:rsidR="001870EA" w:rsidRPr="00F1223B">
        <w:t xml:space="preserve">on a </w:t>
      </w:r>
      <w:r w:rsidR="004A1635">
        <w:t>product</w:t>
      </w:r>
      <w:r w:rsidR="002C024D">
        <w:t>-</w:t>
      </w:r>
      <w:r w:rsidR="004A1635">
        <w:t>by</w:t>
      </w:r>
      <w:r w:rsidR="002C024D">
        <w:t>-</w:t>
      </w:r>
      <w:r w:rsidR="00DB30DF">
        <w:t>product basis.</w:t>
      </w:r>
      <w:r w:rsidR="002C3F00">
        <w:t xml:space="preserve"> </w:t>
      </w:r>
    </w:p>
    <w:p w14:paraId="051D2EF0" w14:textId="2F48A8A7" w:rsidR="00C41D2B" w:rsidRPr="003320E4" w:rsidRDefault="00C41D2B" w:rsidP="003320E4">
      <w:pPr>
        <w:pStyle w:val="mpcheading3"/>
        <w:rPr>
          <w:rStyle w:val="Emphasis"/>
          <w:i w:val="0"/>
        </w:rPr>
      </w:pPr>
      <w:bookmarkStart w:id="29" w:name="_Toc503802297"/>
      <w:bookmarkStart w:id="30" w:name="_Toc503804511"/>
      <w:r w:rsidRPr="003320E4">
        <w:rPr>
          <w:rStyle w:val="Emphasis"/>
          <w:i w:val="0"/>
        </w:rPr>
        <w:lastRenderedPageBreak/>
        <w:t xml:space="preserve">Principle </w:t>
      </w:r>
      <w:r w:rsidR="001F4DA9" w:rsidRPr="003320E4">
        <w:rPr>
          <w:rStyle w:val="Emphasis"/>
          <w:i w:val="0"/>
        </w:rPr>
        <w:t>5</w:t>
      </w:r>
      <w:r w:rsidRPr="003320E4">
        <w:rPr>
          <w:rStyle w:val="Emphasis"/>
          <w:i w:val="0"/>
        </w:rPr>
        <w:t xml:space="preserve"> </w:t>
      </w:r>
      <w:r w:rsidR="00BE132B" w:rsidRPr="003320E4">
        <w:rPr>
          <w:rStyle w:val="Emphasis"/>
          <w:i w:val="0"/>
        </w:rPr>
        <w:t>–</w:t>
      </w:r>
      <w:r w:rsidR="00362699" w:rsidRPr="003320E4">
        <w:rPr>
          <w:rStyle w:val="Emphasis"/>
          <w:i w:val="0"/>
        </w:rPr>
        <w:t xml:space="preserve"> Maintain alignment</w:t>
      </w:r>
      <w:r w:rsidRPr="003320E4">
        <w:rPr>
          <w:rStyle w:val="Emphasis"/>
          <w:i w:val="0"/>
        </w:rPr>
        <w:t xml:space="preserve"> with other programs and regulation where possible</w:t>
      </w:r>
      <w:bookmarkEnd w:id="29"/>
      <w:bookmarkEnd w:id="30"/>
    </w:p>
    <w:p w14:paraId="3B60A16A" w14:textId="0DD10B89" w:rsidR="00C41D2B" w:rsidRPr="00C41D2B" w:rsidRDefault="00C41D2B" w:rsidP="00D9511D">
      <w:pPr>
        <w:pStyle w:val="mpcbullets1"/>
      </w:pPr>
      <w:r>
        <w:t>Where possible we will seek to align definitions or concepts with the</w:t>
      </w:r>
      <w:r w:rsidR="003B64CD">
        <w:t xml:space="preserve"> </w:t>
      </w:r>
      <w:r w:rsidR="00280347">
        <w:t xml:space="preserve">Australia New Zealand </w:t>
      </w:r>
      <w:r>
        <w:t>Food Standards Code. For example, where there is a definition of wholegrain in the Food Standards Code</w:t>
      </w:r>
      <w:r w:rsidR="003B64CD">
        <w:t>,</w:t>
      </w:r>
      <w:r>
        <w:t xml:space="preserve"> we would seek to use the same definition in the context of</w:t>
      </w:r>
      <w:r w:rsidR="003B64CD">
        <w:t xml:space="preserve"> the</w:t>
      </w:r>
      <w:r>
        <w:t xml:space="preserve"> HSR</w:t>
      </w:r>
      <w:r w:rsidR="003B64CD">
        <w:t xml:space="preserve"> system</w:t>
      </w:r>
      <w:r>
        <w:t xml:space="preserve"> unless there was a strong reason not to do so. </w:t>
      </w:r>
      <w:r w:rsidR="00587F85">
        <w:t>K</w:t>
      </w:r>
      <w:r>
        <w:t>eeping definitions and concepts alig</w:t>
      </w:r>
      <w:r w:rsidR="00362699">
        <w:t>ned (where possible) will</w:t>
      </w:r>
      <w:r>
        <w:t xml:space="preserve"> minimise confusion and complexity.</w:t>
      </w:r>
    </w:p>
    <w:p w14:paraId="034E3DDD" w14:textId="3E7D843E" w:rsidR="00483D3E" w:rsidRPr="003320E4" w:rsidRDefault="00C41D2B" w:rsidP="003320E4">
      <w:pPr>
        <w:pStyle w:val="mpcheading3"/>
        <w:rPr>
          <w:rStyle w:val="Emphasis"/>
          <w:i w:val="0"/>
        </w:rPr>
      </w:pPr>
      <w:bookmarkStart w:id="31" w:name="_Toc503802298"/>
      <w:bookmarkStart w:id="32" w:name="_Toc503804512"/>
      <w:r w:rsidRPr="003320E4">
        <w:rPr>
          <w:rStyle w:val="Emphasis"/>
          <w:i w:val="0"/>
        </w:rPr>
        <w:t>P</w:t>
      </w:r>
      <w:r w:rsidR="001F4DA9" w:rsidRPr="003320E4">
        <w:rPr>
          <w:rStyle w:val="Emphasis"/>
          <w:i w:val="0"/>
        </w:rPr>
        <w:t>rinciple 6</w:t>
      </w:r>
      <w:r w:rsidRPr="003320E4">
        <w:rPr>
          <w:rStyle w:val="Emphasis"/>
          <w:i w:val="0"/>
        </w:rPr>
        <w:t xml:space="preserve"> </w:t>
      </w:r>
      <w:r w:rsidR="00BE132B" w:rsidRPr="003320E4">
        <w:rPr>
          <w:rStyle w:val="Emphasis"/>
          <w:i w:val="0"/>
        </w:rPr>
        <w:t>–</w:t>
      </w:r>
      <w:r w:rsidRPr="003320E4">
        <w:rPr>
          <w:rStyle w:val="Emphasis"/>
          <w:i w:val="0"/>
        </w:rPr>
        <w:t xml:space="preserve"> </w:t>
      </w:r>
      <w:r w:rsidR="00483D3E" w:rsidRPr="003320E4">
        <w:rPr>
          <w:rStyle w:val="Emphasis"/>
          <w:i w:val="0"/>
        </w:rPr>
        <w:t>Seek to ensure that the system is as simple as possible</w:t>
      </w:r>
      <w:bookmarkEnd w:id="31"/>
      <w:bookmarkEnd w:id="32"/>
      <w:r w:rsidR="00483D3E" w:rsidRPr="003320E4">
        <w:rPr>
          <w:rStyle w:val="Emphasis"/>
          <w:i w:val="0"/>
        </w:rPr>
        <w:t xml:space="preserve"> </w:t>
      </w:r>
    </w:p>
    <w:p w14:paraId="3CCD804E" w14:textId="4247DD25" w:rsidR="006C268E" w:rsidRDefault="00AC0E98" w:rsidP="00D9511D">
      <w:pPr>
        <w:pStyle w:val="mpcbullets1"/>
      </w:pPr>
      <w:r>
        <w:t xml:space="preserve">It </w:t>
      </w:r>
      <w:r w:rsidR="00146ADB">
        <w:t xml:space="preserve">will </w:t>
      </w:r>
      <w:r w:rsidR="003F3880" w:rsidRPr="00B45E96">
        <w:t>be easier to achieve</w:t>
      </w:r>
      <w:r w:rsidR="00DB2863">
        <w:t xml:space="preserve"> maximal</w:t>
      </w:r>
      <w:r w:rsidR="00362699">
        <w:t xml:space="preserve"> uptake and compliance </w:t>
      </w:r>
      <w:r w:rsidR="003F3880" w:rsidRPr="00B45E96">
        <w:t xml:space="preserve">where </w:t>
      </w:r>
      <w:r w:rsidR="003F3880">
        <w:t>manufacturers ar</w:t>
      </w:r>
      <w:r w:rsidR="000D06D0">
        <w:t>e motivated to apply the system</w:t>
      </w:r>
      <w:r w:rsidR="003F3880" w:rsidRPr="00B45E96">
        <w:t xml:space="preserve"> </w:t>
      </w:r>
      <w:r w:rsidR="003F3880">
        <w:t xml:space="preserve">and </w:t>
      </w:r>
      <w:r w:rsidR="003F3880" w:rsidRPr="00B45E96">
        <w:t>can</w:t>
      </w:r>
      <w:r w:rsidR="003F3880">
        <w:t xml:space="preserve"> </w:t>
      </w:r>
      <w:r w:rsidR="00BD01DE">
        <w:t xml:space="preserve">readily </w:t>
      </w:r>
      <w:r w:rsidR="00BD01DE" w:rsidRPr="00B45E96">
        <w:t>understand</w:t>
      </w:r>
      <w:r w:rsidR="0050670C">
        <w:t xml:space="preserve"> </w:t>
      </w:r>
      <w:r w:rsidR="003F3880" w:rsidRPr="00B45E96">
        <w:t>the system</w:t>
      </w:r>
      <w:r w:rsidR="003F3880">
        <w:t>.</w:t>
      </w:r>
      <w:r w:rsidR="003F3880" w:rsidRPr="00B45E96">
        <w:t xml:space="preserve"> </w:t>
      </w:r>
      <w:r w:rsidR="00BD01DE">
        <w:t>Likewise,</w:t>
      </w:r>
      <w:r w:rsidR="00C77DB3">
        <w:t xml:space="preserve"> a simpler system </w:t>
      </w:r>
      <w:r w:rsidR="007807DC">
        <w:t xml:space="preserve">is </w:t>
      </w:r>
      <w:r w:rsidR="00C77DB3">
        <w:t xml:space="preserve">better for consumers and </w:t>
      </w:r>
      <w:r w:rsidR="00C05967">
        <w:t xml:space="preserve">nutrition </w:t>
      </w:r>
      <w:r w:rsidR="0065797C">
        <w:t>educators</w:t>
      </w:r>
      <w:r w:rsidR="00C05967">
        <w:t>.</w:t>
      </w:r>
    </w:p>
    <w:p w14:paraId="0C9B2067" w14:textId="77777777" w:rsidR="00CA552E" w:rsidRDefault="007807DC" w:rsidP="00D9511D">
      <w:pPr>
        <w:pStyle w:val="mpcbullets1"/>
      </w:pPr>
      <w:r w:rsidRPr="006C268E">
        <w:t>We will seek to avoid increasing complexity, and where possible will seek to simplify the system.</w:t>
      </w:r>
      <w:r w:rsidR="006C268E" w:rsidRPr="006C268E">
        <w:t xml:space="preserve"> </w:t>
      </w:r>
    </w:p>
    <w:p w14:paraId="79332453" w14:textId="3636D2B4" w:rsidR="007807DC" w:rsidRPr="006C268E" w:rsidRDefault="006C268E" w:rsidP="00D9511D">
      <w:pPr>
        <w:pStyle w:val="mpcbullets1"/>
      </w:pPr>
      <w:r w:rsidRPr="006C268E">
        <w:t>We will also be mindful of impacts, knock</w:t>
      </w:r>
      <w:r w:rsidR="00085115">
        <w:t xml:space="preserve"> </w:t>
      </w:r>
      <w:r w:rsidRPr="006C268E">
        <w:t>on effects and potential disr</w:t>
      </w:r>
      <w:r w:rsidR="00362699">
        <w:t xml:space="preserve">uptions across categories, </w:t>
      </w:r>
      <w:r w:rsidRPr="006C268E">
        <w:t>result</w:t>
      </w:r>
      <w:r w:rsidR="00362699">
        <w:t xml:space="preserve">ing from </w:t>
      </w:r>
      <w:r w:rsidRPr="006C268E">
        <w:t>any changes</w:t>
      </w:r>
      <w:r>
        <w:t>.</w:t>
      </w:r>
    </w:p>
    <w:p w14:paraId="022741EE" w14:textId="6F6DBCC3" w:rsidR="00623359" w:rsidRPr="003320E4" w:rsidRDefault="00C41D2B" w:rsidP="003320E4">
      <w:pPr>
        <w:pStyle w:val="mpcheading3"/>
        <w:rPr>
          <w:rStyle w:val="Emphasis"/>
          <w:i w:val="0"/>
        </w:rPr>
      </w:pPr>
      <w:bookmarkStart w:id="33" w:name="_Toc503802299"/>
      <w:bookmarkStart w:id="34" w:name="_Toc503804513"/>
      <w:r w:rsidRPr="003320E4">
        <w:rPr>
          <w:rStyle w:val="Emphasis"/>
          <w:i w:val="0"/>
        </w:rPr>
        <w:t>Prin</w:t>
      </w:r>
      <w:r w:rsidR="001F4DA9" w:rsidRPr="003320E4">
        <w:rPr>
          <w:rStyle w:val="Emphasis"/>
          <w:i w:val="0"/>
        </w:rPr>
        <w:t>ciple 7</w:t>
      </w:r>
      <w:r w:rsidRPr="003320E4">
        <w:rPr>
          <w:rStyle w:val="Emphasis"/>
          <w:i w:val="0"/>
        </w:rPr>
        <w:t xml:space="preserve"> </w:t>
      </w:r>
      <w:r w:rsidR="00BE132B" w:rsidRPr="003320E4">
        <w:rPr>
          <w:rStyle w:val="Emphasis"/>
          <w:i w:val="0"/>
        </w:rPr>
        <w:t>–</w:t>
      </w:r>
      <w:r w:rsidRPr="003320E4">
        <w:rPr>
          <w:rStyle w:val="Emphasis"/>
          <w:i w:val="0"/>
        </w:rPr>
        <w:t xml:space="preserve"> </w:t>
      </w:r>
      <w:r w:rsidR="00623359" w:rsidRPr="003320E4">
        <w:rPr>
          <w:rStyle w:val="Emphasis"/>
          <w:i w:val="0"/>
        </w:rPr>
        <w:t>Ensuring maximum discernment between like foods sold within the same category, and likely considered by consumers to be in the same category</w:t>
      </w:r>
      <w:bookmarkEnd w:id="33"/>
      <w:bookmarkEnd w:id="34"/>
    </w:p>
    <w:p w14:paraId="3C228936" w14:textId="59FBA729" w:rsidR="00D63270" w:rsidRDefault="00D63270" w:rsidP="00D9511D">
      <w:pPr>
        <w:pStyle w:val="mpcbullets1"/>
      </w:pPr>
      <w:r>
        <w:t>As noted previously,</w:t>
      </w:r>
      <w:r w:rsidR="00C05967">
        <w:t xml:space="preserve"> the</w:t>
      </w:r>
      <w:r>
        <w:t xml:space="preserve"> HSR is designed to enable comparison </w:t>
      </w:r>
      <w:r w:rsidR="000D06D0">
        <w:t>within</w:t>
      </w:r>
      <w:r w:rsidR="00DB2863">
        <w:t xml:space="preserve"> food</w:t>
      </w:r>
      <w:r>
        <w:t xml:space="preserve"> categories</w:t>
      </w:r>
      <w:r w:rsidR="00BD01DE">
        <w:t>.</w:t>
      </w:r>
    </w:p>
    <w:p w14:paraId="7926AF1E" w14:textId="2FC26A8D" w:rsidR="003B785F" w:rsidRPr="003B785F" w:rsidRDefault="00D63270" w:rsidP="00D9511D">
      <w:pPr>
        <w:pStyle w:val="mpcbullets1"/>
      </w:pPr>
      <w:r>
        <w:t xml:space="preserve">There are some foods that could be argued to fall in one or </w:t>
      </w:r>
      <w:r w:rsidR="00586CBE">
        <w:t xml:space="preserve">another </w:t>
      </w:r>
      <w:r>
        <w:t>category and th</w:t>
      </w:r>
      <w:r w:rsidR="001B4C98">
        <w:t>is</w:t>
      </w:r>
      <w:r>
        <w:t xml:space="preserve"> </w:t>
      </w:r>
      <w:r w:rsidR="005A37DE">
        <w:t>categorisation</w:t>
      </w:r>
      <w:r>
        <w:t xml:space="preserve"> may </w:t>
      </w:r>
      <w:r w:rsidR="00F81895">
        <w:t>affect</w:t>
      </w:r>
      <w:r>
        <w:t xml:space="preserve"> the</w:t>
      </w:r>
      <w:r w:rsidR="007807DC">
        <w:t xml:space="preserve"> HSR</w:t>
      </w:r>
      <w:r w:rsidR="00757CCA">
        <w:t xml:space="preserve">. </w:t>
      </w:r>
      <w:r w:rsidR="005A37DE">
        <w:t>In</w:t>
      </w:r>
      <w:r>
        <w:t xml:space="preserve"> </w:t>
      </w:r>
      <w:r w:rsidR="005A37DE">
        <w:t xml:space="preserve">considering </w:t>
      </w:r>
      <w:r>
        <w:t>how product</w:t>
      </w:r>
      <w:r w:rsidR="007807DC">
        <w:t>s</w:t>
      </w:r>
      <w:r>
        <w:t xml:space="preserve"> are</w:t>
      </w:r>
      <w:r w:rsidR="00146ADB">
        <w:t xml:space="preserve"> categorised</w:t>
      </w:r>
      <w:r w:rsidR="002C024D">
        <w:t>,</w:t>
      </w:r>
      <w:r w:rsidR="00146ADB">
        <w:t xml:space="preserve"> we will explore</w:t>
      </w:r>
      <w:r>
        <w:t xml:space="preserve"> how consumers </w:t>
      </w:r>
      <w:r w:rsidR="001B4C98">
        <w:t>compare</w:t>
      </w:r>
      <w:r w:rsidR="00141816">
        <w:t xml:space="preserve"> </w:t>
      </w:r>
      <w:r>
        <w:t xml:space="preserve">products </w:t>
      </w:r>
      <w:r w:rsidR="00141816">
        <w:t>when</w:t>
      </w:r>
      <w:r w:rsidR="00DB17D3">
        <w:t xml:space="preserve"> they </w:t>
      </w:r>
      <w:r>
        <w:t xml:space="preserve">shop. For </w:t>
      </w:r>
      <w:r w:rsidR="00BD01DE">
        <w:t>example,</w:t>
      </w:r>
      <w:r w:rsidR="00F81895">
        <w:t xml:space="preserve"> because it requires freezing</w:t>
      </w:r>
      <w:r w:rsidR="005A37DE">
        <w:t xml:space="preserve"> ice</w:t>
      </w:r>
      <w:r w:rsidR="00262565">
        <w:t xml:space="preserve"> cream </w:t>
      </w:r>
      <w:r w:rsidR="000234E7">
        <w:t xml:space="preserve">is </w:t>
      </w:r>
      <w:r w:rsidR="00262565">
        <w:t xml:space="preserve">generally displayed </w:t>
      </w:r>
      <w:r w:rsidR="005A37DE">
        <w:t xml:space="preserve">in </w:t>
      </w:r>
      <w:r w:rsidR="000234E7">
        <w:t>a different part</w:t>
      </w:r>
      <w:r w:rsidR="005A37DE">
        <w:t xml:space="preserve"> of the supermarket to dairy-based desserts and yog</w:t>
      </w:r>
      <w:r w:rsidR="00DA219B">
        <w:t>h</w:t>
      </w:r>
      <w:r w:rsidR="005A37DE">
        <w:t>urts (</w:t>
      </w:r>
      <w:r w:rsidR="00C05967">
        <w:t>which are</w:t>
      </w:r>
      <w:r w:rsidR="00DB17D3">
        <w:t xml:space="preserve"> </w:t>
      </w:r>
      <w:r w:rsidR="005A37DE">
        <w:t xml:space="preserve">often </w:t>
      </w:r>
      <w:r w:rsidR="00DB17D3">
        <w:t>displayed side-</w:t>
      </w:r>
      <w:r w:rsidR="005A37DE">
        <w:t>by</w:t>
      </w:r>
      <w:r w:rsidR="00DB17D3">
        <w:t>-</w:t>
      </w:r>
      <w:r w:rsidR="005A37DE">
        <w:t>side</w:t>
      </w:r>
      <w:r w:rsidR="00F81895">
        <w:t xml:space="preserve"> in the chilled cabinet</w:t>
      </w:r>
      <w:r w:rsidR="005A37DE">
        <w:t>).</w:t>
      </w:r>
      <w:r w:rsidR="00DB17D3">
        <w:t xml:space="preserve"> These considerations could influence </w:t>
      </w:r>
      <w:r w:rsidR="00262565">
        <w:t xml:space="preserve">how </w:t>
      </w:r>
      <w:r w:rsidR="00DB2863">
        <w:t>such products</w:t>
      </w:r>
      <w:r w:rsidR="00DB17D3">
        <w:t xml:space="preserve"> are best </w:t>
      </w:r>
      <w:r w:rsidR="00262565">
        <w:t xml:space="preserve">categorised </w:t>
      </w:r>
      <w:r w:rsidR="00586CBE">
        <w:t xml:space="preserve">(also noting </w:t>
      </w:r>
      <w:r w:rsidR="003B261F">
        <w:t xml:space="preserve">the </w:t>
      </w:r>
      <w:r w:rsidR="00586CBE">
        <w:t>relevance of other principles).</w:t>
      </w:r>
    </w:p>
    <w:p w14:paraId="7A496E2E" w14:textId="7EE1B601" w:rsidR="00593E2F" w:rsidRPr="003320E4" w:rsidRDefault="00C41D2B" w:rsidP="003320E4">
      <w:pPr>
        <w:pStyle w:val="mpcheading3"/>
        <w:rPr>
          <w:rStyle w:val="Emphasis"/>
          <w:i w:val="0"/>
        </w:rPr>
      </w:pPr>
      <w:bookmarkStart w:id="35" w:name="_Toc503802300"/>
      <w:bookmarkStart w:id="36" w:name="_Toc503804514"/>
      <w:r w:rsidRPr="003320E4">
        <w:rPr>
          <w:rStyle w:val="Emphasis"/>
          <w:i w:val="0"/>
        </w:rPr>
        <w:t xml:space="preserve">Principle </w:t>
      </w:r>
      <w:r w:rsidR="001F4DA9" w:rsidRPr="003320E4">
        <w:rPr>
          <w:rStyle w:val="Emphasis"/>
          <w:i w:val="0"/>
        </w:rPr>
        <w:t>8</w:t>
      </w:r>
      <w:r w:rsidRPr="003320E4">
        <w:rPr>
          <w:rStyle w:val="Emphasis"/>
          <w:i w:val="0"/>
        </w:rPr>
        <w:t xml:space="preserve"> </w:t>
      </w:r>
      <w:r w:rsidR="00BE132B" w:rsidRPr="003320E4">
        <w:rPr>
          <w:rStyle w:val="Emphasis"/>
          <w:i w:val="0"/>
        </w:rPr>
        <w:t>–</w:t>
      </w:r>
      <w:r w:rsidRPr="003320E4">
        <w:rPr>
          <w:rStyle w:val="Emphasis"/>
          <w:i w:val="0"/>
        </w:rPr>
        <w:t xml:space="preserve"> </w:t>
      </w:r>
      <w:r w:rsidR="00013A1B" w:rsidRPr="003320E4">
        <w:rPr>
          <w:rStyle w:val="Emphasis"/>
          <w:i w:val="0"/>
        </w:rPr>
        <w:t xml:space="preserve">Minimise </w:t>
      </w:r>
      <w:r w:rsidR="007807DC" w:rsidRPr="003320E4">
        <w:rPr>
          <w:rStyle w:val="Emphasis"/>
          <w:i w:val="0"/>
        </w:rPr>
        <w:t xml:space="preserve">irregularities </w:t>
      </w:r>
      <w:r w:rsidR="00013A1B" w:rsidRPr="003320E4">
        <w:rPr>
          <w:rStyle w:val="Emphasis"/>
          <w:i w:val="0"/>
        </w:rPr>
        <w:t>while acknowledging</w:t>
      </w:r>
      <w:r w:rsidR="00593E2F" w:rsidRPr="003320E4">
        <w:rPr>
          <w:rStyle w:val="Emphasis"/>
          <w:i w:val="0"/>
        </w:rPr>
        <w:t xml:space="preserve"> </w:t>
      </w:r>
      <w:r w:rsidR="00586CBE" w:rsidRPr="003320E4">
        <w:rPr>
          <w:rStyle w:val="Emphasis"/>
          <w:i w:val="0"/>
        </w:rPr>
        <w:t xml:space="preserve">that the </w:t>
      </w:r>
      <w:r w:rsidR="00013A1B" w:rsidRPr="003320E4">
        <w:rPr>
          <w:rStyle w:val="Emphasis"/>
          <w:i w:val="0"/>
        </w:rPr>
        <w:t>eliminat</w:t>
      </w:r>
      <w:r w:rsidR="00586CBE" w:rsidRPr="003320E4">
        <w:rPr>
          <w:rStyle w:val="Emphasis"/>
          <w:i w:val="0"/>
        </w:rPr>
        <w:t>ion of</w:t>
      </w:r>
      <w:r w:rsidR="00013A1B" w:rsidRPr="003320E4">
        <w:rPr>
          <w:rStyle w:val="Emphasis"/>
          <w:i w:val="0"/>
        </w:rPr>
        <w:t xml:space="preserve"> all </w:t>
      </w:r>
      <w:r w:rsidR="007807DC" w:rsidRPr="003320E4">
        <w:rPr>
          <w:rStyle w:val="Emphasis"/>
          <w:i w:val="0"/>
        </w:rPr>
        <w:t xml:space="preserve">irregularities </w:t>
      </w:r>
      <w:r w:rsidR="00586CBE" w:rsidRPr="003320E4">
        <w:rPr>
          <w:rStyle w:val="Emphasis"/>
          <w:i w:val="0"/>
        </w:rPr>
        <w:t>(</w:t>
      </w:r>
      <w:r w:rsidR="00593E2F" w:rsidRPr="003320E4">
        <w:rPr>
          <w:rStyle w:val="Emphasis"/>
          <w:i w:val="0"/>
        </w:rPr>
        <w:t xml:space="preserve">perceived </w:t>
      </w:r>
      <w:r w:rsidR="001768D4" w:rsidRPr="003320E4">
        <w:rPr>
          <w:rStyle w:val="Emphasis"/>
          <w:i w:val="0"/>
        </w:rPr>
        <w:t>or otherwise</w:t>
      </w:r>
      <w:r w:rsidR="00586CBE" w:rsidRPr="003320E4">
        <w:rPr>
          <w:rStyle w:val="Emphasis"/>
          <w:i w:val="0"/>
        </w:rPr>
        <w:t>)</w:t>
      </w:r>
      <w:r w:rsidR="00593E2F" w:rsidRPr="003320E4">
        <w:rPr>
          <w:rStyle w:val="Emphasis"/>
          <w:i w:val="0"/>
        </w:rPr>
        <w:t xml:space="preserve"> will </w:t>
      </w:r>
      <w:r w:rsidR="00013A1B" w:rsidRPr="003320E4">
        <w:rPr>
          <w:rStyle w:val="Emphasis"/>
          <w:i w:val="0"/>
        </w:rPr>
        <w:t>not be possible</w:t>
      </w:r>
      <w:bookmarkEnd w:id="35"/>
      <w:bookmarkEnd w:id="36"/>
      <w:r w:rsidR="00013A1B" w:rsidRPr="003320E4">
        <w:rPr>
          <w:rStyle w:val="Emphasis"/>
          <w:i w:val="0"/>
        </w:rPr>
        <w:t xml:space="preserve"> </w:t>
      </w:r>
    </w:p>
    <w:p w14:paraId="6CEE0666" w14:textId="48F36115" w:rsidR="00362699" w:rsidRDefault="00455432" w:rsidP="00362699">
      <w:pPr>
        <w:pStyle w:val="mpcbullets1"/>
        <w:numPr>
          <w:ilvl w:val="0"/>
          <w:numId w:val="6"/>
        </w:numPr>
        <w:spacing w:after="0"/>
        <w:ind w:left="357" w:hanging="357"/>
      </w:pPr>
      <w:r>
        <w:t>There</w:t>
      </w:r>
      <w:r w:rsidR="0002021C">
        <w:t xml:space="preserve"> are some foods that are </w:t>
      </w:r>
      <w:r>
        <w:t xml:space="preserve">more widely eaten and </w:t>
      </w:r>
      <w:r w:rsidR="0002021C">
        <w:t>contribute more to the overall diet</w:t>
      </w:r>
      <w:r w:rsidR="00B036A1">
        <w:t xml:space="preserve"> (and public health outcomes)</w:t>
      </w:r>
      <w:r>
        <w:t>, than other foods. There are also foods where</w:t>
      </w:r>
      <w:r w:rsidR="009D05B2">
        <w:t xml:space="preserve"> the</w:t>
      </w:r>
      <w:r>
        <w:t xml:space="preserve"> HSR is more likely to i</w:t>
      </w:r>
      <w:r w:rsidR="00DF7A5B">
        <w:t>nfluence</w:t>
      </w:r>
      <w:r>
        <w:t xml:space="preserve"> </w:t>
      </w:r>
      <w:r w:rsidR="00343985">
        <w:t>consumer behaviour</w:t>
      </w:r>
      <w:r w:rsidR="00D019A8">
        <w:t xml:space="preserve"> or</w:t>
      </w:r>
      <w:r w:rsidR="00CB6AF9">
        <w:t xml:space="preserve"> confidence (because of the profile of the product)</w:t>
      </w:r>
      <w:r w:rsidR="007220F4">
        <w:t xml:space="preserve"> and</w:t>
      </w:r>
      <w:r w:rsidR="00343985">
        <w:t xml:space="preserve"> industry behaviour </w:t>
      </w:r>
      <w:r w:rsidR="007220F4">
        <w:t>(in terms of reform</w:t>
      </w:r>
      <w:r w:rsidR="00362699">
        <w:t>ulation). One example is</w:t>
      </w:r>
      <w:r w:rsidR="00D019A8">
        <w:t xml:space="preserve"> breakfast cereal.</w:t>
      </w:r>
      <w:r w:rsidR="00A56E92">
        <w:t xml:space="preserve"> Other products are eaten by fewer consumers, have less impact </w:t>
      </w:r>
      <w:r w:rsidR="00772EDC">
        <w:t>o</w:t>
      </w:r>
      <w:r w:rsidR="00A56E92">
        <w:t>n the overall diet and are les</w:t>
      </w:r>
      <w:r w:rsidR="007C5AEA">
        <w:t>s</w:t>
      </w:r>
      <w:r w:rsidR="00A56E92">
        <w:t xml:space="preserve"> likely </w:t>
      </w:r>
      <w:r w:rsidR="00125D40">
        <w:t>to i</w:t>
      </w:r>
      <w:r w:rsidR="00DF7A5B">
        <w:t>nfluence</w:t>
      </w:r>
      <w:r w:rsidR="00125D40">
        <w:t xml:space="preserve"> consumer confidence (</w:t>
      </w:r>
      <w:r w:rsidR="00930295">
        <w:t>than, f</w:t>
      </w:r>
      <w:r w:rsidR="00125D40">
        <w:t>or example,</w:t>
      </w:r>
      <w:r w:rsidR="00FC3D74">
        <w:t xml:space="preserve"> certain condiments</w:t>
      </w:r>
      <w:r w:rsidR="00125D40">
        <w:t>)</w:t>
      </w:r>
      <w:r w:rsidR="00362699">
        <w:t>.</w:t>
      </w:r>
    </w:p>
    <w:p w14:paraId="6120B9EC" w14:textId="101F8690" w:rsidR="00362699" w:rsidRDefault="00362699" w:rsidP="00362699">
      <w:pPr>
        <w:pStyle w:val="mpcbullets1"/>
        <w:numPr>
          <w:ilvl w:val="0"/>
          <w:numId w:val="6"/>
        </w:numPr>
        <w:spacing w:after="0"/>
        <w:ind w:left="357" w:hanging="357"/>
      </w:pPr>
      <w:r>
        <w:t>In identifying any changes to the HSR, we will</w:t>
      </w:r>
      <w:r w:rsidR="00A702C9">
        <w:t xml:space="preserve"> target problems in areas of highest impact </w:t>
      </w:r>
      <w:r>
        <w:t xml:space="preserve">as a priority over </w:t>
      </w:r>
      <w:r w:rsidR="00A702C9">
        <w:t xml:space="preserve">system irregularities or issues in </w:t>
      </w:r>
      <w:r>
        <w:t>area</w:t>
      </w:r>
      <w:r w:rsidR="00A702C9">
        <w:t>s that have more limited impact</w:t>
      </w:r>
      <w:r>
        <w:t>.</w:t>
      </w:r>
    </w:p>
    <w:p w14:paraId="18AAB4EB" w14:textId="77777777" w:rsidR="00362699" w:rsidRDefault="00362699" w:rsidP="00362699">
      <w:pPr>
        <w:pStyle w:val="mpcbullets1"/>
        <w:numPr>
          <w:ilvl w:val="0"/>
          <w:numId w:val="0"/>
        </w:numPr>
        <w:spacing w:after="0"/>
        <w:ind w:left="357"/>
      </w:pPr>
    </w:p>
    <w:p w14:paraId="0D08ABAA" w14:textId="73AD36BB" w:rsidR="00C77DB3" w:rsidRPr="003320E4" w:rsidRDefault="00C41D2B" w:rsidP="003320E4">
      <w:pPr>
        <w:pStyle w:val="mpcheading3"/>
        <w:rPr>
          <w:rStyle w:val="Emphasis"/>
          <w:i w:val="0"/>
        </w:rPr>
      </w:pPr>
      <w:bookmarkStart w:id="37" w:name="_Toc503802301"/>
      <w:bookmarkStart w:id="38" w:name="_Toc503804515"/>
      <w:r w:rsidRPr="003320E4">
        <w:rPr>
          <w:rStyle w:val="Emphasis"/>
          <w:i w:val="0"/>
        </w:rPr>
        <w:lastRenderedPageBreak/>
        <w:t xml:space="preserve">Principle </w:t>
      </w:r>
      <w:r w:rsidR="001F4DA9" w:rsidRPr="003320E4">
        <w:rPr>
          <w:rStyle w:val="Emphasis"/>
          <w:i w:val="0"/>
        </w:rPr>
        <w:t xml:space="preserve">9 </w:t>
      </w:r>
      <w:r w:rsidR="00BE132B" w:rsidRPr="003320E4">
        <w:rPr>
          <w:rStyle w:val="Emphasis"/>
          <w:i w:val="0"/>
        </w:rPr>
        <w:t>–</w:t>
      </w:r>
      <w:r w:rsidRPr="003320E4">
        <w:rPr>
          <w:rStyle w:val="Emphasis"/>
          <w:i w:val="0"/>
        </w:rPr>
        <w:t xml:space="preserve"> </w:t>
      </w:r>
      <w:r w:rsidR="007917DE" w:rsidRPr="003320E4">
        <w:rPr>
          <w:rStyle w:val="Emphasis"/>
          <w:i w:val="0"/>
        </w:rPr>
        <w:t xml:space="preserve">Continue </w:t>
      </w:r>
      <w:r w:rsidR="004A0380" w:rsidRPr="003320E4">
        <w:rPr>
          <w:rStyle w:val="Emphasis"/>
          <w:i w:val="0"/>
        </w:rPr>
        <w:t>to</w:t>
      </w:r>
      <w:r w:rsidR="007917DE" w:rsidRPr="003320E4">
        <w:rPr>
          <w:rStyle w:val="Emphasis"/>
          <w:i w:val="0"/>
        </w:rPr>
        <w:t xml:space="preserve"> incentivise food manufacture</w:t>
      </w:r>
      <w:r w:rsidR="008029D8" w:rsidRPr="003320E4">
        <w:rPr>
          <w:rStyle w:val="Emphasis"/>
          <w:i w:val="0"/>
        </w:rPr>
        <w:t>r</w:t>
      </w:r>
      <w:r w:rsidR="007917DE" w:rsidRPr="003320E4">
        <w:rPr>
          <w:rStyle w:val="Emphasis"/>
          <w:i w:val="0"/>
        </w:rPr>
        <w:t>s to</w:t>
      </w:r>
      <w:r w:rsidR="00944B90" w:rsidRPr="003320E4">
        <w:rPr>
          <w:rStyle w:val="Emphasis"/>
          <w:i w:val="0"/>
        </w:rPr>
        <w:t xml:space="preserve"> </w:t>
      </w:r>
      <w:r w:rsidR="004A0380" w:rsidRPr="003320E4">
        <w:rPr>
          <w:rStyle w:val="Emphasis"/>
          <w:i w:val="0"/>
        </w:rPr>
        <w:t>decrease</w:t>
      </w:r>
      <w:r w:rsidR="00944B90" w:rsidRPr="003320E4">
        <w:rPr>
          <w:rStyle w:val="Emphasis"/>
          <w:i w:val="0"/>
        </w:rPr>
        <w:t xml:space="preserve"> risk-</w:t>
      </w:r>
      <w:r w:rsidR="007917DE" w:rsidRPr="003320E4">
        <w:rPr>
          <w:rStyle w:val="Emphasis"/>
          <w:i w:val="0"/>
        </w:rPr>
        <w:t>associated nutrients (fat, salt and sugar)</w:t>
      </w:r>
      <w:bookmarkEnd w:id="37"/>
      <w:bookmarkEnd w:id="38"/>
      <w:r w:rsidR="007917DE" w:rsidRPr="003320E4">
        <w:rPr>
          <w:rStyle w:val="Emphasis"/>
          <w:i w:val="0"/>
        </w:rPr>
        <w:t xml:space="preserve"> </w:t>
      </w:r>
    </w:p>
    <w:p w14:paraId="6112711B" w14:textId="3DF511EA" w:rsidR="00D41B1E" w:rsidRPr="00B15BFD" w:rsidRDefault="00DE2F5E" w:rsidP="00D9511D">
      <w:pPr>
        <w:pStyle w:val="mpcbullets1"/>
      </w:pPr>
      <w:r w:rsidRPr="00B15BFD">
        <w:t xml:space="preserve">In </w:t>
      </w:r>
      <w:r w:rsidR="00C77DB3" w:rsidRPr="00B15BFD">
        <w:t>considering change</w:t>
      </w:r>
      <w:r w:rsidR="009719F4" w:rsidRPr="00B15BFD">
        <w:t>s</w:t>
      </w:r>
      <w:r w:rsidR="005E4829">
        <w:t>,</w:t>
      </w:r>
      <w:r w:rsidR="00C77DB3" w:rsidRPr="00B15BFD">
        <w:t xml:space="preserve"> we will seek to </w:t>
      </w:r>
      <w:r w:rsidR="00362699">
        <w:t xml:space="preserve">identify options that </w:t>
      </w:r>
      <w:r w:rsidR="00C77DB3" w:rsidRPr="00B15BFD">
        <w:t>incentivise food manufacture</w:t>
      </w:r>
      <w:r w:rsidRPr="00B15BFD">
        <w:t>r</w:t>
      </w:r>
      <w:r w:rsidR="00C77DB3" w:rsidRPr="00B15BFD">
        <w:t xml:space="preserve">s to </w:t>
      </w:r>
      <w:r w:rsidR="004A0380" w:rsidRPr="00B15BFD">
        <w:t>decrease</w:t>
      </w:r>
      <w:r w:rsidR="0079210D">
        <w:t xml:space="preserve"> levels of</w:t>
      </w:r>
      <w:r w:rsidR="00C77DB3" w:rsidRPr="00B15BFD">
        <w:t xml:space="preserve"> risk-associated nutrients (</w:t>
      </w:r>
      <w:r w:rsidR="00CF6AB6">
        <w:t xml:space="preserve">saturated </w:t>
      </w:r>
      <w:r w:rsidR="00C77DB3" w:rsidRPr="00B15BFD">
        <w:t>fat, salt and sugar)</w:t>
      </w:r>
      <w:r w:rsidR="0079210D">
        <w:t xml:space="preserve"> in foods</w:t>
      </w:r>
      <w:r w:rsidR="00362699">
        <w:t>. W</w:t>
      </w:r>
      <w:r w:rsidR="00535F8B" w:rsidRPr="00B15BFD">
        <w:t xml:space="preserve">e will also explore the circumstances in </w:t>
      </w:r>
      <w:r w:rsidR="00535F8B" w:rsidRPr="00CF6AB6">
        <w:t>which</w:t>
      </w:r>
      <w:r w:rsidR="00C77DB3" w:rsidRPr="00CF6AB6">
        <w:t xml:space="preserve"> </w:t>
      </w:r>
      <w:r w:rsidR="00535F8B" w:rsidRPr="00CF6AB6">
        <w:t xml:space="preserve">it is appropriate to </w:t>
      </w:r>
      <w:r w:rsidR="00CF6AB6" w:rsidRPr="00CF6AB6">
        <w:t xml:space="preserve">incentivise the use of positive </w:t>
      </w:r>
      <w:r w:rsidR="00D41B1E" w:rsidRPr="00CF6AB6">
        <w:t>nutrients</w:t>
      </w:r>
      <w:r w:rsidR="00362699">
        <w:t>.</w:t>
      </w:r>
    </w:p>
    <w:p w14:paraId="75F6582F" w14:textId="5F093921" w:rsidR="007917DE" w:rsidRPr="00B15BFD" w:rsidRDefault="00D41B1E" w:rsidP="00D9511D">
      <w:pPr>
        <w:pStyle w:val="mpcbullets1"/>
      </w:pPr>
      <w:r w:rsidRPr="00B15BFD">
        <w:t xml:space="preserve">We will also seek to ascertain </w:t>
      </w:r>
      <w:r w:rsidR="00362699">
        <w:t xml:space="preserve">the extent </w:t>
      </w:r>
      <w:r w:rsidR="001A4C00" w:rsidRPr="00B15BFD">
        <w:t xml:space="preserve">of reformulation </w:t>
      </w:r>
      <w:r w:rsidR="00362699">
        <w:t>and test</w:t>
      </w:r>
      <w:r w:rsidR="001768D4" w:rsidRPr="00B15BFD">
        <w:t xml:space="preserve"> some of the concerns we hav</w:t>
      </w:r>
      <w:r w:rsidR="008029D8" w:rsidRPr="00B15BFD">
        <w:t xml:space="preserve">e heard </w:t>
      </w:r>
      <w:r w:rsidR="0050670C" w:rsidRPr="00B15BFD">
        <w:t xml:space="preserve">(including in relation to </w:t>
      </w:r>
      <w:r w:rsidR="00362699">
        <w:t xml:space="preserve">the addition of </w:t>
      </w:r>
      <w:r w:rsidR="008029D8" w:rsidRPr="00B15BFD">
        <w:t>protein</w:t>
      </w:r>
      <w:r w:rsidR="00454026">
        <w:t>, fibre</w:t>
      </w:r>
      <w:r w:rsidR="009A4566">
        <w:t>,</w:t>
      </w:r>
      <w:r w:rsidR="00454026">
        <w:t xml:space="preserve"> etc</w:t>
      </w:r>
      <w:r w:rsidR="009A4566">
        <w:t>.</w:t>
      </w:r>
      <w:r w:rsidR="008029D8" w:rsidRPr="00B15BFD">
        <w:t xml:space="preserve"> to certain </w:t>
      </w:r>
      <w:r w:rsidR="001768D4" w:rsidRPr="00B15BFD">
        <w:t>products)</w:t>
      </w:r>
      <w:r w:rsidR="00163F66" w:rsidRPr="00B15BFD">
        <w:t>.</w:t>
      </w:r>
    </w:p>
    <w:p w14:paraId="4ACD1ACA" w14:textId="231E9631" w:rsidR="00362699" w:rsidRDefault="002D6F7A" w:rsidP="00BD13C2">
      <w:pPr>
        <w:pStyle w:val="mpcNormal"/>
      </w:pPr>
      <w:r>
        <w:t xml:space="preserve">If, following the Review, the Forum agrees changes to the HSR rules and calculator, it is likely that some companies/products will </w:t>
      </w:r>
      <w:r w:rsidR="006F0212">
        <w:t>benefit (through</w:t>
      </w:r>
      <w:r w:rsidR="00B765CF" w:rsidRPr="0062725A">
        <w:t xml:space="preserve"> increased</w:t>
      </w:r>
      <w:r w:rsidR="006F0212">
        <w:t xml:space="preserve"> star ratings</w:t>
      </w:r>
      <w:r w:rsidR="00D85DA0">
        <w:t xml:space="preserve">) and </w:t>
      </w:r>
      <w:r w:rsidR="00362699">
        <w:t xml:space="preserve">some </w:t>
      </w:r>
      <w:r>
        <w:t xml:space="preserve">will be </w:t>
      </w:r>
      <w:r w:rsidR="00FE4F33" w:rsidRPr="0062725A">
        <w:t>adversely impacted (</w:t>
      </w:r>
      <w:r w:rsidR="006F0212">
        <w:t>decreased star ratings</w:t>
      </w:r>
      <w:r w:rsidR="00FE4F33" w:rsidRPr="0062725A">
        <w:t>)</w:t>
      </w:r>
      <w:r w:rsidR="006F0212">
        <w:t xml:space="preserve">. </w:t>
      </w:r>
    </w:p>
    <w:p w14:paraId="5E677BCD" w14:textId="7FE185FE" w:rsidR="00FE4F33" w:rsidRPr="0062725A" w:rsidRDefault="002D6F7A" w:rsidP="00BD13C2">
      <w:pPr>
        <w:pStyle w:val="mpcNormal"/>
      </w:pPr>
      <w:r>
        <w:t>The Review will also make recommendations regarding any necessary transitional arrangements</w:t>
      </w:r>
      <w:r w:rsidR="009A4566">
        <w:t>,</w:t>
      </w:r>
      <w:r>
        <w:t xml:space="preserve"> including those necessary </w:t>
      </w:r>
      <w:r w:rsidR="003A5EDE" w:rsidRPr="0062725A">
        <w:t>to minimise</w:t>
      </w:r>
      <w:r w:rsidR="005E4829">
        <w:t xml:space="preserve"> market distortions and</w:t>
      </w:r>
      <w:r w:rsidR="00B765CF" w:rsidRPr="0062725A">
        <w:t xml:space="preserve"> </w:t>
      </w:r>
      <w:r w:rsidR="003968A6" w:rsidRPr="0062725A">
        <w:t xml:space="preserve">consumer </w:t>
      </w:r>
      <w:r w:rsidR="003A5EDE" w:rsidRPr="0062725A">
        <w:t>confusion</w:t>
      </w:r>
      <w:r w:rsidR="0062725A">
        <w:t>.</w:t>
      </w:r>
      <w:r w:rsidR="00461107">
        <w:t xml:space="preserve"> </w:t>
      </w:r>
    </w:p>
    <w:p w14:paraId="40E68337" w14:textId="288BB642" w:rsidR="00873174" w:rsidRDefault="007D7C1E" w:rsidP="00BE132B">
      <w:pPr>
        <w:pStyle w:val="mpcheading2"/>
      </w:pPr>
      <w:bookmarkStart w:id="39" w:name="_Toc503880614"/>
      <w:r>
        <w:t xml:space="preserve">Process for </w:t>
      </w:r>
      <w:r w:rsidR="00B3647B">
        <w:t>examining these issues</w:t>
      </w:r>
      <w:bookmarkEnd w:id="39"/>
      <w:r w:rsidR="00B3647B">
        <w:t xml:space="preserve"> </w:t>
      </w:r>
    </w:p>
    <w:p w14:paraId="2BC0C254" w14:textId="35E51413" w:rsidR="00B92E15" w:rsidRDefault="0051467C" w:rsidP="00BE132B">
      <w:pPr>
        <w:pStyle w:val="mpcNormal"/>
      </w:pPr>
      <w:r>
        <w:t>We are c</w:t>
      </w:r>
      <w:r w:rsidR="00C402E6">
        <w:t>onscious that</w:t>
      </w:r>
      <w:r w:rsidR="00137597">
        <w:t xml:space="preserve"> the HSR</w:t>
      </w:r>
      <w:r w:rsidR="00C402E6">
        <w:t xml:space="preserve"> s</w:t>
      </w:r>
      <w:r>
        <w:t xml:space="preserve">ystem will </w:t>
      </w:r>
      <w:r w:rsidR="00C402E6">
        <w:t xml:space="preserve">not stand </w:t>
      </w:r>
      <w:r w:rsidR="00E01822">
        <w:t>still</w:t>
      </w:r>
      <w:r w:rsidR="00C402E6">
        <w:t xml:space="preserve"> for </w:t>
      </w:r>
      <w:r w:rsidR="00DC47D3">
        <w:t xml:space="preserve">the </w:t>
      </w:r>
      <w:r w:rsidR="00822CBA">
        <w:t>Review</w:t>
      </w:r>
      <w:r w:rsidR="005B0C06">
        <w:t>,</w:t>
      </w:r>
      <w:r w:rsidR="00C402E6">
        <w:t xml:space="preserve"> </w:t>
      </w:r>
      <w:r w:rsidR="00E01822">
        <w:t>and</w:t>
      </w:r>
      <w:r w:rsidR="00C402E6">
        <w:t xml:space="preserve"> </w:t>
      </w:r>
      <w:r w:rsidR="00822CBA">
        <w:t>that</w:t>
      </w:r>
      <w:r w:rsidR="00C402E6">
        <w:t xml:space="preserve"> issues will arise</w:t>
      </w:r>
      <w:r w:rsidR="008102E6">
        <w:t xml:space="preserve"> through the course of the Review</w:t>
      </w:r>
      <w:r w:rsidR="00C402E6">
        <w:t xml:space="preserve"> that will </w:t>
      </w:r>
      <w:r w:rsidR="00052F37">
        <w:t>require</w:t>
      </w:r>
      <w:r w:rsidR="00C402E6">
        <w:t xml:space="preserve"> advice from </w:t>
      </w:r>
      <w:r w:rsidR="001768D4">
        <w:t xml:space="preserve">the </w:t>
      </w:r>
      <w:r w:rsidR="00C402E6">
        <w:t xml:space="preserve">HSRAC </w:t>
      </w:r>
      <w:r>
        <w:t xml:space="preserve">(and consideration of technical issues by </w:t>
      </w:r>
      <w:r w:rsidR="001768D4">
        <w:t xml:space="preserve">the </w:t>
      </w:r>
      <w:r>
        <w:t>TAG)</w:t>
      </w:r>
      <w:r w:rsidR="00052F37">
        <w:t>.</w:t>
      </w:r>
      <w:r w:rsidR="00C402E6">
        <w:t xml:space="preserve"> For </w:t>
      </w:r>
      <w:r w:rsidR="00BD01DE">
        <w:t>example,</w:t>
      </w:r>
      <w:r w:rsidR="00C402E6">
        <w:t xml:space="preserve"> at any time a person can request adv</w:t>
      </w:r>
      <w:r w:rsidR="00DC47D3">
        <w:t xml:space="preserve">ice from </w:t>
      </w:r>
      <w:r w:rsidR="001768D4">
        <w:t xml:space="preserve">the </w:t>
      </w:r>
      <w:r w:rsidR="00DC47D3">
        <w:t xml:space="preserve">HSRAC </w:t>
      </w:r>
      <w:r w:rsidR="00B92E15">
        <w:t>(or</w:t>
      </w:r>
      <w:r w:rsidR="008102E6">
        <w:t xml:space="preserve"> seek</w:t>
      </w:r>
      <w:r w:rsidR="00B92E15">
        <w:t xml:space="preserve"> adjustments </w:t>
      </w:r>
      <w:r w:rsidR="003D619C">
        <w:t>to the system) in relation to a possible</w:t>
      </w:r>
      <w:r w:rsidR="00B92E15">
        <w:t xml:space="preserve"> an</w:t>
      </w:r>
      <w:r w:rsidR="003D619C">
        <w:t>omaly</w:t>
      </w:r>
      <w:r w:rsidR="008102E6">
        <w:t xml:space="preserve"> that</w:t>
      </w:r>
      <w:r w:rsidR="00B92E15">
        <w:t xml:space="preserve"> occurs when a star rating is </w:t>
      </w:r>
      <w:r w:rsidR="003D619C">
        <w:t xml:space="preserve">perceived to be </w:t>
      </w:r>
      <w:r w:rsidR="00B92E15">
        <w:t>inconsistent with the ADG</w:t>
      </w:r>
      <w:r w:rsidR="008102E6">
        <w:t xml:space="preserve"> or NZEAG</w:t>
      </w:r>
      <w:r w:rsidR="00B92E15">
        <w:t xml:space="preserve">, or </w:t>
      </w:r>
      <w:r w:rsidR="003D619C">
        <w:t>when a star rating may</w:t>
      </w:r>
      <w:r w:rsidR="003B261F">
        <w:t xml:space="preserve"> mislead consumers </w:t>
      </w:r>
      <w:r w:rsidR="00B92E15">
        <w:t xml:space="preserve">when used to </w:t>
      </w:r>
      <w:r w:rsidR="00B92E15" w:rsidRPr="00BE132B">
        <w:t>m</w:t>
      </w:r>
      <w:r w:rsidR="00B92E15">
        <w:t>ake co</w:t>
      </w:r>
      <w:r w:rsidR="00B92E15" w:rsidRPr="00BE132B">
        <w:t>m</w:t>
      </w:r>
      <w:r w:rsidR="00B92E15">
        <w:t xml:space="preserve">parisons within a </w:t>
      </w:r>
      <w:r w:rsidR="00B92E15" w:rsidRPr="00BE132B">
        <w:t>f</w:t>
      </w:r>
      <w:r w:rsidR="001768D4">
        <w:t>ood category</w:t>
      </w:r>
      <w:r w:rsidR="00B92E15">
        <w:t xml:space="preserve">. Decisions made by </w:t>
      </w:r>
      <w:r w:rsidR="001768D4">
        <w:t xml:space="preserve">the </w:t>
      </w:r>
      <w:r w:rsidR="00B92E15">
        <w:t>HSRAC in relation t</w:t>
      </w:r>
      <w:r w:rsidR="004D4B6E">
        <w:t xml:space="preserve">o anomalies may intersect with </w:t>
      </w:r>
      <w:r w:rsidR="00B92E15">
        <w:t>or impact recommendations arising from the Review.</w:t>
      </w:r>
    </w:p>
    <w:p w14:paraId="031DEDF0" w14:textId="45C9DBBE" w:rsidR="002D6F7A" w:rsidRDefault="00B92E15" w:rsidP="00BE132B">
      <w:pPr>
        <w:pStyle w:val="mpcNormal"/>
      </w:pPr>
      <w:r>
        <w:t>Likewise</w:t>
      </w:r>
      <w:r w:rsidR="0062725A">
        <w:t>,</w:t>
      </w:r>
      <w:r>
        <w:t xml:space="preserve"> th</w:t>
      </w:r>
      <w:r w:rsidR="00C402E6">
        <w:t>ere</w:t>
      </w:r>
      <w:r w:rsidR="00822CBA">
        <w:t xml:space="preserve"> are issue</w:t>
      </w:r>
      <w:r w:rsidR="00C402E6">
        <w:t>s</w:t>
      </w:r>
      <w:r w:rsidR="00822CBA">
        <w:t xml:space="preserve"> </w:t>
      </w:r>
      <w:r w:rsidR="00C402E6">
        <w:t xml:space="preserve">that </w:t>
      </w:r>
      <w:r w:rsidR="005322AD">
        <w:t>stakeholders</w:t>
      </w:r>
      <w:r w:rsidR="00C402E6">
        <w:t xml:space="preserve"> have urged</w:t>
      </w:r>
      <w:r w:rsidR="00CE3F15">
        <w:t xml:space="preserve"> the</w:t>
      </w:r>
      <w:r w:rsidR="00C402E6">
        <w:t xml:space="preserve"> HSRAC to resolve before the completion of the Review</w:t>
      </w:r>
      <w:r w:rsidR="00A22453">
        <w:t xml:space="preserve">, </w:t>
      </w:r>
      <w:r w:rsidR="00C402E6">
        <w:t xml:space="preserve">such as </w:t>
      </w:r>
      <w:r w:rsidR="001768D4">
        <w:t xml:space="preserve">the </w:t>
      </w:r>
      <w:r w:rsidR="00C402E6">
        <w:t xml:space="preserve">‘as </w:t>
      </w:r>
      <w:r w:rsidR="00E01822">
        <w:t>prepared’</w:t>
      </w:r>
      <w:r w:rsidR="00C402E6">
        <w:t xml:space="preserve"> </w:t>
      </w:r>
      <w:r w:rsidR="004B63D8">
        <w:t>i</w:t>
      </w:r>
      <w:r w:rsidR="0051467C">
        <w:t>ssue.</w:t>
      </w:r>
      <w:r w:rsidR="00D85DA0">
        <w:t xml:space="preserve"> </w:t>
      </w:r>
      <w:r w:rsidR="00822CBA">
        <w:t>These issu</w:t>
      </w:r>
      <w:r w:rsidR="0051467C">
        <w:t>es will continue to be managed</w:t>
      </w:r>
      <w:r w:rsidR="00822CBA">
        <w:t xml:space="preserve"> through the existing governance </w:t>
      </w:r>
      <w:r w:rsidR="005322AD">
        <w:t>arrangements and</w:t>
      </w:r>
      <w:r w:rsidR="002D6F7A">
        <w:t xml:space="preserve">, where appropriate, </w:t>
      </w:r>
      <w:r w:rsidR="00551891">
        <w:t xml:space="preserve">will be </w:t>
      </w:r>
      <w:r w:rsidR="002D6F7A">
        <w:t>considere</w:t>
      </w:r>
      <w:r w:rsidR="00067256">
        <w:t>d by the Forum in advance of it</w:t>
      </w:r>
      <w:r w:rsidR="002D6F7A">
        <w:t xml:space="preserve">s consideration of the Review recommendations. </w:t>
      </w:r>
    </w:p>
    <w:p w14:paraId="13BD6CC3" w14:textId="38CA591F" w:rsidR="004B63D8" w:rsidRDefault="002D6F7A" w:rsidP="00BE132B">
      <w:pPr>
        <w:pStyle w:val="mpcNormal"/>
      </w:pPr>
      <w:r>
        <w:t xml:space="preserve">Other issues relating to the HSR rules and calculator will be considered as part of the Review. </w:t>
      </w:r>
      <w:r w:rsidR="00C2501A">
        <w:t xml:space="preserve">In each case we will aim to clearly </w:t>
      </w:r>
      <w:r w:rsidR="00507AF5">
        <w:t>identif</w:t>
      </w:r>
      <w:r w:rsidR="00C2501A">
        <w:t xml:space="preserve">y </w:t>
      </w:r>
      <w:r w:rsidR="00507AF5">
        <w:t>the problem</w:t>
      </w:r>
      <w:r w:rsidR="0051467C">
        <w:t>,</w:t>
      </w:r>
      <w:r w:rsidR="00507AF5">
        <w:t xml:space="preserve"> </w:t>
      </w:r>
      <w:r w:rsidR="004766F1">
        <w:t>identify</w:t>
      </w:r>
      <w:r w:rsidR="00507AF5">
        <w:t xml:space="preserve"> possible</w:t>
      </w:r>
      <w:r w:rsidR="0051467C">
        <w:t xml:space="preserve"> options</w:t>
      </w:r>
      <w:r w:rsidR="000A0BEF">
        <w:t xml:space="preserve"> consistent with the principles of the Review</w:t>
      </w:r>
      <w:r w:rsidR="0051467C">
        <w:t xml:space="preserve"> and</w:t>
      </w:r>
      <w:r w:rsidR="004766F1">
        <w:t xml:space="preserve"> describe</w:t>
      </w:r>
      <w:r w:rsidR="00507AF5">
        <w:t xml:space="preserve"> the likely</w:t>
      </w:r>
      <w:r w:rsidR="0051467C">
        <w:t xml:space="preserve"> impacts</w:t>
      </w:r>
      <w:r w:rsidR="004766F1">
        <w:t xml:space="preserve"> of each option</w:t>
      </w:r>
      <w:r w:rsidR="00C2501A">
        <w:t xml:space="preserve">. This work will be informed by technical papers prepared by the TAG and the work of </w:t>
      </w:r>
      <w:r w:rsidR="00CE3F15">
        <w:t xml:space="preserve">the </w:t>
      </w:r>
      <w:r w:rsidR="00C2501A">
        <w:t>HSRAC</w:t>
      </w:r>
      <w:r w:rsidR="008102E6">
        <w:t>. C</w:t>
      </w:r>
      <w:r w:rsidR="004B63D8">
        <w:t>o</w:t>
      </w:r>
      <w:r w:rsidR="00C2501A">
        <w:t>nsultation papers will</w:t>
      </w:r>
      <w:r w:rsidR="004B63D8">
        <w:t xml:space="preserve"> </w:t>
      </w:r>
      <w:r w:rsidR="007B0A07">
        <w:t xml:space="preserve">be developed incorporating the </w:t>
      </w:r>
      <w:r w:rsidR="00C2501A">
        <w:t xml:space="preserve">technical advice and circulated for </w:t>
      </w:r>
      <w:r w:rsidR="004B63D8">
        <w:t xml:space="preserve">stakeholder </w:t>
      </w:r>
      <w:r w:rsidR="00D377EA">
        <w:t>feedback</w:t>
      </w:r>
      <w:r w:rsidR="004B63D8">
        <w:t xml:space="preserve">. </w:t>
      </w:r>
    </w:p>
    <w:p w14:paraId="116640E1" w14:textId="3AA8A4DE" w:rsidR="004B63D8" w:rsidRDefault="00FA1EDA" w:rsidP="00BE132B">
      <w:pPr>
        <w:pStyle w:val="mpcNormal"/>
      </w:pPr>
      <w:r>
        <w:t>T</w:t>
      </w:r>
      <w:r w:rsidR="00B92E15">
        <w:t>o streamline the consultation process and</w:t>
      </w:r>
      <w:r w:rsidR="008102E6">
        <w:t xml:space="preserve"> minimise demands</w:t>
      </w:r>
      <w:r w:rsidR="004B63D8">
        <w:t xml:space="preserve"> on stakeholder</w:t>
      </w:r>
      <w:r w:rsidR="00751226">
        <w:t>s</w:t>
      </w:r>
      <w:r w:rsidR="001768D4">
        <w:t>,</w:t>
      </w:r>
      <w:r w:rsidR="004B63D8">
        <w:t xml:space="preserve"> it is proposed that the issues (</w:t>
      </w:r>
      <w:r w:rsidR="00A14978">
        <w:t>particularly</w:t>
      </w:r>
      <w:r w:rsidR="004B63D8">
        <w:t xml:space="preserve"> </w:t>
      </w:r>
      <w:r w:rsidR="008102E6">
        <w:t>relating to</w:t>
      </w:r>
      <w:r w:rsidR="004B63D8">
        <w:t xml:space="preserve"> the </w:t>
      </w:r>
      <w:r w:rsidR="00C2501A">
        <w:t xml:space="preserve">HSR </w:t>
      </w:r>
      <w:r w:rsidR="004B63D8">
        <w:t>rules and</w:t>
      </w:r>
      <w:r w:rsidR="00B92E15">
        <w:t xml:space="preserve"> calculator) be canvassed in </w:t>
      </w:r>
      <w:r w:rsidR="001768D4">
        <w:t>d</w:t>
      </w:r>
      <w:r w:rsidR="00751226">
        <w:t>iscussion</w:t>
      </w:r>
      <w:r w:rsidR="001768D4">
        <w:t xml:space="preserve"> p</w:t>
      </w:r>
      <w:r w:rsidR="00D377EA">
        <w:t>apers</w:t>
      </w:r>
      <w:r w:rsidR="00B92E15">
        <w:t xml:space="preserve"> </w:t>
      </w:r>
      <w:r w:rsidR="00751226">
        <w:t xml:space="preserve">to be </w:t>
      </w:r>
      <w:r w:rsidR="002B574D">
        <w:t xml:space="preserve">released in </w:t>
      </w:r>
      <w:r w:rsidR="00CB7ABE">
        <w:t>May</w:t>
      </w:r>
      <w:r w:rsidR="002B574D">
        <w:t xml:space="preserve"> and Ju</w:t>
      </w:r>
      <w:r w:rsidR="00CB7ABE">
        <w:t>ly</w:t>
      </w:r>
      <w:r w:rsidR="002B574D">
        <w:t xml:space="preserve"> 2018 (noting that a discussion paper will also be released by </w:t>
      </w:r>
      <w:r w:rsidR="00CE3F15">
        <w:t xml:space="preserve">the </w:t>
      </w:r>
      <w:r w:rsidR="002B574D">
        <w:t>HSRAC in March relating to ‘as prepared’).</w:t>
      </w:r>
      <w:r w:rsidR="00B3647B">
        <w:t xml:space="preserve"> The consultation process is discussed in more detail in Chapter</w:t>
      </w:r>
      <w:r w:rsidR="00CE3F15">
        <w:t> </w:t>
      </w:r>
      <w:r w:rsidR="005C56B2">
        <w:t>7</w:t>
      </w:r>
      <w:r w:rsidR="00B3647B">
        <w:t>.</w:t>
      </w:r>
    </w:p>
    <w:p w14:paraId="4954065E" w14:textId="5D556A77" w:rsidR="00731C29" w:rsidRDefault="00731C29" w:rsidP="005F5D89">
      <w:pPr>
        <w:pStyle w:val="mpcNormal"/>
      </w:pPr>
      <w:r>
        <w:br w:type="page"/>
      </w:r>
    </w:p>
    <w:p w14:paraId="663743EF" w14:textId="2D8C7E4E" w:rsidR="00F311E8" w:rsidRDefault="00C43FC1" w:rsidP="00511098">
      <w:pPr>
        <w:pStyle w:val="mpcheading1"/>
      </w:pPr>
      <w:bookmarkStart w:id="40" w:name="_Toc503880615"/>
      <w:r>
        <w:lastRenderedPageBreak/>
        <w:t>Chapter 4 – K</w:t>
      </w:r>
      <w:r w:rsidR="00731C29">
        <w:t>ey</w:t>
      </w:r>
      <w:r w:rsidR="00511098">
        <w:t xml:space="preserve"> HSR system</w:t>
      </w:r>
      <w:r w:rsidR="00731C29">
        <w:t xml:space="preserve"> issues to be explored</w:t>
      </w:r>
      <w:bookmarkStart w:id="41" w:name="How_might_scoring_be_improved"/>
      <w:bookmarkEnd w:id="40"/>
      <w:bookmarkEnd w:id="41"/>
    </w:p>
    <w:p w14:paraId="33100230" w14:textId="2733A3C1" w:rsidR="00511098" w:rsidRDefault="00511098" w:rsidP="007D2F4D">
      <w:pPr>
        <w:pStyle w:val="mpcheading2"/>
      </w:pPr>
      <w:bookmarkStart w:id="42" w:name="_Toc503880616"/>
      <w:r>
        <w:t>Key concerns relating to HSR application and scoring</w:t>
      </w:r>
      <w:bookmarkEnd w:id="42"/>
    </w:p>
    <w:p w14:paraId="2F477C48" w14:textId="77777777" w:rsidR="003A1BB4" w:rsidRDefault="003A1BB4" w:rsidP="003A1BB4">
      <w:pPr>
        <w:pStyle w:val="mpcbullets1"/>
        <w:numPr>
          <w:ilvl w:val="0"/>
          <w:numId w:val="0"/>
        </w:numPr>
      </w:pPr>
      <w:r>
        <w:t>Stakeholders have raised a very wide range of issues with the calculator, the rules that support the calculator and the outcomes of the calculator for specific foods.</w:t>
      </w:r>
    </w:p>
    <w:p w14:paraId="031DF4DD" w14:textId="77777777" w:rsidR="003A1BB4" w:rsidRDefault="003A1BB4" w:rsidP="00511098">
      <w:pPr>
        <w:pStyle w:val="mpcbullets1"/>
        <w:numPr>
          <w:ilvl w:val="0"/>
          <w:numId w:val="0"/>
        </w:numPr>
      </w:pPr>
    </w:p>
    <w:p w14:paraId="3022F79D" w14:textId="77777777" w:rsidR="00511098" w:rsidRDefault="00511098" w:rsidP="00511098">
      <w:pPr>
        <w:pStyle w:val="mpcbullets1"/>
        <w:numPr>
          <w:ilvl w:val="0"/>
          <w:numId w:val="0"/>
        </w:numPr>
      </w:pPr>
      <w:r>
        <w:t xml:space="preserve">Using the structure of the existing calculator as our guide, we have grouped the main concerns relating to the rules and the calculator into the following categories: </w:t>
      </w:r>
    </w:p>
    <w:p w14:paraId="48820D30" w14:textId="77777777" w:rsidR="00511098" w:rsidRDefault="00511098" w:rsidP="00511098">
      <w:pPr>
        <w:pStyle w:val="mpcbullets1"/>
        <w:numPr>
          <w:ilvl w:val="0"/>
          <w:numId w:val="0"/>
        </w:numPr>
      </w:pPr>
    </w:p>
    <w:p w14:paraId="4040CB65" w14:textId="77777777" w:rsidR="00511098" w:rsidRDefault="00511098" w:rsidP="00511098">
      <w:pPr>
        <w:pStyle w:val="mpcbullets1"/>
        <w:numPr>
          <w:ilvl w:val="0"/>
          <w:numId w:val="25"/>
        </w:numPr>
        <w:ind w:left="360"/>
      </w:pPr>
      <w:r>
        <w:t>Concerns about the general focus and scope of the HSR. The main issues raised in this regard are:</w:t>
      </w:r>
    </w:p>
    <w:p w14:paraId="10C7BD2F" w14:textId="77777777" w:rsidR="00511098" w:rsidRDefault="00511098" w:rsidP="00004C64">
      <w:pPr>
        <w:pStyle w:val="mpcbullets1"/>
        <w:numPr>
          <w:ilvl w:val="0"/>
          <w:numId w:val="28"/>
        </w:numPr>
      </w:pPr>
      <w:r>
        <w:t xml:space="preserve">Whether the HSR should more strongly orient around whether the food is core or discretionary </w:t>
      </w:r>
    </w:p>
    <w:p w14:paraId="59B15F3B" w14:textId="63356F51" w:rsidR="00511098" w:rsidRDefault="00511098" w:rsidP="00004C64">
      <w:pPr>
        <w:pStyle w:val="mpcbullets1"/>
        <w:numPr>
          <w:ilvl w:val="0"/>
          <w:numId w:val="28"/>
        </w:numPr>
      </w:pPr>
      <w:r>
        <w:t xml:space="preserve">Whether the HSR should extend to </w:t>
      </w:r>
      <w:r w:rsidR="00921800">
        <w:t xml:space="preserve">packaged </w:t>
      </w:r>
      <w:r>
        <w:t>fresh fruit and vegetables</w:t>
      </w:r>
    </w:p>
    <w:p w14:paraId="049F4C41" w14:textId="77777777" w:rsidR="00511098" w:rsidRDefault="00511098" w:rsidP="00511098">
      <w:pPr>
        <w:pStyle w:val="mpcbullets1"/>
        <w:numPr>
          <w:ilvl w:val="0"/>
          <w:numId w:val="0"/>
        </w:numPr>
        <w:ind w:left="1080"/>
      </w:pPr>
    </w:p>
    <w:p w14:paraId="6E3D09B7" w14:textId="77777777" w:rsidR="00511098" w:rsidRDefault="00511098" w:rsidP="00511098">
      <w:pPr>
        <w:pStyle w:val="mpcbullets1"/>
        <w:numPr>
          <w:ilvl w:val="0"/>
          <w:numId w:val="25"/>
        </w:numPr>
        <w:ind w:left="360"/>
      </w:pPr>
      <w:r>
        <w:t>Concerns relating to the categorisation of foods or a specific category of food (Step 1 of the calculator). The main issues raised in this regard relate to:</w:t>
      </w:r>
    </w:p>
    <w:p w14:paraId="36AAA2D9" w14:textId="77777777" w:rsidR="00511098" w:rsidRDefault="00511098" w:rsidP="00004C64">
      <w:pPr>
        <w:pStyle w:val="mpcbullets1"/>
        <w:numPr>
          <w:ilvl w:val="0"/>
          <w:numId w:val="29"/>
        </w:numPr>
      </w:pPr>
      <w:r>
        <w:t>Dairy foods (Categories 1D, 2D and 3D) (with the main concern being that the HSR scores some dairy food too low)</w:t>
      </w:r>
    </w:p>
    <w:p w14:paraId="4B3631ED" w14:textId="77777777" w:rsidR="00511098" w:rsidRDefault="00511098" w:rsidP="00004C64">
      <w:pPr>
        <w:pStyle w:val="mpcbullets1"/>
        <w:numPr>
          <w:ilvl w:val="0"/>
          <w:numId w:val="29"/>
        </w:numPr>
      </w:pPr>
      <w:r>
        <w:t>Oils and spreads (with the main concern being some core oils and spreads are scored too low)</w:t>
      </w:r>
    </w:p>
    <w:p w14:paraId="79263BCB" w14:textId="77777777" w:rsidR="00511098" w:rsidRDefault="00511098" w:rsidP="00511098">
      <w:pPr>
        <w:pStyle w:val="mpcbullets1"/>
        <w:numPr>
          <w:ilvl w:val="0"/>
          <w:numId w:val="0"/>
        </w:numPr>
        <w:ind w:hanging="360"/>
      </w:pPr>
    </w:p>
    <w:p w14:paraId="4AD0CDC3" w14:textId="77777777" w:rsidR="00511098" w:rsidRDefault="00511098" w:rsidP="00511098">
      <w:pPr>
        <w:pStyle w:val="mpcbullets1"/>
        <w:numPr>
          <w:ilvl w:val="0"/>
          <w:numId w:val="25"/>
        </w:numPr>
        <w:ind w:left="360"/>
      </w:pPr>
      <w:r>
        <w:t>Concerns about the form of the food for the HSR (Step 2 of the calculator). The main issue is:</w:t>
      </w:r>
    </w:p>
    <w:p w14:paraId="477284C9" w14:textId="77777777" w:rsidR="00511098" w:rsidRDefault="00511098" w:rsidP="00004C64">
      <w:pPr>
        <w:pStyle w:val="mpcbullets1"/>
        <w:numPr>
          <w:ilvl w:val="0"/>
          <w:numId w:val="30"/>
        </w:numPr>
      </w:pPr>
      <w:r>
        <w:t xml:space="preserve">The treatment of ‘as prepared’ foods </w:t>
      </w:r>
    </w:p>
    <w:p w14:paraId="0F5CEFC9" w14:textId="77777777" w:rsidR="00511098" w:rsidRDefault="00511098" w:rsidP="00511098">
      <w:pPr>
        <w:pStyle w:val="mpcbullets1"/>
        <w:numPr>
          <w:ilvl w:val="0"/>
          <w:numId w:val="0"/>
        </w:numPr>
        <w:ind w:left="1080"/>
      </w:pPr>
    </w:p>
    <w:p w14:paraId="7B67A08C" w14:textId="77777777" w:rsidR="00511098" w:rsidRDefault="00511098" w:rsidP="00511098">
      <w:pPr>
        <w:pStyle w:val="mpcbullets1"/>
        <w:numPr>
          <w:ilvl w:val="0"/>
          <w:numId w:val="25"/>
        </w:numPr>
        <w:ind w:left="360"/>
      </w:pPr>
      <w:r>
        <w:t>Concerns relating to the risk-associated (negative) nutrients considered in the calculator (to generate basepoints) (Step 3 of the calculator). The main issue is:</w:t>
      </w:r>
    </w:p>
    <w:p w14:paraId="51871358" w14:textId="77777777" w:rsidR="00511098" w:rsidRDefault="00511098" w:rsidP="00004C64">
      <w:pPr>
        <w:pStyle w:val="mpcbullets1"/>
        <w:numPr>
          <w:ilvl w:val="0"/>
          <w:numId w:val="31"/>
        </w:numPr>
      </w:pPr>
      <w:r>
        <w:t>Whether the HSR appropriately deals with sugar (and whether the HSR should reflect added sugar)</w:t>
      </w:r>
    </w:p>
    <w:p w14:paraId="45FDF3CE" w14:textId="77777777" w:rsidR="00511098" w:rsidRDefault="00511098" w:rsidP="00511098">
      <w:pPr>
        <w:pStyle w:val="mpcbullets1"/>
        <w:numPr>
          <w:ilvl w:val="0"/>
          <w:numId w:val="0"/>
        </w:numPr>
        <w:ind w:hanging="360"/>
      </w:pPr>
    </w:p>
    <w:p w14:paraId="3A7F01B3" w14:textId="77777777" w:rsidR="00511098" w:rsidRDefault="00511098" w:rsidP="00511098">
      <w:pPr>
        <w:pStyle w:val="mpcbullets1"/>
        <w:numPr>
          <w:ilvl w:val="0"/>
          <w:numId w:val="25"/>
        </w:numPr>
        <w:ind w:left="360"/>
      </w:pPr>
      <w:r>
        <w:t>Concerns about the positive foods or nutrients influencing modifying points (Step 4 of the calculator). The main issues are:</w:t>
      </w:r>
    </w:p>
    <w:p w14:paraId="3570FE07" w14:textId="77777777" w:rsidR="00511098" w:rsidRDefault="00511098" w:rsidP="00004C64">
      <w:pPr>
        <w:pStyle w:val="mpcbullets1"/>
        <w:numPr>
          <w:ilvl w:val="0"/>
          <w:numId w:val="32"/>
        </w:numPr>
      </w:pPr>
      <w:r>
        <w:t>Whether wholegrains should be added as a modifying factor</w:t>
      </w:r>
    </w:p>
    <w:p w14:paraId="4ACE2FC1" w14:textId="77777777" w:rsidR="00511098" w:rsidRDefault="00511098" w:rsidP="00004C64">
      <w:pPr>
        <w:pStyle w:val="mpcbullets1"/>
        <w:numPr>
          <w:ilvl w:val="0"/>
          <w:numId w:val="32"/>
        </w:numPr>
      </w:pPr>
      <w:r>
        <w:t xml:space="preserve">Whether protein should be removed as a modifying factor </w:t>
      </w:r>
    </w:p>
    <w:p w14:paraId="630AD774" w14:textId="77777777" w:rsidR="00511098" w:rsidRDefault="00511098" w:rsidP="00511098">
      <w:pPr>
        <w:pStyle w:val="mpcbullets1"/>
        <w:numPr>
          <w:ilvl w:val="0"/>
          <w:numId w:val="0"/>
        </w:numPr>
        <w:ind w:left="1080"/>
      </w:pPr>
    </w:p>
    <w:p w14:paraId="31F85CE6" w14:textId="77777777" w:rsidR="00511098" w:rsidRDefault="00511098" w:rsidP="00511098">
      <w:pPr>
        <w:pStyle w:val="mpcbullets1"/>
        <w:numPr>
          <w:ilvl w:val="0"/>
          <w:numId w:val="25"/>
        </w:numPr>
        <w:ind w:left="360"/>
      </w:pPr>
      <w:r>
        <w:t>Concerns about the outcome of the calculator for specific foods, including:</w:t>
      </w:r>
    </w:p>
    <w:p w14:paraId="2010C2A4" w14:textId="77777777" w:rsidR="00511098" w:rsidRDefault="00511098" w:rsidP="00004C64">
      <w:pPr>
        <w:pStyle w:val="mpcbullets1"/>
        <w:numPr>
          <w:ilvl w:val="0"/>
          <w:numId w:val="33"/>
        </w:numPr>
      </w:pPr>
      <w:r>
        <w:t>Fruit juices (concern that juices should not score as highly as the fruit from which they are derived)</w:t>
      </w:r>
    </w:p>
    <w:p w14:paraId="120FD4D9" w14:textId="65E3AFC5" w:rsidR="003127EF" w:rsidRDefault="00731C29" w:rsidP="00BD13C2">
      <w:pPr>
        <w:pStyle w:val="mpcNormal"/>
      </w:pPr>
      <w:r w:rsidRPr="00E01822">
        <w:t xml:space="preserve">This </w:t>
      </w:r>
      <w:r w:rsidR="00824E51">
        <w:t>C</w:t>
      </w:r>
      <w:r w:rsidR="00495541">
        <w:t>hapter</w:t>
      </w:r>
      <w:r w:rsidR="003127EF">
        <w:t xml:space="preserve"> </w:t>
      </w:r>
      <w:r w:rsidRPr="00E01822">
        <w:t xml:space="preserve">provides </w:t>
      </w:r>
      <w:r w:rsidR="000C620E">
        <w:t xml:space="preserve">further information about each of the issues </w:t>
      </w:r>
      <w:r w:rsidR="002F0F47">
        <w:t>and</w:t>
      </w:r>
      <w:r w:rsidR="000C620E">
        <w:t xml:space="preserve"> </w:t>
      </w:r>
      <w:r w:rsidRPr="00E01822">
        <w:t xml:space="preserve">some of the </w:t>
      </w:r>
      <w:r w:rsidR="000C620E">
        <w:t xml:space="preserve">options being </w:t>
      </w:r>
      <w:r w:rsidR="002F0F47">
        <w:t>considered. It also</w:t>
      </w:r>
      <w:r w:rsidR="000C620E">
        <w:t xml:space="preserve"> identifies some of </w:t>
      </w:r>
      <w:r w:rsidRPr="00E01822">
        <w:t>the complexit</w:t>
      </w:r>
      <w:r>
        <w:t xml:space="preserve">ies and challenges posed. It is </w:t>
      </w:r>
      <w:r w:rsidRPr="00E01822">
        <w:t>not intended to be a comp</w:t>
      </w:r>
      <w:r w:rsidR="009719F4">
        <w:t>l</w:t>
      </w:r>
      <w:r w:rsidRPr="00E01822">
        <w:t xml:space="preserve">ete description of all issues under consideration </w:t>
      </w:r>
      <w:r>
        <w:t>n</w:t>
      </w:r>
      <w:r w:rsidRPr="00E01822">
        <w:t xml:space="preserve">or </w:t>
      </w:r>
      <w:r>
        <w:t xml:space="preserve">a description </w:t>
      </w:r>
      <w:r w:rsidRPr="00E01822">
        <w:t xml:space="preserve">of all possible options or impacts in relation to </w:t>
      </w:r>
      <w:r>
        <w:t xml:space="preserve">issues. Rather, this </w:t>
      </w:r>
      <w:r w:rsidR="00B3647B">
        <w:t>Chapter</w:t>
      </w:r>
      <w:r>
        <w:t xml:space="preserve"> provides an insight into some of the issues being considered by </w:t>
      </w:r>
      <w:r w:rsidR="006B3B79">
        <w:t xml:space="preserve">the </w:t>
      </w:r>
      <w:r>
        <w:t xml:space="preserve">TAG, </w:t>
      </w:r>
      <w:r w:rsidR="006B3B79">
        <w:t xml:space="preserve">the </w:t>
      </w:r>
      <w:r>
        <w:t xml:space="preserve">HSRAC and mpconsulting when developing </w:t>
      </w:r>
      <w:r w:rsidR="000C620E">
        <w:t>papers for further consultation</w:t>
      </w:r>
      <w:r w:rsidR="002F0F47">
        <w:t>.</w:t>
      </w:r>
    </w:p>
    <w:p w14:paraId="1DC90A4B" w14:textId="77777777" w:rsidR="00FC54C7" w:rsidRDefault="00FC54C7" w:rsidP="00FC54C7">
      <w:pPr>
        <w:pStyle w:val="mpcbullets1"/>
        <w:numPr>
          <w:ilvl w:val="0"/>
          <w:numId w:val="0"/>
        </w:numPr>
      </w:pPr>
      <w:r>
        <w:lastRenderedPageBreak/>
        <w:t>While these were the main issues raised by stakeholders, other suggestions were made about how the algorithm could better align with the ADG and NZEAG or more appropriately calculate the HSR for a particular food or sub-category of food. For example, suggestions were made in relation to the treatment of salt, formulated supplementary foods, certain biscuits and unprocessed fruit.</w:t>
      </w:r>
    </w:p>
    <w:p w14:paraId="449C8E87" w14:textId="77777777" w:rsidR="00FC54C7" w:rsidRDefault="00FC54C7" w:rsidP="00FC54C7">
      <w:pPr>
        <w:pStyle w:val="mpcbullets1"/>
        <w:numPr>
          <w:ilvl w:val="0"/>
          <w:numId w:val="0"/>
        </w:numPr>
        <w:ind w:left="360" w:hanging="360"/>
      </w:pPr>
    </w:p>
    <w:p w14:paraId="45149C1F" w14:textId="77777777" w:rsidR="00FC54C7" w:rsidRDefault="00FC54C7" w:rsidP="00FC54C7">
      <w:pPr>
        <w:pStyle w:val="mpcbullets1"/>
        <w:numPr>
          <w:ilvl w:val="0"/>
          <w:numId w:val="0"/>
        </w:numPr>
      </w:pPr>
      <w:r>
        <w:t>A major focus of the Review as it relates to the HSR calculator will be: clearly articulating the problem (if any) underpinning the concerns expressed by stakeholders; identifying the extent of any of the problems; assessing the evidence provided that supports concerns raised; and identifying the options for addressing any problems (including changes to the rules and to the algorithm that give rise to the star rating for a food, within a category).</w:t>
      </w:r>
    </w:p>
    <w:p w14:paraId="4FE6A3A9" w14:textId="77777777" w:rsidR="00FC54C7" w:rsidRDefault="00FC54C7" w:rsidP="00FC54C7">
      <w:pPr>
        <w:pStyle w:val="mpcNormal"/>
      </w:pPr>
      <w:r>
        <w:t>As is evidenced by the case studies below, the issues raised by stakeholders are complex and require proper consideration of a wide range of issues, informed by relevant evidence and by application of the principles described in Chapter 3. It is, however, recognised that:</w:t>
      </w:r>
    </w:p>
    <w:p w14:paraId="5E2179E3" w14:textId="77777777" w:rsidR="00FC54C7" w:rsidRDefault="00FC54C7" w:rsidP="00D9511D">
      <w:pPr>
        <w:pStyle w:val="mpcbullets1"/>
      </w:pPr>
      <w:r>
        <w:t>for some changes, the evidence may not be strong or will be conflicting</w:t>
      </w:r>
    </w:p>
    <w:p w14:paraId="454DDE18" w14:textId="77777777" w:rsidR="00FC54C7" w:rsidRDefault="00FC54C7" w:rsidP="00D9511D">
      <w:pPr>
        <w:pStyle w:val="mpcbullets1"/>
      </w:pPr>
      <w:r>
        <w:t>in many cases a balancing of principles will be required, and</w:t>
      </w:r>
    </w:p>
    <w:p w14:paraId="735BA4AA" w14:textId="6B58D9BB" w:rsidR="00FC54C7" w:rsidRPr="008C2FC5" w:rsidRDefault="00FC54C7" w:rsidP="00D9511D">
      <w:pPr>
        <w:pStyle w:val="mpcbullets1"/>
      </w:pPr>
      <w:r>
        <w:t>compromises may need to be made to achieve the best outcomes.</w:t>
      </w:r>
    </w:p>
    <w:p w14:paraId="74787959" w14:textId="0C7CFD41" w:rsidR="006C268E" w:rsidRDefault="006C268E" w:rsidP="008C2FC5">
      <w:pPr>
        <w:pStyle w:val="mpcheading2"/>
        <w:spacing w:after="0"/>
      </w:pPr>
      <w:bookmarkStart w:id="43" w:name="_Toc503880617"/>
      <w:r>
        <w:t>Concerns about the general focus and scope of the HSR</w:t>
      </w:r>
      <w:r w:rsidR="00023334">
        <w:t xml:space="preserve"> system</w:t>
      </w:r>
      <w:bookmarkEnd w:id="43"/>
      <w:r>
        <w:t xml:space="preserve"> </w:t>
      </w:r>
    </w:p>
    <w:p w14:paraId="4CD435F4" w14:textId="77777777" w:rsidR="006C268E" w:rsidRDefault="006C268E" w:rsidP="008C2FC5">
      <w:pPr>
        <w:pStyle w:val="mpcNormal"/>
        <w:spacing w:after="0"/>
      </w:pPr>
    </w:p>
    <w:p w14:paraId="22BA574D" w14:textId="14899FAC" w:rsidR="006C268E" w:rsidRDefault="00C97B3D" w:rsidP="003320E4">
      <w:pPr>
        <w:pStyle w:val="mpcheading3"/>
      </w:pPr>
      <w:bookmarkStart w:id="44" w:name="_Toc503802306"/>
      <w:bookmarkStart w:id="45" w:name="_Toc503804520"/>
      <w:r>
        <w:t>Scope of the</w:t>
      </w:r>
      <w:r w:rsidR="006C268E">
        <w:t xml:space="preserve"> HSR</w:t>
      </w:r>
      <w:r w:rsidR="001D0299">
        <w:t xml:space="preserve"> system</w:t>
      </w:r>
      <w:bookmarkEnd w:id="44"/>
      <w:bookmarkEnd w:id="45"/>
      <w:r w:rsidR="006C268E">
        <w:t xml:space="preserve"> </w:t>
      </w:r>
    </w:p>
    <w:p w14:paraId="6A3CF095" w14:textId="77777777" w:rsidR="00B57096" w:rsidRDefault="006F2E3F" w:rsidP="00E6779E">
      <w:pPr>
        <w:pStyle w:val="mpcNormal"/>
      </w:pPr>
      <w:r>
        <w:t>Various comments have been made regarding the scope of the HSR system and the relat</w:t>
      </w:r>
      <w:r w:rsidR="005C4638">
        <w:t xml:space="preserve">ive merits of having it apply to </w:t>
      </w:r>
      <w:r w:rsidR="00803082">
        <w:t>packaged</w:t>
      </w:r>
      <w:r>
        <w:t xml:space="preserve"> </w:t>
      </w:r>
      <w:r w:rsidR="005C4638">
        <w:t xml:space="preserve">fresh </w:t>
      </w:r>
      <w:r>
        <w:t>food</w:t>
      </w:r>
      <w:r w:rsidR="005C4638">
        <w:t xml:space="preserve">, </w:t>
      </w:r>
      <w:r w:rsidR="008446F5">
        <w:t>particularly</w:t>
      </w:r>
      <w:r w:rsidR="005C4638">
        <w:t xml:space="preserve"> packaged fresh fruit and</w:t>
      </w:r>
      <w:r w:rsidR="00294395">
        <w:t xml:space="preserve"> vegetables. </w:t>
      </w:r>
    </w:p>
    <w:p w14:paraId="7A85629D" w14:textId="3EE67186" w:rsidR="0070526E" w:rsidRDefault="00294395" w:rsidP="00E6779E">
      <w:pPr>
        <w:pStyle w:val="mpcNormal"/>
      </w:pPr>
      <w:r>
        <w:t>F</w:t>
      </w:r>
      <w:r w:rsidR="00BE0D41">
        <w:t>or example, s</w:t>
      </w:r>
      <w:r w:rsidR="00D62D36">
        <w:t>ome</w:t>
      </w:r>
      <w:r w:rsidR="001D0299">
        <w:t xml:space="preserve"> stakeholders </w:t>
      </w:r>
      <w:r w:rsidR="005C4638">
        <w:t xml:space="preserve">suggest </w:t>
      </w:r>
      <w:r w:rsidR="001D0299">
        <w:t>that the lack of star</w:t>
      </w:r>
      <w:r w:rsidR="00206EE7">
        <w:t>s</w:t>
      </w:r>
      <w:r w:rsidR="001D0299">
        <w:t xml:space="preserve"> on </w:t>
      </w:r>
      <w:r w:rsidR="005C4638">
        <w:t xml:space="preserve">packaged </w:t>
      </w:r>
      <w:r w:rsidR="001D0299">
        <w:t>fresh foods causes conf</w:t>
      </w:r>
      <w:r w:rsidR="00D8194F">
        <w:t xml:space="preserve">usion for consumers and does not align with the ADG, which recommend eating a wide variety of nutritious foods from </w:t>
      </w:r>
      <w:r w:rsidR="00565D60">
        <w:t>the five food groups</w:t>
      </w:r>
      <w:r>
        <w:t>,</w:t>
      </w:r>
      <w:r w:rsidR="00565D60">
        <w:t xml:space="preserve"> including</w:t>
      </w:r>
      <w:r w:rsidR="00E6779E">
        <w:t xml:space="preserve"> vegetables and fruit.</w:t>
      </w:r>
      <w:r w:rsidR="00842502">
        <w:t xml:space="preserve"> </w:t>
      </w:r>
    </w:p>
    <w:p w14:paraId="4BB355EA" w14:textId="7AC69A7E" w:rsidR="00842502" w:rsidRPr="00601756" w:rsidRDefault="00842502" w:rsidP="0070526E">
      <w:pPr>
        <w:pStyle w:val="mpcNormal"/>
      </w:pPr>
      <w:r>
        <w:t xml:space="preserve">Various ideas were expressed regarding how the HSR </w:t>
      </w:r>
      <w:r w:rsidR="00294395">
        <w:t xml:space="preserve">system </w:t>
      </w:r>
      <w:r>
        <w:t xml:space="preserve">could be extended to </w:t>
      </w:r>
      <w:r w:rsidR="00294395">
        <w:t xml:space="preserve">packaged </w:t>
      </w:r>
      <w:r>
        <w:t>fresh fruit and vegetables including</w:t>
      </w:r>
      <w:r w:rsidR="002130E4">
        <w:t>: an automatic</w:t>
      </w:r>
      <w:r w:rsidR="00C8635E">
        <w:t xml:space="preserve"> 5 </w:t>
      </w:r>
      <w:r w:rsidR="002130E4">
        <w:t>star rating</w:t>
      </w:r>
      <w:r w:rsidR="0070526E">
        <w:t xml:space="preserve">; </w:t>
      </w:r>
      <w:r w:rsidR="00C8635E">
        <w:t xml:space="preserve">a new 6 </w:t>
      </w:r>
      <w:r>
        <w:t>star rating</w:t>
      </w:r>
      <w:r w:rsidR="0070526E">
        <w:t xml:space="preserve">; or </w:t>
      </w:r>
      <w:r>
        <w:t>a diamond (or other) logo developed for use</w:t>
      </w:r>
      <w:r w:rsidR="0070526E">
        <w:t xml:space="preserve"> specifically in association</w:t>
      </w:r>
      <w:r>
        <w:t xml:space="preserve"> with</w:t>
      </w:r>
      <w:r w:rsidR="00294395">
        <w:t xml:space="preserve"> packaged</w:t>
      </w:r>
      <w:r>
        <w:t xml:space="preserve"> fresh fruit and vegetables (and potentially other fresh foods).</w:t>
      </w:r>
    </w:p>
    <w:p w14:paraId="1AFC5CAB" w14:textId="77777777" w:rsidR="00842502" w:rsidRDefault="00842502" w:rsidP="003F3C46">
      <w:pPr>
        <w:pStyle w:val="mpcNormal"/>
        <w:spacing w:after="0"/>
      </w:pPr>
      <w:r>
        <w:t>Other s</w:t>
      </w:r>
      <w:r w:rsidR="008F1D00">
        <w:t>takeholders</w:t>
      </w:r>
      <w:r>
        <w:t>:</w:t>
      </w:r>
    </w:p>
    <w:p w14:paraId="61B8AF4F" w14:textId="1C18D7A4" w:rsidR="00842502" w:rsidRDefault="00842502" w:rsidP="00D9511D">
      <w:pPr>
        <w:pStyle w:val="mpcbullets1"/>
      </w:pPr>
      <w:r>
        <w:t>suggested t</w:t>
      </w:r>
      <w:r w:rsidR="0048723C">
        <w:t xml:space="preserve">hat </w:t>
      </w:r>
      <w:r w:rsidR="0007242F">
        <w:t xml:space="preserve">confusion </w:t>
      </w:r>
      <w:r w:rsidR="0048723C">
        <w:t xml:space="preserve">arises because </w:t>
      </w:r>
      <w:r w:rsidR="00565D60">
        <w:t xml:space="preserve">some </w:t>
      </w:r>
      <w:r w:rsidR="008F1D00" w:rsidRPr="008F1D00">
        <w:t>fresh produce</w:t>
      </w:r>
      <w:r w:rsidR="00565D60">
        <w:t xml:space="preserve"> that is wrapped or packaged is</w:t>
      </w:r>
      <w:r w:rsidR="008F1D00">
        <w:t xml:space="preserve"> </w:t>
      </w:r>
      <w:r w:rsidR="0007242F">
        <w:t xml:space="preserve">currently </w:t>
      </w:r>
      <w:r w:rsidR="008F1D00">
        <w:t>displaying a HSR</w:t>
      </w:r>
      <w:r w:rsidR="0007242F">
        <w:t xml:space="preserve"> </w:t>
      </w:r>
      <w:r w:rsidR="00565D60">
        <w:t xml:space="preserve">and </w:t>
      </w:r>
      <w:r w:rsidR="0007242F">
        <w:t xml:space="preserve">this adds to consumer confusion over </w:t>
      </w:r>
      <w:r w:rsidR="008F1D00" w:rsidRPr="008F1D00">
        <w:t>whether fresh products that are not wrapped are as healthy as the wrapped products</w:t>
      </w:r>
      <w:r>
        <w:t>. Some suggested prohibiting fresh products (including fruit and vegetables) from displaying the HSR, and</w:t>
      </w:r>
    </w:p>
    <w:p w14:paraId="24AE8ECF" w14:textId="77777777" w:rsidR="005C4638" w:rsidRDefault="00842502" w:rsidP="00824E51">
      <w:pPr>
        <w:pStyle w:val="mpcbullets1"/>
        <w:spacing w:after="0"/>
        <w:ind w:left="357" w:hanging="357"/>
      </w:pPr>
      <w:r>
        <w:t xml:space="preserve">considered that confusion </w:t>
      </w:r>
      <w:r w:rsidR="001D0299">
        <w:t>derives from campaign messages such as ‘the m</w:t>
      </w:r>
      <w:r w:rsidR="001D0299" w:rsidRPr="001D64AF">
        <w:t>ore stars the healthier’</w:t>
      </w:r>
      <w:r w:rsidR="001D0299">
        <w:t xml:space="preserve"> and ‘healthier is easier when you look f</w:t>
      </w:r>
      <w:r w:rsidR="008B43DB">
        <w:t>or</w:t>
      </w:r>
      <w:r w:rsidR="001D0299">
        <w:t xml:space="preserve"> the stars’, which</w:t>
      </w:r>
      <w:r w:rsidR="0007242F">
        <w:t xml:space="preserve"> does not accurately position the HSR system in</w:t>
      </w:r>
      <w:r w:rsidR="001D0299" w:rsidRPr="001D64AF">
        <w:t xml:space="preserve"> the conte</w:t>
      </w:r>
      <w:r w:rsidR="0007242F">
        <w:t>xt of healthy eating more generally</w:t>
      </w:r>
      <w:r w:rsidR="00B078D7">
        <w:t>.</w:t>
      </w:r>
      <w:r w:rsidR="0064768A">
        <w:t xml:space="preserve"> </w:t>
      </w:r>
      <w:r>
        <w:t>The</w:t>
      </w:r>
      <w:r w:rsidR="00B777E7">
        <w:t xml:space="preserve"> scope of the</w:t>
      </w:r>
      <w:r>
        <w:t xml:space="preserve"> HSR</w:t>
      </w:r>
      <w:r w:rsidR="00B777E7">
        <w:t xml:space="preserve"> system</w:t>
      </w:r>
      <w:r>
        <w:t xml:space="preserve"> could</w:t>
      </w:r>
      <w:r w:rsidR="00B777E7">
        <w:t xml:space="preserve"> therefore</w:t>
      </w:r>
      <w:r>
        <w:t xml:space="preserve"> remain as is</w:t>
      </w:r>
      <w:r w:rsidR="00B777E7">
        <w:t>, but the messaging around it be</w:t>
      </w:r>
      <w:r>
        <w:t xml:space="preserve"> clearer.</w:t>
      </w:r>
      <w:r w:rsidR="005C4638">
        <w:t xml:space="preserve"> </w:t>
      </w:r>
    </w:p>
    <w:p w14:paraId="2112BCB6" w14:textId="440166D9" w:rsidR="005C4638" w:rsidRDefault="005C4638" w:rsidP="005C4638">
      <w:pPr>
        <w:pStyle w:val="mpcbullets2"/>
      </w:pPr>
      <w:r>
        <w:t>A number of stakeholder</w:t>
      </w:r>
      <w:r w:rsidR="00294395">
        <w:t>s</w:t>
      </w:r>
      <w:r>
        <w:t xml:space="preserve"> also noted that a more comprehensive suite of tools de</w:t>
      </w:r>
      <w:r w:rsidR="00512195">
        <w:t>s</w:t>
      </w:r>
      <w:r>
        <w:t>igned to support health</w:t>
      </w:r>
      <w:r w:rsidR="00294395">
        <w:t>y</w:t>
      </w:r>
      <w:r>
        <w:t xml:space="preserve"> eating are currently under development including through the Healthy Food Partnership and other government initiatives.</w:t>
      </w:r>
    </w:p>
    <w:p w14:paraId="7917EA44" w14:textId="77777777" w:rsidR="005C4638" w:rsidRDefault="005C4638" w:rsidP="005C4638">
      <w:pPr>
        <w:pStyle w:val="mpcNormal"/>
        <w:spacing w:after="0"/>
      </w:pPr>
    </w:p>
    <w:p w14:paraId="0B291CBE" w14:textId="0DB061A6" w:rsidR="005C4638" w:rsidRDefault="00C902B6" w:rsidP="00512195">
      <w:pPr>
        <w:pStyle w:val="mpcNormal"/>
        <w:keepNext/>
        <w:spacing w:after="0"/>
      </w:pPr>
      <w:r>
        <w:lastRenderedPageBreak/>
        <w:t>I</w:t>
      </w:r>
      <w:r w:rsidR="005C4638">
        <w:t xml:space="preserve">ssues for consideration in relation to the </w:t>
      </w:r>
      <w:r w:rsidR="00512195">
        <w:t>scope of the HSR system include:</w:t>
      </w:r>
    </w:p>
    <w:p w14:paraId="29F33E60" w14:textId="30782773" w:rsidR="00C902B6" w:rsidRDefault="00AF0C26" w:rsidP="00824E51">
      <w:pPr>
        <w:pStyle w:val="mpcbullets1"/>
      </w:pPr>
      <w:r>
        <w:t>w</w:t>
      </w:r>
      <w:r w:rsidR="005C4638">
        <w:t xml:space="preserve">hether consumers know </w:t>
      </w:r>
      <w:r w:rsidR="000963DB">
        <w:t xml:space="preserve">that fresh fruit and vegetables are a healthy choice, even </w:t>
      </w:r>
      <w:r w:rsidR="005C4638">
        <w:t>in the absence of HSR labelling</w:t>
      </w:r>
    </w:p>
    <w:p w14:paraId="33BC5E8A" w14:textId="1BB6DE33" w:rsidR="0070526E" w:rsidRDefault="00B57096" w:rsidP="00824E51">
      <w:pPr>
        <w:pStyle w:val="mpcbullets1"/>
      </w:pPr>
      <w:r>
        <w:t xml:space="preserve">if not, whether the HSR system is the best way to promote </w:t>
      </w:r>
      <w:r w:rsidR="00C902B6">
        <w:t>healthier eating</w:t>
      </w:r>
      <w:r w:rsidR="00D61442">
        <w:t>,</w:t>
      </w:r>
      <w:r w:rsidR="00C902B6">
        <w:t xml:space="preserve"> including consumptio</w:t>
      </w:r>
      <w:r w:rsidR="005C4638">
        <w:t>n of fresh fruit and vegetables</w:t>
      </w:r>
      <w:r w:rsidR="00AF0C26">
        <w:t>, and</w:t>
      </w:r>
    </w:p>
    <w:p w14:paraId="6420FA17" w14:textId="6EE3A436" w:rsidR="005C4638" w:rsidRDefault="00AF0C26" w:rsidP="00824E51">
      <w:pPr>
        <w:pStyle w:val="mpcbullets1"/>
        <w:spacing w:after="0"/>
        <w:ind w:left="357" w:hanging="357"/>
      </w:pPr>
      <w:r>
        <w:t>i</w:t>
      </w:r>
      <w:r w:rsidR="005C4638">
        <w:t xml:space="preserve">n any case, whether </w:t>
      </w:r>
      <w:r>
        <w:t>the HSR system should acknowledge that some packaged fruit and vegetable</w:t>
      </w:r>
      <w:r w:rsidR="00155072">
        <w:t>s</w:t>
      </w:r>
      <w:r>
        <w:t xml:space="preserve"> are already displaying the HSR and therefore whether a pragmatic decision could be taken </w:t>
      </w:r>
      <w:r w:rsidR="00CF6F34">
        <w:t>about the treatment of such food.</w:t>
      </w:r>
    </w:p>
    <w:p w14:paraId="6144FB58" w14:textId="77777777" w:rsidR="00C902B6" w:rsidRDefault="00C902B6" w:rsidP="00C902B6">
      <w:pPr>
        <w:pStyle w:val="mpcNormal"/>
        <w:spacing w:after="0"/>
      </w:pPr>
    </w:p>
    <w:p w14:paraId="0839D182" w14:textId="796092A8" w:rsidR="00C902B6" w:rsidRDefault="00C902B6" w:rsidP="00C902B6">
      <w:pPr>
        <w:pStyle w:val="mpcNormal"/>
        <w:spacing w:after="0"/>
      </w:pPr>
      <w:r>
        <w:t>I</w:t>
      </w:r>
      <w:r w:rsidR="00AF0C26">
        <w:t xml:space="preserve">n exploring these issues, consideration also needs to be given to the </w:t>
      </w:r>
      <w:r>
        <w:t>pract</w:t>
      </w:r>
      <w:r w:rsidR="0070526E">
        <w:t xml:space="preserve">ical </w:t>
      </w:r>
      <w:r w:rsidR="00AF0C26">
        <w:t xml:space="preserve">implications of any change. </w:t>
      </w:r>
      <w:r>
        <w:t>Some of the issues</w:t>
      </w:r>
      <w:r w:rsidR="0070526E">
        <w:t xml:space="preserve"> for consideration </w:t>
      </w:r>
      <w:r>
        <w:t>include</w:t>
      </w:r>
      <w:r w:rsidR="006E55EC">
        <w:t>:</w:t>
      </w:r>
    </w:p>
    <w:p w14:paraId="6B4DDF8A" w14:textId="77777777" w:rsidR="00512195" w:rsidRDefault="00512195" w:rsidP="00824E51">
      <w:pPr>
        <w:pStyle w:val="mpcbullets1"/>
        <w:spacing w:after="0"/>
        <w:ind w:left="357" w:hanging="357"/>
      </w:pPr>
      <w:r>
        <w:t>whether 5 stars is the appropriate rating for all packaged fresh fruit and vegetables (or only some)</w:t>
      </w:r>
    </w:p>
    <w:p w14:paraId="1A569651" w14:textId="2844B5B9" w:rsidR="00C902B6" w:rsidRDefault="00C902B6" w:rsidP="00824E51">
      <w:pPr>
        <w:pStyle w:val="mpcbullets1"/>
        <w:spacing w:after="0"/>
        <w:ind w:left="357" w:hanging="357"/>
      </w:pPr>
      <w:r>
        <w:t xml:space="preserve">whether other </w:t>
      </w:r>
      <w:r w:rsidR="00AF0C26">
        <w:t xml:space="preserve">packaged </w:t>
      </w:r>
      <w:r>
        <w:t xml:space="preserve">fresh foods should also display </w:t>
      </w:r>
      <w:r w:rsidR="007B157E">
        <w:t xml:space="preserve">a </w:t>
      </w:r>
      <w:r>
        <w:t>HSR (such as fresh fish and meat) and</w:t>
      </w:r>
      <w:r w:rsidR="007B157E">
        <w:t>, if so, whether those products</w:t>
      </w:r>
      <w:r>
        <w:t xml:space="preserve"> should be able to achieve the same star rating as fresh fruit and vegetables</w:t>
      </w:r>
    </w:p>
    <w:p w14:paraId="27FCC395" w14:textId="686BEA11" w:rsidR="009F0555" w:rsidRDefault="00C902B6" w:rsidP="00824E51">
      <w:pPr>
        <w:pStyle w:val="mpcbullets1"/>
        <w:spacing w:after="0"/>
        <w:ind w:left="357" w:hanging="357"/>
      </w:pPr>
      <w:r>
        <w:t>whether a new catego</w:t>
      </w:r>
      <w:r w:rsidR="00AF0C26">
        <w:t>ry c</w:t>
      </w:r>
      <w:r w:rsidR="006E55EC">
        <w:t xml:space="preserve">ould be </w:t>
      </w:r>
      <w:r>
        <w:t>created</w:t>
      </w:r>
      <w:r w:rsidR="006E55EC">
        <w:t xml:space="preserve"> for </w:t>
      </w:r>
      <w:r w:rsidR="00AF0C26">
        <w:t xml:space="preserve">packaged </w:t>
      </w:r>
      <w:r>
        <w:t>fresh</w:t>
      </w:r>
      <w:r w:rsidR="006E55EC">
        <w:t xml:space="preserve"> fruit and </w:t>
      </w:r>
      <w:r>
        <w:t>vegetables</w:t>
      </w:r>
      <w:r w:rsidR="006E55EC">
        <w:t xml:space="preserve"> or whether </w:t>
      </w:r>
      <w:r w:rsidR="009F0555">
        <w:t>fruit and vegetables would fall in Category 2</w:t>
      </w:r>
      <w:r w:rsidR="007B157E">
        <w:t xml:space="preserve"> </w:t>
      </w:r>
      <w:r w:rsidR="009F0555">
        <w:t>(including the impacts)</w:t>
      </w:r>
    </w:p>
    <w:p w14:paraId="65C54DDA" w14:textId="0EFF7581" w:rsidR="00842502" w:rsidRDefault="009F0555" w:rsidP="00824E51">
      <w:pPr>
        <w:pStyle w:val="mpcbullets1"/>
        <w:spacing w:after="0"/>
        <w:ind w:left="357" w:hanging="357"/>
      </w:pPr>
      <w:r>
        <w:t>the impacts on other categories</w:t>
      </w:r>
      <w:r w:rsidR="0070526E">
        <w:t xml:space="preserve">, </w:t>
      </w:r>
      <w:r>
        <w:t>the maximum stars able to be achieved by frozen</w:t>
      </w:r>
      <w:r w:rsidR="00AF0C26">
        <w:t xml:space="preserve"> or canned fruit or vegetables, </w:t>
      </w:r>
      <w:r>
        <w:t xml:space="preserve">and </w:t>
      </w:r>
      <w:r w:rsidR="0070526E">
        <w:t xml:space="preserve">the impacts </w:t>
      </w:r>
      <w:r>
        <w:t xml:space="preserve">on other </w:t>
      </w:r>
      <w:r w:rsidR="0070526E">
        <w:t>core foods</w:t>
      </w:r>
    </w:p>
    <w:p w14:paraId="39F32771" w14:textId="6929392D" w:rsidR="00C902B6" w:rsidRDefault="00C902B6" w:rsidP="00824E51">
      <w:pPr>
        <w:pStyle w:val="mpcbullets1"/>
        <w:spacing w:after="0"/>
        <w:ind w:left="357" w:hanging="357"/>
      </w:pPr>
      <w:r>
        <w:t>whether it would encourage packaging</w:t>
      </w:r>
      <w:r w:rsidR="0070526E">
        <w:t xml:space="preserve"> of</w:t>
      </w:r>
      <w:r>
        <w:t xml:space="preserve"> products that would not otherwise be packaged</w:t>
      </w:r>
    </w:p>
    <w:p w14:paraId="4FBCA9C2" w14:textId="2520059F" w:rsidR="00C902B6" w:rsidRDefault="00C902B6" w:rsidP="00824E51">
      <w:pPr>
        <w:pStyle w:val="mpcbullets1"/>
        <w:spacing w:after="0"/>
        <w:ind w:left="357" w:hanging="357"/>
      </w:pPr>
      <w:r>
        <w:t>if the pro</w:t>
      </w:r>
      <w:r w:rsidR="0070526E">
        <w:t>duct</w:t>
      </w:r>
      <w:r>
        <w:t xml:space="preserve"> is not packaged, where the HSR should be displayed</w:t>
      </w:r>
      <w:r w:rsidR="00A1652C">
        <w:t>, and</w:t>
      </w:r>
    </w:p>
    <w:p w14:paraId="52E0C4E0" w14:textId="6D836FA7" w:rsidR="00A1652C" w:rsidRDefault="00A1652C" w:rsidP="00824E51">
      <w:pPr>
        <w:pStyle w:val="mpcbullets1"/>
        <w:spacing w:after="0"/>
        <w:ind w:left="357" w:hanging="357"/>
      </w:pPr>
      <w:r>
        <w:t>how consume</w:t>
      </w:r>
      <w:r w:rsidR="00D61442">
        <w:t>r</w:t>
      </w:r>
      <w:r>
        <w:t>s are likely to respond.</w:t>
      </w:r>
    </w:p>
    <w:p w14:paraId="212FA395" w14:textId="77777777" w:rsidR="00C902B6" w:rsidRDefault="00C902B6" w:rsidP="00C902B6">
      <w:pPr>
        <w:pStyle w:val="mpcNormal"/>
        <w:spacing w:after="0"/>
      </w:pPr>
    </w:p>
    <w:p w14:paraId="296EAE2D" w14:textId="67A4E379" w:rsidR="00C902B6" w:rsidRDefault="00AF0C26" w:rsidP="008F1D00">
      <w:pPr>
        <w:pStyle w:val="mpcbullets2"/>
        <w:numPr>
          <w:ilvl w:val="0"/>
          <w:numId w:val="0"/>
        </w:numPr>
        <w:spacing w:after="240"/>
      </w:pPr>
      <w:r>
        <w:t>Regardless of whether any changes are made to the HSR system in relation to fruit and vegetables,</w:t>
      </w:r>
      <w:r w:rsidR="00C902B6">
        <w:t xml:space="preserve"> further consideration could still be given to how to better promote</w:t>
      </w:r>
      <w:r w:rsidR="0007242F" w:rsidRPr="008F1D00">
        <w:t xml:space="preserve"> healthy eating </w:t>
      </w:r>
      <w:r w:rsidR="00C902B6">
        <w:t>and the role that</w:t>
      </w:r>
      <w:r w:rsidR="00D61442">
        <w:t xml:space="preserve"> the</w:t>
      </w:r>
      <w:r w:rsidR="00C902B6">
        <w:t xml:space="preserve"> HSR plays specifically in relation to packaged food</w:t>
      </w:r>
      <w:r w:rsidR="00D61442">
        <w:t>.</w:t>
      </w:r>
    </w:p>
    <w:p w14:paraId="3A002080" w14:textId="40062AE7" w:rsidR="006C268E" w:rsidRDefault="006B3B79" w:rsidP="00A20337">
      <w:pPr>
        <w:pStyle w:val="mpcheading3"/>
      </w:pPr>
      <w:bookmarkStart w:id="46" w:name="_Toc503802307"/>
      <w:bookmarkStart w:id="47" w:name="_Toc503804521"/>
      <w:r>
        <w:t>Core and d</w:t>
      </w:r>
      <w:r w:rsidR="006C268E">
        <w:t xml:space="preserve">iscretionary </w:t>
      </w:r>
      <w:r>
        <w:t>foods</w:t>
      </w:r>
      <w:bookmarkEnd w:id="46"/>
      <w:bookmarkEnd w:id="47"/>
    </w:p>
    <w:p w14:paraId="240C712C" w14:textId="524A0E36" w:rsidR="003E1D3B" w:rsidRDefault="000A2B0C" w:rsidP="00BD13C2">
      <w:pPr>
        <w:pStyle w:val="mpcNormal"/>
      </w:pPr>
      <w:r>
        <w:t>As noted in Chapter 3</w:t>
      </w:r>
      <w:r w:rsidR="003E1D3B">
        <w:t>, one of the pr</w:t>
      </w:r>
      <w:r w:rsidR="00657E3C">
        <w:t xml:space="preserve">inciples </w:t>
      </w:r>
      <w:r w:rsidR="008B43DB">
        <w:t>of</w:t>
      </w:r>
      <w:r w:rsidR="00657E3C">
        <w:t xml:space="preserve"> the </w:t>
      </w:r>
      <w:r w:rsidR="003E1D3B">
        <w:t xml:space="preserve">Review </w:t>
      </w:r>
      <w:r w:rsidR="002F0F47">
        <w:t>is to</w:t>
      </w:r>
      <w:r w:rsidR="00FF78EE">
        <w:t xml:space="preserve"> seek</w:t>
      </w:r>
      <w:r w:rsidR="003E1D3B" w:rsidRPr="003E1D3B">
        <w:t xml:space="preserve"> </w:t>
      </w:r>
      <w:r w:rsidR="003E1D3B">
        <w:t xml:space="preserve">better </w:t>
      </w:r>
      <w:r w:rsidR="003E1D3B" w:rsidRPr="003E1D3B">
        <w:t>alignment with</w:t>
      </w:r>
      <w:r w:rsidR="008B43DB">
        <w:t xml:space="preserve"> the</w:t>
      </w:r>
      <w:r w:rsidR="003E1D3B" w:rsidRPr="003E1D3B">
        <w:t xml:space="preserve"> ADG and NZEAG </w:t>
      </w:r>
      <w:r w:rsidR="00466036">
        <w:t>wherever possible.</w:t>
      </w:r>
    </w:p>
    <w:p w14:paraId="258F790C" w14:textId="345F653A" w:rsidR="004F2E22" w:rsidRDefault="003E1D3B" w:rsidP="00BD13C2">
      <w:pPr>
        <w:pStyle w:val="mpcNormal"/>
      </w:pPr>
      <w:r>
        <w:t>One of the areas in which so</w:t>
      </w:r>
      <w:r w:rsidR="004F2E22">
        <w:t>me stakeholders have urged</w:t>
      </w:r>
      <w:r w:rsidR="00466036">
        <w:t xml:space="preserve"> greater alignment with the ADG</w:t>
      </w:r>
      <w:r w:rsidR="002F0F47">
        <w:t xml:space="preserve"> is for t</w:t>
      </w:r>
      <w:r>
        <w:t>h</w:t>
      </w:r>
      <w:r w:rsidR="002F0F47">
        <w:t xml:space="preserve">e HSR </w:t>
      </w:r>
      <w:r w:rsidR="00512195">
        <w:t xml:space="preserve">system </w:t>
      </w:r>
      <w:r w:rsidR="002F0F47">
        <w:t>to better distin</w:t>
      </w:r>
      <w:r>
        <w:t>guish between core and</w:t>
      </w:r>
      <w:r w:rsidR="004F2E22">
        <w:t xml:space="preserve"> discretionary</w:t>
      </w:r>
      <w:r w:rsidR="00466036">
        <w:t xml:space="preserve"> foods.</w:t>
      </w:r>
      <w:r w:rsidR="004F2E22">
        <w:t xml:space="preserve"> Some have suggested that </w:t>
      </w:r>
      <w:r w:rsidR="00466036">
        <w:t>the HSR c</w:t>
      </w:r>
      <w:r w:rsidR="004F2E22">
        <w:t>ould be compl</w:t>
      </w:r>
      <w:r w:rsidR="008B43DB">
        <w:t>e</w:t>
      </w:r>
      <w:r w:rsidR="004F2E22">
        <w:t>mented by a background colour of green for core foods and red for discretionary foods.</w:t>
      </w:r>
    </w:p>
    <w:p w14:paraId="3F173519" w14:textId="04FBED4C" w:rsidR="00466036" w:rsidRDefault="004F2E22" w:rsidP="003F3C46">
      <w:pPr>
        <w:pStyle w:val="mpcbullets1"/>
        <w:keepNext/>
        <w:numPr>
          <w:ilvl w:val="0"/>
          <w:numId w:val="0"/>
        </w:numPr>
        <w:ind w:left="357" w:hanging="357"/>
      </w:pPr>
      <w:r>
        <w:t xml:space="preserve">There are many issues associated with </w:t>
      </w:r>
      <w:r w:rsidR="00466036">
        <w:t>this proposal including:</w:t>
      </w:r>
    </w:p>
    <w:p w14:paraId="1BAE3518" w14:textId="367C4342" w:rsidR="00466036" w:rsidRDefault="00466036" w:rsidP="003E4755">
      <w:pPr>
        <w:pStyle w:val="mpcbullets1"/>
        <w:keepNext/>
        <w:ind w:left="357" w:hanging="357"/>
      </w:pPr>
      <w:r>
        <w:t xml:space="preserve">the challenges </w:t>
      </w:r>
      <w:r w:rsidR="00512195">
        <w:t>of</w:t>
      </w:r>
      <w:r>
        <w:t xml:space="preserve"> </w:t>
      </w:r>
      <w:r w:rsidR="004F2E22">
        <w:t>superimposing a binary system (core</w:t>
      </w:r>
      <w:r w:rsidR="003658B0">
        <w:t>/discretionary</w:t>
      </w:r>
      <w:r w:rsidR="004F2E22">
        <w:t>) over a system such as</w:t>
      </w:r>
      <w:r>
        <w:t xml:space="preserve"> the</w:t>
      </w:r>
      <w:r w:rsidR="004F2E22">
        <w:t xml:space="preserve"> HSR that is based on</w:t>
      </w:r>
      <w:r>
        <w:t xml:space="preserve"> a continuum</w:t>
      </w:r>
    </w:p>
    <w:p w14:paraId="3E5052EC" w14:textId="5FBE2BD3" w:rsidR="00466036" w:rsidRDefault="00466036" w:rsidP="00BD13C2">
      <w:pPr>
        <w:pStyle w:val="mpcbullets1"/>
      </w:pPr>
      <w:r>
        <w:t>definitional issues in terms of defining core and discretion</w:t>
      </w:r>
      <w:r w:rsidR="002C1EBE">
        <w:t>ary</w:t>
      </w:r>
      <w:r>
        <w:t xml:space="preserve"> foods</w:t>
      </w:r>
    </w:p>
    <w:p w14:paraId="39029C6D" w14:textId="19028CDC" w:rsidR="00EC3699" w:rsidRDefault="00466036" w:rsidP="00BD13C2">
      <w:pPr>
        <w:pStyle w:val="mpcbullets1"/>
      </w:pPr>
      <w:r>
        <w:t xml:space="preserve">the fact that </w:t>
      </w:r>
      <w:r w:rsidR="002C1EBE">
        <w:t>the NZEAG do not use the core/</w:t>
      </w:r>
      <w:r>
        <w:t>discretionary appro</w:t>
      </w:r>
      <w:r w:rsidR="007E7202">
        <w:t>ach</w:t>
      </w:r>
    </w:p>
    <w:p w14:paraId="0D879DC4" w14:textId="5A0DC0BB" w:rsidR="00466036" w:rsidRDefault="00EC3699" w:rsidP="00BD13C2">
      <w:pPr>
        <w:pStyle w:val="mpcbullets1"/>
      </w:pPr>
      <w:r>
        <w:t>the cost implications for companies that do not have green or red in their packaging colour palette</w:t>
      </w:r>
      <w:r w:rsidR="002C1EBE">
        <w:t>, and</w:t>
      </w:r>
    </w:p>
    <w:p w14:paraId="09385E07" w14:textId="4ABB4008" w:rsidR="002F0F47" w:rsidRDefault="00466036" w:rsidP="00BD13C2">
      <w:pPr>
        <w:pStyle w:val="mpcbullets1"/>
      </w:pPr>
      <w:r>
        <w:t>reducing the inc</w:t>
      </w:r>
      <w:r w:rsidR="002C1EBE">
        <w:t>entives</w:t>
      </w:r>
      <w:r>
        <w:t xml:space="preserve"> for reformu</w:t>
      </w:r>
      <w:r w:rsidR="002C1EBE">
        <w:t xml:space="preserve">lation </w:t>
      </w:r>
      <w:r>
        <w:t xml:space="preserve">of </w:t>
      </w:r>
      <w:r w:rsidR="002C1EBE">
        <w:t xml:space="preserve">both </w:t>
      </w:r>
      <w:r>
        <w:t>disc</w:t>
      </w:r>
      <w:r w:rsidR="002C1EBE">
        <w:t>retionary and core foods.</w:t>
      </w:r>
    </w:p>
    <w:p w14:paraId="611CBC70" w14:textId="3C906D49" w:rsidR="004F2E22" w:rsidRDefault="004F2E22" w:rsidP="00BD13C2">
      <w:pPr>
        <w:pStyle w:val="mpcNormal"/>
      </w:pPr>
      <w:r>
        <w:lastRenderedPageBreak/>
        <w:t>To give an indication of some of the matter</w:t>
      </w:r>
      <w:r w:rsidR="002C1EBE">
        <w:t>s</w:t>
      </w:r>
      <w:r>
        <w:t xml:space="preserve"> for consideration, the </w:t>
      </w:r>
      <w:r w:rsidR="002C1EBE">
        <w:t>cases</w:t>
      </w:r>
      <w:r>
        <w:t xml:space="preserve"> of coated fish and Greek style yoghurt provide useful examples at opposite ends of the spectrum (</w:t>
      </w:r>
      <w:r w:rsidR="006B3B79">
        <w:t>high</w:t>
      </w:r>
      <w:r w:rsidR="000D2140">
        <w:t>-</w:t>
      </w:r>
      <w:r w:rsidR="006B3B79">
        <w:t xml:space="preserve">scoring </w:t>
      </w:r>
      <w:r>
        <w:t xml:space="preserve">discretionary </w:t>
      </w:r>
      <w:r w:rsidR="006B3B79">
        <w:t>foods and low</w:t>
      </w:r>
      <w:r w:rsidR="000D2140">
        <w:t>-</w:t>
      </w:r>
      <w:r w:rsidR="006B3B79">
        <w:t xml:space="preserve">scoring </w:t>
      </w:r>
      <w:r>
        <w:t>core foods).</w:t>
      </w:r>
    </w:p>
    <w:p w14:paraId="17FB83CF" w14:textId="195131A1" w:rsidR="004F2E22" w:rsidRDefault="004F2E22" w:rsidP="003320E4">
      <w:pPr>
        <w:pStyle w:val="mpcheading4"/>
      </w:pPr>
      <w:bookmarkStart w:id="48" w:name="_Toc503802308"/>
      <w:bookmarkStart w:id="49" w:name="_Toc503804522"/>
      <w:r w:rsidRPr="00BD01DE">
        <w:t>Coated fish</w:t>
      </w:r>
      <w:bookmarkEnd w:id="48"/>
      <w:bookmarkEnd w:id="49"/>
      <w:r w:rsidRPr="00BD01DE">
        <w:t xml:space="preserve"> </w:t>
      </w:r>
    </w:p>
    <w:p w14:paraId="77042037" w14:textId="77777777" w:rsidR="003320E4" w:rsidRPr="00BD01DE" w:rsidRDefault="003320E4" w:rsidP="003320E4">
      <w:pPr>
        <w:pStyle w:val="mpcheading4"/>
      </w:pPr>
    </w:p>
    <w:p w14:paraId="3A583CB3" w14:textId="733DE3B5" w:rsidR="004F2E22" w:rsidRDefault="004F2E22" w:rsidP="00141FD6">
      <w:pPr>
        <w:pStyle w:val="mpcNormal"/>
        <w:keepNext/>
      </w:pPr>
      <w:r>
        <w:t>The A</w:t>
      </w:r>
      <w:r w:rsidR="006B3B79">
        <w:t>ustralian Bureau of Statistics (ABS)</w:t>
      </w:r>
      <w:r>
        <w:t xml:space="preserve"> categorise coated fish as a discretionary food. In relation to fish</w:t>
      </w:r>
      <w:r w:rsidR="002C1EBE">
        <w:t>,</w:t>
      </w:r>
      <w:r>
        <w:t xml:space="preserve"> the ADG provide that people should choose fish and choose varieties that are low in salt and fat. Similarly, the NZEAG </w:t>
      </w:r>
      <w:r w:rsidR="008D1E7B">
        <w:t xml:space="preserve">provide that people should enjoy a variety of nutritious foods every day including </w:t>
      </w:r>
      <w:r w:rsidR="008B43DB">
        <w:t>one</w:t>
      </w:r>
      <w:r w:rsidR="008D1E7B">
        <w:t xml:space="preserve"> serve of fish </w:t>
      </w:r>
      <w:r w:rsidR="000D2140">
        <w:t>or</w:t>
      </w:r>
      <w:r w:rsidR="008D1E7B">
        <w:t xml:space="preserve"> other seafood, eggs</w:t>
      </w:r>
      <w:r w:rsidR="000D2140">
        <w:t>,</w:t>
      </w:r>
      <w:r w:rsidR="008D1E7B">
        <w:t xml:space="preserve"> poultry or red meat.</w:t>
      </w:r>
    </w:p>
    <w:p w14:paraId="13951BBC" w14:textId="2F095BCE" w:rsidR="008D1E7B" w:rsidRDefault="004F2E22" w:rsidP="00BD13C2">
      <w:pPr>
        <w:pStyle w:val="mpcNormal"/>
      </w:pPr>
      <w:r>
        <w:t xml:space="preserve">On the one hand, it could be argued that </w:t>
      </w:r>
      <w:r w:rsidR="008D1E7B">
        <w:t>because coated fish is a discretionary food it should n</w:t>
      </w:r>
      <w:r w:rsidR="00394C5D">
        <w:t>ot score above, for example, 3</w:t>
      </w:r>
      <w:r w:rsidR="006B3B79">
        <w:t xml:space="preserve"> stars</w:t>
      </w:r>
      <w:r w:rsidR="008D1E7B">
        <w:t xml:space="preserve">. It has also been </w:t>
      </w:r>
      <w:r w:rsidR="00512195">
        <w:t>stated</w:t>
      </w:r>
      <w:r w:rsidR="008D1E7B">
        <w:t xml:space="preserve"> that if such discretionary foods scor</w:t>
      </w:r>
      <w:r w:rsidR="00394C5D">
        <w:t xml:space="preserve">e in excess of, for example, 3 </w:t>
      </w:r>
      <w:r w:rsidR="006B3B79">
        <w:t>stars</w:t>
      </w:r>
      <w:r w:rsidR="008D1E7B">
        <w:t xml:space="preserve">, </w:t>
      </w:r>
      <w:r w:rsidR="00341F1A">
        <w:t>it demonstrates the system is not</w:t>
      </w:r>
      <w:r w:rsidR="008D1E7B">
        <w:t xml:space="preserve"> adequately aligned with the ADG </w:t>
      </w:r>
      <w:r w:rsidR="006B3B79">
        <w:t>and that discretionary food is not</w:t>
      </w:r>
      <w:r w:rsidR="008D1E7B">
        <w:t xml:space="preserve"> adequately penalised.</w:t>
      </w:r>
    </w:p>
    <w:p w14:paraId="11EF62A1" w14:textId="4F7621A0" w:rsidR="004F2E22" w:rsidRDefault="004F2E22" w:rsidP="003F3C46">
      <w:pPr>
        <w:pStyle w:val="mpcNormal"/>
        <w:spacing w:after="0"/>
      </w:pPr>
      <w:r>
        <w:t>On the other hand</w:t>
      </w:r>
      <w:r w:rsidR="008D1E7B">
        <w:t>,</w:t>
      </w:r>
      <w:r>
        <w:t xml:space="preserve"> it could be argued that:</w:t>
      </w:r>
    </w:p>
    <w:p w14:paraId="5C5AD81A" w14:textId="41F7ABFA" w:rsidR="004F2E22" w:rsidRDefault="004F2E22" w:rsidP="00824E51">
      <w:pPr>
        <w:pStyle w:val="mpcbullets1"/>
      </w:pPr>
      <w:r>
        <w:t>some coated fish can meet the ADG where it is lean and low in salt and fat (such that it should not properly be categorised as a discretionary food), and</w:t>
      </w:r>
    </w:p>
    <w:p w14:paraId="2994DA38" w14:textId="78542757" w:rsidR="004F2E22" w:rsidRPr="008C2FC5" w:rsidRDefault="004F2E22" w:rsidP="00824E51">
      <w:pPr>
        <w:pStyle w:val="mpcbullets1"/>
      </w:pPr>
      <w:r>
        <w:t xml:space="preserve">it is for these foods exactly that the HSR provides useful information for consumers </w:t>
      </w:r>
      <w:r w:rsidR="006B3B79">
        <w:t xml:space="preserve">by enabling </w:t>
      </w:r>
      <w:r>
        <w:t>them to distinguish between healthier and less healthy choices within this sub-category (coated fish) (noting that t</w:t>
      </w:r>
      <w:r w:rsidR="008D1E7B">
        <w:t>here are significant difference</w:t>
      </w:r>
      <w:r>
        <w:t>s</w:t>
      </w:r>
      <w:r w:rsidR="008D1E7B">
        <w:t xml:space="preserve"> </w:t>
      </w:r>
      <w:r>
        <w:t>in salt and fat between types and brands of coated fish).</w:t>
      </w:r>
    </w:p>
    <w:p w14:paraId="470A8CB0" w14:textId="6E0DDA25" w:rsidR="004F2E22" w:rsidRDefault="004F2E22" w:rsidP="003320E4">
      <w:pPr>
        <w:pStyle w:val="mpcheading4"/>
      </w:pPr>
      <w:bookmarkStart w:id="50" w:name="_Toc503802309"/>
      <w:bookmarkStart w:id="51" w:name="_Toc503804523"/>
      <w:r w:rsidRPr="003320E4">
        <w:t>Greek style yoghurt</w:t>
      </w:r>
      <w:bookmarkEnd w:id="50"/>
      <w:bookmarkEnd w:id="51"/>
      <w:r w:rsidRPr="003320E4">
        <w:t xml:space="preserve"> </w:t>
      </w:r>
    </w:p>
    <w:p w14:paraId="2844F928" w14:textId="77777777" w:rsidR="003320E4" w:rsidRPr="003320E4" w:rsidRDefault="003320E4" w:rsidP="003320E4">
      <w:pPr>
        <w:pStyle w:val="mpcheading4"/>
      </w:pPr>
    </w:p>
    <w:p w14:paraId="5B1507F3" w14:textId="564B7A7E" w:rsidR="008C2FC5" w:rsidRDefault="000D2140" w:rsidP="00BD13C2">
      <w:pPr>
        <w:pStyle w:val="mpcNormal"/>
      </w:pPr>
      <w:r>
        <w:t>In</w:t>
      </w:r>
      <w:r w:rsidR="004F2E22">
        <w:t xml:space="preserve"> contrast</w:t>
      </w:r>
      <w:r w:rsidR="00512195">
        <w:t>,</w:t>
      </w:r>
      <w:r w:rsidR="008D1E7B">
        <w:t xml:space="preserve"> yoghurt </w:t>
      </w:r>
      <w:r w:rsidR="003658B0">
        <w:t>is defined by the ABS as a core food and both the ADG and NZEAG recommend some milk and milk products, mostly low and reduced fat. The ADG and NZEAG also recommend that consumers limit their intake of food that is high in saturated fat, salt and sugar.</w:t>
      </w:r>
    </w:p>
    <w:p w14:paraId="2EF3A7F7" w14:textId="7C07E790" w:rsidR="005B125B" w:rsidRDefault="003658B0" w:rsidP="00BD13C2">
      <w:pPr>
        <w:pStyle w:val="mpcNormal"/>
      </w:pPr>
      <w:r>
        <w:t>If the system were to be adjusted such that core foods always scored higher than discretionary foods, then yoghurt should theoretically score</w:t>
      </w:r>
      <w:r w:rsidR="005B125B">
        <w:t>, for example,</w:t>
      </w:r>
      <w:r>
        <w:t xml:space="preserve"> 3</w:t>
      </w:r>
      <w:r w:rsidR="006B3B79">
        <w:t xml:space="preserve"> stars </w:t>
      </w:r>
      <w:r>
        <w:t>or above. However, there are some yoghurts on the market that are made with cream</w:t>
      </w:r>
      <w:r w:rsidR="00BC1828">
        <w:t xml:space="preserve">, with a serving representing 28% of </w:t>
      </w:r>
      <w:r w:rsidR="005B125B">
        <w:t xml:space="preserve">a person’s </w:t>
      </w:r>
      <w:r>
        <w:t>daily intake of saturated fat</w:t>
      </w:r>
      <w:r w:rsidR="00BC1828">
        <w:t xml:space="preserve"> (based on the Nutrition Information Panel)</w:t>
      </w:r>
      <w:r>
        <w:t xml:space="preserve">. By awarding lower stars for these products, it could be argued that the HSR </w:t>
      </w:r>
      <w:r w:rsidR="00512195">
        <w:t xml:space="preserve">system </w:t>
      </w:r>
      <w:r>
        <w:t xml:space="preserve">is working because it is distinguishing </w:t>
      </w:r>
      <w:r w:rsidR="00ED4637">
        <w:t>food</w:t>
      </w:r>
      <w:r w:rsidR="00512195">
        <w:t>s</w:t>
      </w:r>
      <w:r w:rsidR="00ED4637">
        <w:t xml:space="preserve"> based on their level of risk-associated nutrients</w:t>
      </w:r>
      <w:r>
        <w:t xml:space="preserve">, even </w:t>
      </w:r>
      <w:r w:rsidR="006B3B79">
        <w:t xml:space="preserve">where they are considered </w:t>
      </w:r>
      <w:r>
        <w:t xml:space="preserve">core foods. </w:t>
      </w:r>
    </w:p>
    <w:p w14:paraId="746E014E" w14:textId="2E793C37" w:rsidR="00BC1828" w:rsidRPr="00BC1828" w:rsidRDefault="005B125B" w:rsidP="00BD13C2">
      <w:pPr>
        <w:pStyle w:val="mpcNormal"/>
      </w:pPr>
      <w:r>
        <w:t xml:space="preserve">It could also be argued that this is consistent with the ADG because in addition to encouraging consumption of yoghurt, the ADG suggests substituting </w:t>
      </w:r>
      <w:r w:rsidRPr="00D632F9">
        <w:t xml:space="preserve">high fat foods </w:t>
      </w:r>
      <w:r w:rsidR="00455530">
        <w:t>that</w:t>
      </w:r>
      <w:r w:rsidRPr="00D632F9">
        <w:t xml:space="preserve"> contain predominantly saturated fats </w:t>
      </w:r>
      <w:r>
        <w:t xml:space="preserve">with </w:t>
      </w:r>
      <w:r w:rsidR="00ED4637">
        <w:t>reduced fat</w:t>
      </w:r>
      <w:r>
        <w:t xml:space="preserve"> alternatives.</w:t>
      </w:r>
    </w:p>
    <w:p w14:paraId="5472DEF1" w14:textId="52C8F554" w:rsidR="004F2E22" w:rsidRDefault="006C268E" w:rsidP="003F3C46">
      <w:pPr>
        <w:pStyle w:val="mpcheading2"/>
        <w:keepNext/>
        <w:spacing w:after="0"/>
      </w:pPr>
      <w:bookmarkStart w:id="52" w:name="_Toc503880618"/>
      <w:r>
        <w:t>Concerns relating to the categorisation of foods or a specific category of food</w:t>
      </w:r>
      <w:bookmarkEnd w:id="52"/>
    </w:p>
    <w:p w14:paraId="02786765" w14:textId="77777777" w:rsidR="006C268E" w:rsidRDefault="006C268E" w:rsidP="003F3C46">
      <w:pPr>
        <w:pStyle w:val="mpcNormal"/>
        <w:keepNext/>
        <w:spacing w:after="0"/>
        <w:rPr>
          <w:b/>
        </w:rPr>
      </w:pPr>
    </w:p>
    <w:p w14:paraId="238A089B" w14:textId="34010561" w:rsidR="00C008A6" w:rsidRDefault="006C268E" w:rsidP="003F3C46">
      <w:pPr>
        <w:pStyle w:val="mpcheading3"/>
      </w:pPr>
      <w:bookmarkStart w:id="53" w:name="_Toc503802311"/>
      <w:bookmarkStart w:id="54" w:name="_Toc503804525"/>
      <w:r>
        <w:t>Dairy Foods</w:t>
      </w:r>
      <w:bookmarkEnd w:id="53"/>
      <w:bookmarkEnd w:id="54"/>
    </w:p>
    <w:p w14:paraId="151E8B75" w14:textId="644DC371" w:rsidR="00C008A6" w:rsidRDefault="0001360B" w:rsidP="003F3C46">
      <w:pPr>
        <w:pStyle w:val="mpcNormal"/>
        <w:keepNext/>
        <w:spacing w:after="0"/>
      </w:pPr>
      <w:r>
        <w:t xml:space="preserve">The ADG support the inclusion of milk, cheese and yoghurt as core foods </w:t>
      </w:r>
      <w:r w:rsidR="00C008A6">
        <w:t xml:space="preserve">in a healthy diet </w:t>
      </w:r>
      <w:r>
        <w:t>because adequate intakes of these foods are linked to a reduced risk of several chronic diseases.</w:t>
      </w:r>
      <w:r w:rsidR="00C8138B">
        <w:t xml:space="preserve"> Similarly, </w:t>
      </w:r>
      <w:r w:rsidR="00C8138B">
        <w:lastRenderedPageBreak/>
        <w:t>the NZEAG recommend the consum</w:t>
      </w:r>
      <w:r w:rsidR="00F73B57">
        <w:t>ption of milk and milk products (</w:t>
      </w:r>
      <w:r w:rsidR="007C1F51">
        <w:t>mostly low and reduced fat</w:t>
      </w:r>
      <w:r w:rsidR="00F73B57">
        <w:t>)</w:t>
      </w:r>
      <w:r w:rsidR="007C1F51">
        <w:t xml:space="preserve"> because they are highly nutritious and contain protein, vitamins and minerals.</w:t>
      </w:r>
      <w:r w:rsidR="007C7804">
        <w:t xml:space="preserve"> </w:t>
      </w:r>
    </w:p>
    <w:p w14:paraId="4857B31E" w14:textId="77777777" w:rsidR="00C008A6" w:rsidRDefault="00C008A6" w:rsidP="00C008A6">
      <w:pPr>
        <w:pStyle w:val="mpcNormal"/>
        <w:spacing w:after="0"/>
      </w:pPr>
    </w:p>
    <w:p w14:paraId="7F4545F2" w14:textId="6E18DB97" w:rsidR="00C008A6" w:rsidRDefault="007C7804" w:rsidP="00C008A6">
      <w:pPr>
        <w:pStyle w:val="mpcNormal"/>
        <w:spacing w:after="0"/>
        <w:rPr>
          <w:iCs/>
        </w:rPr>
      </w:pPr>
      <w:r>
        <w:t>Both</w:t>
      </w:r>
      <w:r w:rsidR="007C1F51">
        <w:t xml:space="preserve"> </w:t>
      </w:r>
      <w:r w:rsidR="00512195">
        <w:t xml:space="preserve">dietary </w:t>
      </w:r>
      <w:r w:rsidR="007C1F51">
        <w:t>guidelines recommend l</w:t>
      </w:r>
      <w:r w:rsidR="00E64E68">
        <w:t>ow and reduced fat varieties</w:t>
      </w:r>
      <w:r w:rsidR="007C1F51">
        <w:t xml:space="preserve"> to reduce intake of saturated f</w:t>
      </w:r>
      <w:r w:rsidR="00C008A6">
        <w:t>at and total energy</w:t>
      </w:r>
      <w:r w:rsidR="007C1F51">
        <w:t>.</w:t>
      </w:r>
      <w:r w:rsidR="00F90860">
        <w:t xml:space="preserve"> </w:t>
      </w:r>
      <w:r w:rsidR="009C3684" w:rsidRPr="00F90860">
        <w:t xml:space="preserve">The </w:t>
      </w:r>
      <w:r w:rsidR="003D234C">
        <w:t xml:space="preserve">NZEAG recommend </w:t>
      </w:r>
      <w:r>
        <w:t>New Zealand adults</w:t>
      </w:r>
      <w:r w:rsidRPr="007C7804">
        <w:t xml:space="preserve"> eat or drink at least two servings of milk and milk products each day (noting </w:t>
      </w:r>
      <w:r w:rsidR="009C3684" w:rsidRPr="00F90860">
        <w:t>that</w:t>
      </w:r>
      <w:r w:rsidR="00A44793">
        <w:t xml:space="preserve"> certain</w:t>
      </w:r>
      <w:r w:rsidR="009C3684" w:rsidRPr="00F90860">
        <w:t xml:space="preserve"> milk products</w:t>
      </w:r>
      <w:r w:rsidR="00A44793">
        <w:t xml:space="preserve"> do not </w:t>
      </w:r>
      <w:r w:rsidR="008B43DB">
        <w:t>fall</w:t>
      </w:r>
      <w:r w:rsidR="00A44793">
        <w:t xml:space="preserve"> within this category,</w:t>
      </w:r>
      <w:r w:rsidR="009C3684" w:rsidRPr="00F90860">
        <w:t xml:space="preserve"> such as butter, cream and products like cream cheese and sour cream</w:t>
      </w:r>
      <w:r w:rsidR="00A44793">
        <w:t>, which</w:t>
      </w:r>
      <w:r w:rsidR="009C3684" w:rsidRPr="00F90860">
        <w:t xml:space="preserve"> are made from milk fat so have high levels of saturated fat and are low in protein </w:t>
      </w:r>
      <w:r w:rsidR="00A44793">
        <w:t>and calcium</w:t>
      </w:r>
      <w:r w:rsidR="00E64E68">
        <w:t>)</w:t>
      </w:r>
      <w:r w:rsidR="009C3684" w:rsidRPr="00F90860">
        <w:t xml:space="preserve">. </w:t>
      </w:r>
      <w:r w:rsidR="008D2399">
        <w:t xml:space="preserve">The ADG </w:t>
      </w:r>
      <w:r w:rsidR="003D234C">
        <w:t>recommend Australian adults consume at least two and half serves of milk, cheese, yoghurt and/or alternatives (mostly reduced fat) per day.</w:t>
      </w:r>
      <w:r w:rsidR="00C97AF2" w:rsidRPr="00C008A6">
        <w:rPr>
          <w:iCs/>
        </w:rPr>
        <w:t xml:space="preserve"> </w:t>
      </w:r>
    </w:p>
    <w:p w14:paraId="58A82E8A" w14:textId="77777777" w:rsidR="00C008A6" w:rsidRDefault="00C008A6" w:rsidP="00C008A6">
      <w:pPr>
        <w:pStyle w:val="mpcNormal"/>
        <w:spacing w:after="0"/>
        <w:rPr>
          <w:iCs/>
        </w:rPr>
      </w:pPr>
    </w:p>
    <w:p w14:paraId="04B9A1E3" w14:textId="50C37543" w:rsidR="00141816" w:rsidRDefault="00C008A6" w:rsidP="00141816">
      <w:pPr>
        <w:pStyle w:val="mpcNormal"/>
        <w:spacing w:after="0"/>
      </w:pPr>
      <w:r>
        <w:t>Stakeholders have</w:t>
      </w:r>
      <w:r w:rsidR="00141816">
        <w:t xml:space="preserve"> also noted </w:t>
      </w:r>
      <w:r w:rsidR="00141816" w:rsidRPr="00141816">
        <w:t>that</w:t>
      </w:r>
      <w:r w:rsidR="00141816">
        <w:t xml:space="preserve"> </w:t>
      </w:r>
      <w:r w:rsidR="00141816" w:rsidRPr="00141816">
        <w:t xml:space="preserve">the Australian Health Survey </w:t>
      </w:r>
      <w:r w:rsidR="009B1F90">
        <w:t xml:space="preserve">2011 – 2013 </w:t>
      </w:r>
      <w:r w:rsidR="00141816" w:rsidRPr="00141816">
        <w:t>shows that nine out of 10 Australians do not consume their recommended serves of dairy each day.</w:t>
      </w:r>
    </w:p>
    <w:p w14:paraId="48EA065B" w14:textId="62F5A4A1" w:rsidR="00141816" w:rsidRDefault="00141816" w:rsidP="00484365">
      <w:pPr>
        <w:pStyle w:val="mpcNormal"/>
        <w:spacing w:after="0"/>
      </w:pPr>
    </w:p>
    <w:p w14:paraId="4BC4C43A" w14:textId="0AC67C33" w:rsidR="009F5F1C" w:rsidRDefault="009F5F1C" w:rsidP="00484365">
      <w:pPr>
        <w:pStyle w:val="mpcNormal"/>
        <w:spacing w:after="0"/>
      </w:pPr>
      <w:r>
        <w:t xml:space="preserve">The </w:t>
      </w:r>
      <w:r w:rsidR="008D77F8">
        <w:t>primary</w:t>
      </w:r>
      <w:r>
        <w:t xml:space="preserve"> problem identified by </w:t>
      </w:r>
      <w:r w:rsidR="00B33819">
        <w:t xml:space="preserve">some </w:t>
      </w:r>
      <w:r>
        <w:t>stakeholders in relation to d</w:t>
      </w:r>
      <w:r w:rsidR="008B43DB">
        <w:t>airy</w:t>
      </w:r>
      <w:r>
        <w:t xml:space="preserve"> foods, is that the consumption </w:t>
      </w:r>
      <w:r w:rsidR="00B33819">
        <w:t>of certain low-</w:t>
      </w:r>
      <w:r>
        <w:t>fat dairy products (in line with the ADG and NZEAG) is not adequately incentivised via the HSR (with some dairy food</w:t>
      </w:r>
      <w:r w:rsidR="004D4BDD">
        <w:t>s</w:t>
      </w:r>
      <w:r>
        <w:t xml:space="preserve"> </w:t>
      </w:r>
      <w:r w:rsidR="00B33819">
        <w:t>scoring less than 3 stars).</w:t>
      </w:r>
    </w:p>
    <w:p w14:paraId="1148FBF7" w14:textId="77777777" w:rsidR="00484365" w:rsidRDefault="00484365" w:rsidP="00484365">
      <w:pPr>
        <w:pStyle w:val="mpcNormal"/>
        <w:spacing w:after="0"/>
        <w:rPr>
          <w:iCs/>
        </w:rPr>
      </w:pPr>
    </w:p>
    <w:p w14:paraId="7576712A" w14:textId="5DA17BF7" w:rsidR="009B1F90" w:rsidRPr="003F3C46" w:rsidRDefault="00C008A6" w:rsidP="00484365">
      <w:pPr>
        <w:pStyle w:val="mpcNormal"/>
        <w:spacing w:after="0"/>
      </w:pPr>
      <w:r>
        <w:t>For example, it has variously been suggested that:</w:t>
      </w:r>
    </w:p>
    <w:p w14:paraId="6847C95A" w14:textId="77F30268" w:rsidR="00C008A6" w:rsidRDefault="00C008A6" w:rsidP="00824E51">
      <w:pPr>
        <w:pStyle w:val="mpcbullets1"/>
      </w:pPr>
      <w:r>
        <w:t xml:space="preserve">some products, such as yoghurt, that are categorised as a dairy food (Category 2D) receive a lower HSR than nutritionally similar dairy products that fall into Category 2 (all foods other than beverages, oils/spreads and certain dairy). One of the reasons for this is because Category 2 contains a wider </w:t>
      </w:r>
      <w:r w:rsidR="001F39BE">
        <w:t xml:space="preserve">range of </w:t>
      </w:r>
      <w:r>
        <w:t xml:space="preserve">nutritional </w:t>
      </w:r>
      <w:r w:rsidR="001F39BE">
        <w:t xml:space="preserve">profiles </w:t>
      </w:r>
      <w:r>
        <w:t xml:space="preserve">than Category 2D, and the smaller product range in Category 2D has had an impact on </w:t>
      </w:r>
      <w:r w:rsidR="001F39BE">
        <w:t xml:space="preserve">HSR </w:t>
      </w:r>
      <w:r>
        <w:t>differentiation</w:t>
      </w:r>
      <w:r w:rsidR="001F39BE">
        <w:t xml:space="preserve"> within th</w:t>
      </w:r>
      <w:r w:rsidR="0086724E">
        <w:t>at</w:t>
      </w:r>
      <w:r w:rsidR="001F39BE">
        <w:t xml:space="preserve"> category</w:t>
      </w:r>
      <w:r w:rsidR="00051D64">
        <w:t>, and</w:t>
      </w:r>
    </w:p>
    <w:p w14:paraId="42AFB12D" w14:textId="77777777" w:rsidR="00B33819" w:rsidRDefault="00C008A6" w:rsidP="00824E51">
      <w:pPr>
        <w:pStyle w:val="mpcbullets1"/>
        <w:spacing w:after="0"/>
        <w:ind w:left="357" w:hanging="357"/>
      </w:pPr>
      <w:r>
        <w:t xml:space="preserve">low scoring foods within the dairy food categories do not </w:t>
      </w:r>
      <w:r w:rsidR="00E806CB">
        <w:t xml:space="preserve">always </w:t>
      </w:r>
      <w:r>
        <w:t>align with the core/discretionary food classification, which should see core foods such as dairy score higher than discretionary foods</w:t>
      </w:r>
      <w:r w:rsidR="00B33819">
        <w:t>.</w:t>
      </w:r>
    </w:p>
    <w:p w14:paraId="7AE28E49" w14:textId="77777777" w:rsidR="00B33819" w:rsidRDefault="00B33819" w:rsidP="00B33819">
      <w:pPr>
        <w:pStyle w:val="mpcNormal"/>
        <w:spacing w:after="0"/>
      </w:pPr>
    </w:p>
    <w:p w14:paraId="39BEBC38" w14:textId="171D889A" w:rsidR="00B33819" w:rsidRDefault="00484365" w:rsidP="00B33819">
      <w:pPr>
        <w:pStyle w:val="mpcNormal"/>
        <w:spacing w:after="0"/>
      </w:pPr>
      <w:r>
        <w:t xml:space="preserve">There are a range of potential options for addressing </w:t>
      </w:r>
      <w:r w:rsidR="00A95890">
        <w:t>these issues including</w:t>
      </w:r>
      <w:r w:rsidR="00623359">
        <w:t xml:space="preserve"> </w:t>
      </w:r>
      <w:r w:rsidR="00A95890">
        <w:t xml:space="preserve">reviewing </w:t>
      </w:r>
      <w:r w:rsidR="00BC680C">
        <w:t>category membership and associated rules</w:t>
      </w:r>
      <w:r w:rsidR="00B33819">
        <w:t xml:space="preserve"> (particularly around </w:t>
      </w:r>
      <w:r w:rsidR="00A95890">
        <w:t>Category 2D (certain dairy f</w:t>
      </w:r>
      <w:r w:rsidR="007965BB">
        <w:t>ood</w:t>
      </w:r>
      <w:r w:rsidR="00A95890">
        <w:t>s</w:t>
      </w:r>
      <w:r w:rsidR="007965BB">
        <w:t xml:space="preserve">) and </w:t>
      </w:r>
      <w:r w:rsidR="00A95890">
        <w:t>Category 3D (c</w:t>
      </w:r>
      <w:r w:rsidR="007965BB">
        <w:t>heese</w:t>
      </w:r>
      <w:r w:rsidR="00A95890">
        <w:t xml:space="preserve"> and processed cheese</w:t>
      </w:r>
      <w:r w:rsidR="007965BB">
        <w:t>)</w:t>
      </w:r>
      <w:r w:rsidR="00B33819">
        <w:t xml:space="preserve">) to </w:t>
      </w:r>
      <w:r w:rsidR="007965BB">
        <w:t>include additional products in these categories</w:t>
      </w:r>
      <w:r w:rsidR="00C97AF2">
        <w:t>, which would better ensure that the</w:t>
      </w:r>
      <w:r w:rsidR="000D0B8F">
        <w:t xml:space="preserve"> category spans </w:t>
      </w:r>
      <w:r w:rsidR="00C97AF2">
        <w:t>the full range of star ratings (to allow</w:t>
      </w:r>
      <w:r w:rsidR="000D0B8F">
        <w:t xml:space="preserve"> maximum discernment between like foods within the same category)</w:t>
      </w:r>
      <w:r w:rsidR="00020C9C">
        <w:t>.</w:t>
      </w:r>
      <w:r w:rsidR="00623359">
        <w:t xml:space="preserve"> For example: </w:t>
      </w:r>
    </w:p>
    <w:p w14:paraId="060C81DB" w14:textId="01411F74" w:rsidR="00B33819" w:rsidRDefault="00623359" w:rsidP="00824E51">
      <w:pPr>
        <w:pStyle w:val="mpcbullets1"/>
        <w:spacing w:after="0"/>
        <w:ind w:left="357" w:hanging="357"/>
      </w:pPr>
      <w:r>
        <w:t>Category 2D could include dairy desserts</w:t>
      </w:r>
      <w:r w:rsidR="00B33819">
        <w:t xml:space="preserve">. This </w:t>
      </w:r>
      <w:r>
        <w:t>would require re-scaling of the category to achieve a better spread of HSR scores. In association with this, low calcium or otherwise soft unripened cheese which currently sits under</w:t>
      </w:r>
      <w:r w:rsidR="00B33819">
        <w:t xml:space="preserve"> Category 2D could be moved to C</w:t>
      </w:r>
      <w:r>
        <w:t>ategory 3D</w:t>
      </w:r>
      <w:r w:rsidR="00B33819">
        <w:t>, or</w:t>
      </w:r>
    </w:p>
    <w:p w14:paraId="245F108F" w14:textId="4486A47D" w:rsidR="00B33819" w:rsidRDefault="00B33819" w:rsidP="00824E51">
      <w:pPr>
        <w:pStyle w:val="mpcbullets1"/>
        <w:spacing w:after="0"/>
        <w:ind w:left="357" w:hanging="357"/>
      </w:pPr>
      <w:r>
        <w:t>a</w:t>
      </w:r>
      <w:r w:rsidR="00623359">
        <w:t>dditional pr</w:t>
      </w:r>
      <w:r>
        <w:t xml:space="preserve">oducts </w:t>
      </w:r>
      <w:r w:rsidR="00623359">
        <w:t xml:space="preserve">such as ice cream, cream and cream cheese could be moved into Category 2D </w:t>
      </w:r>
      <w:r w:rsidR="004F677F">
        <w:t>or</w:t>
      </w:r>
      <w:r w:rsidR="00623359">
        <w:t xml:space="preserve"> 3D</w:t>
      </w:r>
      <w:r>
        <w:t>.</w:t>
      </w:r>
    </w:p>
    <w:p w14:paraId="3746B877" w14:textId="77777777" w:rsidR="00B33819" w:rsidRDefault="00B33819" w:rsidP="00B33819">
      <w:pPr>
        <w:pStyle w:val="mpcNormal"/>
        <w:spacing w:after="0"/>
      </w:pPr>
    </w:p>
    <w:p w14:paraId="144DF02F" w14:textId="5C48E944" w:rsidR="00B33819" w:rsidRDefault="00B33819" w:rsidP="00B33819">
      <w:pPr>
        <w:pStyle w:val="mpcNormal"/>
        <w:spacing w:after="0"/>
      </w:pPr>
      <w:r>
        <w:t>Each of the options have advantages and disadvantages and these will be articulated further in</w:t>
      </w:r>
      <w:r w:rsidR="000E1388">
        <w:t xml:space="preserve"> the</w:t>
      </w:r>
      <w:r>
        <w:t xml:space="preserve"> discussion papers to be released in </w:t>
      </w:r>
      <w:r w:rsidR="000641E2">
        <w:t>May</w:t>
      </w:r>
      <w:r>
        <w:t xml:space="preserve"> or Ju</w:t>
      </w:r>
      <w:r w:rsidR="000641E2">
        <w:t>ly</w:t>
      </w:r>
      <w:r>
        <w:t xml:space="preserve">. The discussion papers will include the results of modelling by TAG about the impact of various options. </w:t>
      </w:r>
    </w:p>
    <w:p w14:paraId="76A664C5" w14:textId="630E3590" w:rsidR="00B33819" w:rsidRDefault="00B33819" w:rsidP="00B33819">
      <w:pPr>
        <w:pStyle w:val="mpcNormal"/>
        <w:spacing w:after="0"/>
      </w:pPr>
      <w:r>
        <w:br/>
        <w:t xml:space="preserve">In examining possible options, </w:t>
      </w:r>
      <w:r w:rsidR="00BC680C">
        <w:t>consideration will be given to</w:t>
      </w:r>
      <w:r w:rsidR="00623359">
        <w:t>:</w:t>
      </w:r>
    </w:p>
    <w:p w14:paraId="20CEE050" w14:textId="1B84341B" w:rsidR="00B33819" w:rsidRDefault="00BC680C" w:rsidP="003263BE">
      <w:pPr>
        <w:pStyle w:val="mpcNormal"/>
        <w:numPr>
          <w:ilvl w:val="0"/>
          <w:numId w:val="18"/>
        </w:numPr>
        <w:spacing w:after="0"/>
        <w:ind w:left="357" w:hanging="357"/>
      </w:pPr>
      <w:r>
        <w:t>how any changes</w:t>
      </w:r>
      <w:r w:rsidR="0043204B">
        <w:t xml:space="preserve"> relating to dairy products</w:t>
      </w:r>
      <w:r>
        <w:t xml:space="preserve"> might better align with the dietary guidelines</w:t>
      </w:r>
      <w:r w:rsidR="008D73C0">
        <w:t xml:space="preserve"> (</w:t>
      </w:r>
      <w:r w:rsidR="00D061BB">
        <w:t>P</w:t>
      </w:r>
      <w:r w:rsidR="00BC1828">
        <w:t>rinciple 2</w:t>
      </w:r>
      <w:r w:rsidR="008D73C0">
        <w:t>)</w:t>
      </w:r>
      <w:r w:rsidR="00B33819">
        <w:t>, and</w:t>
      </w:r>
    </w:p>
    <w:p w14:paraId="3AA2B455" w14:textId="6CE062E3" w:rsidR="00B33819" w:rsidRDefault="00623359" w:rsidP="003263BE">
      <w:pPr>
        <w:pStyle w:val="mpcNormal"/>
        <w:numPr>
          <w:ilvl w:val="0"/>
          <w:numId w:val="18"/>
        </w:numPr>
        <w:spacing w:after="0"/>
        <w:ind w:left="357" w:hanging="357"/>
      </w:pPr>
      <w:r>
        <w:t xml:space="preserve">ensuring maximum discernment between like foods sold within the same category, and likely considered by consumers to be in the same category </w:t>
      </w:r>
      <w:r w:rsidR="00BC1828">
        <w:t>(Principle 7</w:t>
      </w:r>
      <w:r w:rsidR="00B33819">
        <w:t>).</w:t>
      </w:r>
    </w:p>
    <w:p w14:paraId="5C677A6B" w14:textId="77777777" w:rsidR="00B33819" w:rsidRDefault="00B33819" w:rsidP="00B33819">
      <w:pPr>
        <w:pStyle w:val="mpcNormal"/>
        <w:spacing w:after="0"/>
        <w:ind w:left="357"/>
      </w:pPr>
    </w:p>
    <w:p w14:paraId="0BB6C1AC" w14:textId="7D308EA4" w:rsidR="006C268E" w:rsidRDefault="006C268E" w:rsidP="00B33819">
      <w:pPr>
        <w:pStyle w:val="mpcheading3"/>
      </w:pPr>
      <w:bookmarkStart w:id="55" w:name="_Toc503802312"/>
      <w:bookmarkStart w:id="56" w:name="_Toc503804526"/>
      <w:r>
        <w:t>Oils and spreads</w:t>
      </w:r>
      <w:bookmarkEnd w:id="55"/>
      <w:bookmarkEnd w:id="56"/>
    </w:p>
    <w:p w14:paraId="7CFBB954" w14:textId="02F4A2FC" w:rsidR="006C268E" w:rsidRDefault="00657E3C" w:rsidP="00B33819">
      <w:pPr>
        <w:pStyle w:val="mpcNormal"/>
        <w:keepNext/>
      </w:pPr>
      <w:r>
        <w:t>While s</w:t>
      </w:r>
      <w:r w:rsidR="006C268E">
        <w:t>ome issues are not signif</w:t>
      </w:r>
      <w:r>
        <w:t xml:space="preserve">icant to all stakeholders, they still </w:t>
      </w:r>
      <w:r w:rsidR="006C268E">
        <w:t>warrant consideration as part of the Review.</w:t>
      </w:r>
      <w:r w:rsidR="00AB45A3">
        <w:t xml:space="preserve"> </w:t>
      </w:r>
      <w:r w:rsidR="006C268E">
        <w:t xml:space="preserve">For example, some stakeholders have noted </w:t>
      </w:r>
      <w:r w:rsidR="006C268E" w:rsidRPr="00D632F9">
        <w:t xml:space="preserve">the wide range of HSR </w:t>
      </w:r>
      <w:r w:rsidR="006B3B79">
        <w:t>scores</w:t>
      </w:r>
      <w:r w:rsidR="006C268E" w:rsidRPr="00D632F9">
        <w:t xml:space="preserve"> for core oils</w:t>
      </w:r>
      <w:r w:rsidR="006C268E">
        <w:t xml:space="preserve"> and spreads and have suggested that the HSR is not</w:t>
      </w:r>
      <w:r w:rsidR="005F122D">
        <w:t xml:space="preserve"> in</w:t>
      </w:r>
      <w:r w:rsidR="006C268E">
        <w:t xml:space="preserve"> line with the ADG</w:t>
      </w:r>
      <w:r w:rsidR="006C268E" w:rsidRPr="001B4308">
        <w:t xml:space="preserve"> </w:t>
      </w:r>
      <w:r w:rsidR="006C268E">
        <w:t xml:space="preserve">because some core oils and spreads </w:t>
      </w:r>
      <w:r w:rsidR="00B33819">
        <w:t xml:space="preserve">can score </w:t>
      </w:r>
      <w:r w:rsidR="00AB7867">
        <w:t xml:space="preserve">a </w:t>
      </w:r>
      <w:r w:rsidR="00B33819">
        <w:t xml:space="preserve">relatively low </w:t>
      </w:r>
      <w:r w:rsidR="00AB7867">
        <w:t>HSR</w:t>
      </w:r>
      <w:r w:rsidR="006C268E">
        <w:t>.</w:t>
      </w:r>
    </w:p>
    <w:p w14:paraId="47F3D4BE" w14:textId="42648CC2" w:rsidR="008E104D" w:rsidRDefault="006C268E" w:rsidP="008E104D">
      <w:pPr>
        <w:pStyle w:val="mpcNormal"/>
      </w:pPr>
      <w:r w:rsidRPr="00D632F9">
        <w:t>The A</w:t>
      </w:r>
      <w:r>
        <w:t xml:space="preserve">DG </w:t>
      </w:r>
      <w:r w:rsidRPr="00D632F9">
        <w:t>recommend replacing oils and spreads high in saturated fats with small amounts of oils and spreads high in poly and mono-unsaturated fats.</w:t>
      </w:r>
      <w:r>
        <w:t xml:space="preserve"> The</w:t>
      </w:r>
      <w:r w:rsidRPr="00D632F9">
        <w:t xml:space="preserve"> </w:t>
      </w:r>
      <w:r>
        <w:t>ADG also suggest replacing</w:t>
      </w:r>
      <w:r w:rsidRPr="00D632F9">
        <w:t xml:space="preserve"> high fat foods</w:t>
      </w:r>
      <w:r w:rsidR="008B2900">
        <w:t xml:space="preserve"> that</w:t>
      </w:r>
      <w:r w:rsidRPr="00D632F9">
        <w:t xml:space="preserve"> contain predominantly saturated fats such as butter, cream, cooking margarine, coconut and palm oil with foods </w:t>
      </w:r>
      <w:r w:rsidR="008B2900">
        <w:t>that</w:t>
      </w:r>
      <w:r w:rsidRPr="00D632F9">
        <w:t xml:space="preserve"> contain predominantly polyunsaturated and monounsaturated fats such as oils, spreads, nut butters/paste</w:t>
      </w:r>
      <w:r>
        <w:t xml:space="preserve">s and avocado. </w:t>
      </w:r>
    </w:p>
    <w:p w14:paraId="5F5A3E5F" w14:textId="2678B6DC" w:rsidR="00990D50" w:rsidRDefault="00DB6F2D" w:rsidP="008E104D">
      <w:pPr>
        <w:pStyle w:val="mpcNormal"/>
      </w:pPr>
      <w:r>
        <w:t>Similarly, the NZEAG recommend consuming and/or preparing food and drink with</w:t>
      </w:r>
      <w:r w:rsidR="00990D50" w:rsidRPr="000315E8">
        <w:t xml:space="preserve"> unsaturated </w:t>
      </w:r>
      <w:r>
        <w:t>fats (</w:t>
      </w:r>
      <w:r w:rsidR="00990D50" w:rsidRPr="000315E8">
        <w:t>canola</w:t>
      </w:r>
      <w:r>
        <w:t>, olive,</w:t>
      </w:r>
      <w:r w:rsidR="00990D50" w:rsidRPr="000315E8">
        <w:t xml:space="preserve"> rice bran</w:t>
      </w:r>
      <w:r>
        <w:t xml:space="preserve"> or vegetable</w:t>
      </w:r>
      <w:r w:rsidR="00990D50" w:rsidRPr="000315E8">
        <w:t xml:space="preserve"> oil,</w:t>
      </w:r>
      <w:r>
        <w:t xml:space="preserve"> or margarine) instead of saturated fats (butter, cream, lard, dripping, coconut oil).</w:t>
      </w:r>
      <w:r w:rsidR="00990D50" w:rsidRPr="000315E8">
        <w:t xml:space="preserve"> </w:t>
      </w:r>
    </w:p>
    <w:p w14:paraId="312FC157" w14:textId="586EF620" w:rsidR="006C268E" w:rsidRDefault="006C268E" w:rsidP="008E104D">
      <w:pPr>
        <w:pStyle w:val="mpcNormal"/>
      </w:pPr>
      <w:r w:rsidRPr="00D632F9">
        <w:t>Dieta</w:t>
      </w:r>
      <w:r w:rsidR="00D91FA2">
        <w:t xml:space="preserve">ry intake data from the </w:t>
      </w:r>
      <w:r w:rsidRPr="00D632F9">
        <w:t xml:space="preserve">Australian Health Survey </w:t>
      </w:r>
      <w:r w:rsidR="00D91FA2">
        <w:t>2011</w:t>
      </w:r>
      <w:r w:rsidR="000F0B14">
        <w:t>-</w:t>
      </w:r>
      <w:r w:rsidR="00D91FA2">
        <w:t xml:space="preserve">13 </w:t>
      </w:r>
      <w:r w:rsidRPr="00D632F9">
        <w:t xml:space="preserve">suggests that intake of saturated fat is higher than recommended and unsaturated fat, in particular polyunsaturated fat, is lower than recommended. </w:t>
      </w:r>
      <w:r w:rsidR="00674CD3" w:rsidRPr="00674CD3">
        <w:t>Di</w:t>
      </w:r>
      <w:r w:rsidR="00674CD3">
        <w:t>etary intake data from the 2008</w:t>
      </w:r>
      <w:r w:rsidR="004D6AE5">
        <w:t>/</w:t>
      </w:r>
      <w:r w:rsidR="00674CD3" w:rsidRPr="00674CD3">
        <w:t>09 New Zealand Adult Nutrition Survey found that the median usual daily intake of saturated fat for New Zealand adults was 13% of total energy, exceeding the recommended 10% contribution of saturated fat to total energy</w:t>
      </w:r>
      <w:r w:rsidR="000651DD">
        <w:t>.</w:t>
      </w:r>
    </w:p>
    <w:p w14:paraId="3407F149" w14:textId="61E640F2" w:rsidR="006C268E" w:rsidRDefault="000F73BF" w:rsidP="00BD13C2">
      <w:pPr>
        <w:pStyle w:val="mpcNormal"/>
      </w:pPr>
      <w:r>
        <w:t>Stakeholders have suggested that the</w:t>
      </w:r>
      <w:r w:rsidR="006C268E" w:rsidRPr="00D632F9">
        <w:t xml:space="preserve"> wide range in HSR </w:t>
      </w:r>
      <w:r w:rsidR="006B3B79">
        <w:t>scores</w:t>
      </w:r>
      <w:r>
        <w:t xml:space="preserve"> (from 2.5 to 4) for ‘healthy’ oils (including peanut, olive, sunflower and canola oil)</w:t>
      </w:r>
      <w:r w:rsidR="006C268E" w:rsidRPr="00D632F9">
        <w:t xml:space="preserve"> is inconsistent with </w:t>
      </w:r>
      <w:r w:rsidR="009B1F90">
        <w:t xml:space="preserve">the ADG and NZEAG </w:t>
      </w:r>
      <w:r w:rsidR="006C268E" w:rsidRPr="00D632F9">
        <w:t xml:space="preserve">where all oils and spreads are treated the same. </w:t>
      </w:r>
      <w:r w:rsidR="00252C4A">
        <w:t>This range</w:t>
      </w:r>
      <w:r w:rsidR="006C268E" w:rsidRPr="00D632F9">
        <w:t xml:space="preserve"> may suggest to </w:t>
      </w:r>
      <w:r w:rsidR="009B1F90">
        <w:t>consumers that a particular</w:t>
      </w:r>
      <w:r w:rsidR="006C268E" w:rsidRPr="00D632F9">
        <w:t xml:space="preserve"> oil is significantly healthier than the other</w:t>
      </w:r>
      <w:r w:rsidR="006C268E">
        <w:t>s</w:t>
      </w:r>
      <w:r w:rsidR="006C268E" w:rsidRPr="00D632F9">
        <w:t xml:space="preserve"> when t</w:t>
      </w:r>
      <w:r>
        <w:t>his is not necessarily the case</w:t>
      </w:r>
      <w:r w:rsidR="006C268E" w:rsidRPr="00D632F9">
        <w:t xml:space="preserve">. </w:t>
      </w:r>
      <w:r w:rsidR="006C268E">
        <w:t xml:space="preserve">For example, it could </w:t>
      </w:r>
      <w:r w:rsidR="006C268E" w:rsidRPr="00D632F9">
        <w:t>give con</w:t>
      </w:r>
      <w:r w:rsidR="00780C47">
        <w:t>sumers the impression that a 3</w:t>
      </w:r>
      <w:r w:rsidR="006C268E" w:rsidRPr="00D632F9">
        <w:t xml:space="preserve"> star oil such as oliv</w:t>
      </w:r>
      <w:r w:rsidR="00780C47">
        <w:t>e oil is less healthy than a 4</w:t>
      </w:r>
      <w:r w:rsidR="006C268E" w:rsidRPr="00D632F9">
        <w:t xml:space="preserve"> star canola oil when these prod</w:t>
      </w:r>
      <w:r w:rsidR="009B1F90">
        <w:t>ucts are treated equally under the ADG and NZEAG</w:t>
      </w:r>
      <w:r w:rsidR="006C268E">
        <w:t>.</w:t>
      </w:r>
    </w:p>
    <w:p w14:paraId="0034DDFD" w14:textId="59566DF0" w:rsidR="006C268E" w:rsidRDefault="006C268E" w:rsidP="00BD13C2">
      <w:pPr>
        <w:pStyle w:val="mpcNormal"/>
      </w:pPr>
      <w:r>
        <w:t xml:space="preserve">Further, while </w:t>
      </w:r>
      <w:r w:rsidRPr="00D632F9">
        <w:t>the HSR algorithm differe</w:t>
      </w:r>
      <w:r w:rsidR="009B1F90">
        <w:t>ntiates reasonably well between fats and oils that are high in saturated fat</w:t>
      </w:r>
      <w:r w:rsidRPr="00D632F9">
        <w:t xml:space="preserve"> and fats </w:t>
      </w:r>
      <w:r>
        <w:t xml:space="preserve">and oils </w:t>
      </w:r>
      <w:r w:rsidR="009B1F90">
        <w:t>that are low in saturated fat</w:t>
      </w:r>
      <w:r>
        <w:t xml:space="preserve">, </w:t>
      </w:r>
      <w:r w:rsidRPr="00D632F9">
        <w:t>the HSR values of some core oils and spreads are as low as those for discretionary products</w:t>
      </w:r>
      <w:r>
        <w:t xml:space="preserve">. Further, </w:t>
      </w:r>
      <w:r w:rsidRPr="00D632F9">
        <w:t xml:space="preserve">the range of HSR for core oils and spreads is wider than expected, given that these products are treated the same in the </w:t>
      </w:r>
      <w:r w:rsidR="009B1F90">
        <w:t>ADG and NZEAG</w:t>
      </w:r>
      <w:r w:rsidRPr="00D632F9">
        <w:t xml:space="preserve">. </w:t>
      </w:r>
    </w:p>
    <w:p w14:paraId="78054B13" w14:textId="2D17ED35" w:rsidR="009B1F90" w:rsidRDefault="009B1F90" w:rsidP="00BD13C2">
      <w:pPr>
        <w:pStyle w:val="mpcNormal"/>
      </w:pPr>
      <w:r>
        <w:t>O</w:t>
      </w:r>
      <w:r w:rsidR="00AD4D2D">
        <w:t>ne</w:t>
      </w:r>
      <w:r>
        <w:t xml:space="preserve"> way that this could potentially be </w:t>
      </w:r>
      <w:r w:rsidR="006C268E">
        <w:t>address</w:t>
      </w:r>
      <w:r>
        <w:t>ed</w:t>
      </w:r>
      <w:r w:rsidR="006C268E">
        <w:t xml:space="preserve"> would be to rescale the</w:t>
      </w:r>
      <w:r w:rsidR="006C268E" w:rsidRPr="00D632F9">
        <w:t xml:space="preserve"> catego</w:t>
      </w:r>
      <w:r w:rsidR="006C268E">
        <w:t>r</w:t>
      </w:r>
      <w:r w:rsidR="006C268E" w:rsidRPr="00D632F9">
        <w:t>y upwards</w:t>
      </w:r>
      <w:r w:rsidR="006C268E">
        <w:t xml:space="preserve">, to ensure </w:t>
      </w:r>
      <w:r w:rsidR="006C268E" w:rsidRPr="00D632F9">
        <w:t xml:space="preserve">better consistency of this category with the </w:t>
      </w:r>
      <w:r w:rsidR="005F2732">
        <w:t xml:space="preserve">ADG and </w:t>
      </w:r>
      <w:r w:rsidR="006C268E">
        <w:t>NZEAG</w:t>
      </w:r>
      <w:r w:rsidR="00E32A70">
        <w:t xml:space="preserve"> (including to</w:t>
      </w:r>
      <w:r w:rsidR="00E32A70" w:rsidRPr="00D632F9">
        <w:t xml:space="preserve"> support the replacement of oils and spreads high in saturated fats with oils and spreads low in saturated fats</w:t>
      </w:r>
      <w:r w:rsidR="00F374BF">
        <w:t>)</w:t>
      </w:r>
      <w:r w:rsidR="00E32A70" w:rsidRPr="00D632F9">
        <w:t>.</w:t>
      </w:r>
    </w:p>
    <w:p w14:paraId="28DE6A89" w14:textId="63C4787C" w:rsidR="006C268E" w:rsidRDefault="009B1F90" w:rsidP="00BD13C2">
      <w:pPr>
        <w:pStyle w:val="mpcNormal"/>
      </w:pPr>
      <w:r>
        <w:t>The</w:t>
      </w:r>
      <w:r w:rsidR="00AD4D2D">
        <w:t xml:space="preserve"> TAG will </w:t>
      </w:r>
      <w:r w:rsidR="006C268E">
        <w:t>model this option</w:t>
      </w:r>
      <w:r w:rsidR="00AD4D2D">
        <w:t xml:space="preserve"> (and other viable options)</w:t>
      </w:r>
      <w:r w:rsidR="006C268E">
        <w:t xml:space="preserve"> to identity the impacts in more detail</w:t>
      </w:r>
      <w:r w:rsidR="00F374BF">
        <w:t>. This analysis will be included in the d</w:t>
      </w:r>
      <w:r w:rsidR="006C268E">
        <w:t xml:space="preserve">iscussion </w:t>
      </w:r>
      <w:r w:rsidR="00F374BF">
        <w:t>paper proposed for circulation</w:t>
      </w:r>
      <w:r w:rsidR="006C268E">
        <w:t xml:space="preserve"> in </w:t>
      </w:r>
      <w:r w:rsidR="000641E2">
        <w:t>May</w:t>
      </w:r>
      <w:r w:rsidR="006C268E">
        <w:t xml:space="preserve"> 2018.</w:t>
      </w:r>
    </w:p>
    <w:p w14:paraId="0CEC6540" w14:textId="48F6B9E8" w:rsidR="006C268E" w:rsidRDefault="006C268E" w:rsidP="00BC1828">
      <w:pPr>
        <w:pStyle w:val="mpcheading2"/>
        <w:keepNext/>
        <w:spacing w:after="0"/>
      </w:pPr>
      <w:bookmarkStart w:id="57" w:name="_Toc503880619"/>
      <w:r>
        <w:lastRenderedPageBreak/>
        <w:t>Concerns about the form of the food for the HSR</w:t>
      </w:r>
      <w:bookmarkEnd w:id="57"/>
    </w:p>
    <w:p w14:paraId="63F4FF65" w14:textId="77777777" w:rsidR="006C268E" w:rsidRDefault="006C268E" w:rsidP="00BC1828">
      <w:pPr>
        <w:pStyle w:val="mpcNormal"/>
        <w:keepNext/>
        <w:spacing w:after="0"/>
        <w:rPr>
          <w:b/>
        </w:rPr>
      </w:pPr>
    </w:p>
    <w:p w14:paraId="288CED23" w14:textId="37FAC72E" w:rsidR="006C268E" w:rsidRPr="00B87669" w:rsidRDefault="006C268E" w:rsidP="00BC1828">
      <w:pPr>
        <w:pStyle w:val="mpcheading3"/>
      </w:pPr>
      <w:bookmarkStart w:id="58" w:name="_Toc503802314"/>
      <w:bookmarkStart w:id="59" w:name="_Toc503804528"/>
      <w:r>
        <w:t>As prepared</w:t>
      </w:r>
      <w:bookmarkEnd w:id="58"/>
      <w:bookmarkEnd w:id="59"/>
      <w:r>
        <w:t xml:space="preserve"> </w:t>
      </w:r>
    </w:p>
    <w:p w14:paraId="2BC06C3D" w14:textId="034F2742" w:rsidR="004D5270" w:rsidRDefault="004D5270" w:rsidP="00BC1828">
      <w:pPr>
        <w:pStyle w:val="mpcNormal"/>
        <w:keepNext/>
      </w:pPr>
      <w:r>
        <w:t>Many stakeholders have raised concerns with the ‘as prepared</w:t>
      </w:r>
      <w:r w:rsidR="00295FBF">
        <w:t xml:space="preserve">’ rules. </w:t>
      </w:r>
      <w:r w:rsidR="00A10E31">
        <w:t>The c</w:t>
      </w:r>
      <w:r w:rsidRPr="00852149">
        <w:t>urren</w:t>
      </w:r>
      <w:r>
        <w:t xml:space="preserve">t guidance allows items </w:t>
      </w:r>
      <w:r w:rsidRPr="00852149">
        <w:t>such as powdered soup, s</w:t>
      </w:r>
      <w:r>
        <w:t>auce mixes or drink flavourings</w:t>
      </w:r>
      <w:r w:rsidRPr="00852149">
        <w:t xml:space="preserve"> </w:t>
      </w:r>
      <w:r>
        <w:t>(</w:t>
      </w:r>
      <w:r w:rsidRPr="00852149">
        <w:t xml:space="preserve">which are not intended to be consumed as sold and </w:t>
      </w:r>
      <w:r>
        <w:t>are intended to</w:t>
      </w:r>
      <w:r w:rsidRPr="00852149">
        <w:t xml:space="preserve"> be prepared </w:t>
      </w:r>
      <w:r>
        <w:t xml:space="preserve">in some way </w:t>
      </w:r>
      <w:r w:rsidRPr="00852149">
        <w:t>prior to consumption</w:t>
      </w:r>
      <w:r>
        <w:t>)</w:t>
      </w:r>
      <w:r w:rsidRPr="00852149">
        <w:t xml:space="preserve"> to display a HSR based on the product ‘as prepared’ according to the instructions on the product packaging.</w:t>
      </w:r>
      <w:r>
        <w:t xml:space="preserve"> This enables these products, </w:t>
      </w:r>
      <w:r w:rsidRPr="00852149">
        <w:t>once prepared</w:t>
      </w:r>
      <w:r>
        <w:t xml:space="preserve">, to be reasonably </w:t>
      </w:r>
      <w:r w:rsidRPr="00852149">
        <w:t>compared with similar products</w:t>
      </w:r>
      <w:r>
        <w:t>.</w:t>
      </w:r>
      <w:r w:rsidRPr="00852149">
        <w:t xml:space="preserve"> </w:t>
      </w:r>
    </w:p>
    <w:p w14:paraId="316F9C1E" w14:textId="09F3D5A3" w:rsidR="004D5270" w:rsidRDefault="004D5270" w:rsidP="00BD13C2">
      <w:pPr>
        <w:pStyle w:val="mpcNormal"/>
      </w:pPr>
      <w:r>
        <w:t>However, some pr</w:t>
      </w:r>
      <w:r w:rsidRPr="00852149">
        <w:t>oducts may be prepared in multiple ways</w:t>
      </w:r>
      <w:r>
        <w:t xml:space="preserve"> </w:t>
      </w:r>
      <w:r w:rsidRPr="00852149">
        <w:t xml:space="preserve">despite specific directions or instructions for preparation. </w:t>
      </w:r>
      <w:r>
        <w:t xml:space="preserve">It also </w:t>
      </w:r>
      <w:r w:rsidRPr="00852149">
        <w:t xml:space="preserve">means that the HSR of these products </w:t>
      </w:r>
      <w:r>
        <w:t xml:space="preserve">when ‘prepared’ </w:t>
      </w:r>
      <w:r w:rsidRPr="00852149">
        <w:t>can be</w:t>
      </w:r>
      <w:r>
        <w:t xml:space="preserve"> substantially </w:t>
      </w:r>
      <w:r w:rsidRPr="00852149">
        <w:t xml:space="preserve">altered by the nutritional components of the </w:t>
      </w:r>
      <w:r>
        <w:t>suggested</w:t>
      </w:r>
      <w:r w:rsidRPr="00852149">
        <w:t xml:space="preserve"> added ingredient</w:t>
      </w:r>
      <w:r>
        <w:t>(</w:t>
      </w:r>
      <w:r w:rsidRPr="00852149">
        <w:t>s</w:t>
      </w:r>
      <w:r>
        <w:t>)</w:t>
      </w:r>
      <w:r w:rsidRPr="00852149">
        <w:t>. For example, the HSR can be improved when calculated on the meal as prepared with meat and vegetables as per the instructions on the pack.</w:t>
      </w:r>
      <w:r>
        <w:rPr>
          <w:rStyle w:val="FootnoteReference"/>
        </w:rPr>
        <w:footnoteReference w:id="8"/>
      </w:r>
      <w:r>
        <w:t xml:space="preserve"> </w:t>
      </w:r>
      <w:r w:rsidRPr="00852149">
        <w:t>As a consequence</w:t>
      </w:r>
      <w:r>
        <w:t>, stakeholders have raised concerns that</w:t>
      </w:r>
      <w:r w:rsidR="002E024A">
        <w:t xml:space="preserve"> the HSR</w:t>
      </w:r>
      <w:r w:rsidRPr="00852149">
        <w:t xml:space="preserve"> may not be representative of the way that the product is being prepared and consumed and may be misleading</w:t>
      </w:r>
      <w:r>
        <w:t>.</w:t>
      </w:r>
    </w:p>
    <w:p w14:paraId="1A402748" w14:textId="05FA24A3" w:rsidR="004D5270" w:rsidRDefault="004D5270" w:rsidP="00BD13C2">
      <w:pPr>
        <w:pStyle w:val="mpcNormal"/>
      </w:pPr>
      <w:r>
        <w:t>On the other hand,</w:t>
      </w:r>
      <w:r w:rsidR="002E024A">
        <w:t xml:space="preserve"> some stakeholders support</w:t>
      </w:r>
      <w:r>
        <w:t xml:space="preserve"> the rules in their current form because: </w:t>
      </w:r>
      <w:r>
        <w:rPr>
          <w:color w:val="000000"/>
          <w:lang w:eastAsia="en-AU"/>
        </w:rPr>
        <w:t>the</w:t>
      </w:r>
      <w:r w:rsidRPr="00316981">
        <w:rPr>
          <w:color w:val="000000"/>
          <w:lang w:eastAsia="en-AU"/>
        </w:rPr>
        <w:t xml:space="preserve"> rules are in line with the Food </w:t>
      </w:r>
      <w:r>
        <w:rPr>
          <w:color w:val="000000"/>
          <w:lang w:eastAsia="en-AU"/>
        </w:rPr>
        <w:t>S</w:t>
      </w:r>
      <w:r w:rsidRPr="00316981">
        <w:rPr>
          <w:color w:val="000000"/>
          <w:lang w:eastAsia="en-AU"/>
        </w:rPr>
        <w:t>tandards Code</w:t>
      </w:r>
      <w:r>
        <w:rPr>
          <w:color w:val="000000"/>
          <w:lang w:eastAsia="en-AU"/>
        </w:rPr>
        <w:t xml:space="preserve">; </w:t>
      </w:r>
      <w:r w:rsidRPr="008D54EE">
        <w:t xml:space="preserve">nutritional profiling of the product 'as prepared' can be a powerful driver to industry to encourage consumption of products in a manner </w:t>
      </w:r>
      <w:r w:rsidR="00252C4A">
        <w:t>that</w:t>
      </w:r>
      <w:r w:rsidRPr="008D54EE">
        <w:t xml:space="preserve"> promotes good dietary habits</w:t>
      </w:r>
      <w:r w:rsidR="002E024A">
        <w:t xml:space="preserve"> (which better align with the ADG)</w:t>
      </w:r>
      <w:r w:rsidR="002E024A">
        <w:rPr>
          <w:color w:val="000000"/>
          <w:lang w:eastAsia="en-AU"/>
        </w:rPr>
        <w:t>;</w:t>
      </w:r>
      <w:r>
        <w:rPr>
          <w:color w:val="000000"/>
          <w:lang w:eastAsia="en-AU"/>
        </w:rPr>
        <w:t xml:space="preserve"> </w:t>
      </w:r>
      <w:r w:rsidRPr="00485D0D">
        <w:rPr>
          <w:color w:val="000000"/>
          <w:lang w:eastAsia="en-AU"/>
        </w:rPr>
        <w:t xml:space="preserve">changes to the </w:t>
      </w:r>
      <w:r>
        <w:rPr>
          <w:color w:val="000000"/>
          <w:lang w:eastAsia="en-AU"/>
        </w:rPr>
        <w:t>‘</w:t>
      </w:r>
      <w:r w:rsidRPr="00485D0D">
        <w:rPr>
          <w:color w:val="000000"/>
          <w:lang w:eastAsia="en-AU"/>
        </w:rPr>
        <w:t>as prepared</w:t>
      </w:r>
      <w:r>
        <w:rPr>
          <w:color w:val="000000"/>
          <w:lang w:eastAsia="en-AU"/>
        </w:rPr>
        <w:t>’</w:t>
      </w:r>
      <w:r w:rsidRPr="00485D0D">
        <w:rPr>
          <w:color w:val="000000"/>
          <w:lang w:eastAsia="en-AU"/>
        </w:rPr>
        <w:t xml:space="preserve"> rules will </w:t>
      </w:r>
      <w:r>
        <w:rPr>
          <w:color w:val="000000"/>
          <w:lang w:eastAsia="en-AU"/>
        </w:rPr>
        <w:t xml:space="preserve">result in </w:t>
      </w:r>
      <w:r w:rsidRPr="00485D0D">
        <w:rPr>
          <w:color w:val="000000"/>
          <w:lang w:eastAsia="en-AU"/>
        </w:rPr>
        <w:t>a cost to industry</w:t>
      </w:r>
      <w:r w:rsidR="002E024A">
        <w:rPr>
          <w:color w:val="000000"/>
          <w:lang w:eastAsia="en-AU"/>
        </w:rPr>
        <w:t>; and t</w:t>
      </w:r>
      <w:r w:rsidR="002E024A" w:rsidRPr="00316981">
        <w:rPr>
          <w:color w:val="000000"/>
          <w:lang w:eastAsia="en-AU"/>
        </w:rPr>
        <w:t>he existing rules could be clarified for consumers through targeted education</w:t>
      </w:r>
      <w:r w:rsidR="002E024A">
        <w:rPr>
          <w:color w:val="000000"/>
          <w:lang w:eastAsia="en-AU"/>
        </w:rPr>
        <w:t>.</w:t>
      </w:r>
    </w:p>
    <w:p w14:paraId="014B41B1" w14:textId="04E88CF2" w:rsidR="004D5270" w:rsidRDefault="004D5270" w:rsidP="00BD13C2">
      <w:pPr>
        <w:pStyle w:val="mpcNormal"/>
      </w:pPr>
      <w:r>
        <w:t xml:space="preserve">Because of the significant interest in the ‘as prepared’ rules, this issue has been progressed in advance of the Review. Consultation to date has included a public submission process (through which 74 submissions were received), the release of a discussion paper and workshops in September and October 2017 across three locations: Sydney, Auckland and Melbourne. Workshops were attended by a mix of industry, public health, consumer and government stakeholders. </w:t>
      </w:r>
    </w:p>
    <w:p w14:paraId="2FF2D658" w14:textId="6873C9DF" w:rsidR="00631E7D" w:rsidRDefault="004D5270" w:rsidP="003F3C46">
      <w:pPr>
        <w:pStyle w:val="mpcNormal"/>
        <w:spacing w:after="0"/>
      </w:pPr>
      <w:r>
        <w:t>As presented in the discussion paper, participants considered the pros and cons of four options to address the ‘as prepared’ issue in the context of the objectives and principles of the HSR system.</w:t>
      </w:r>
      <w:r w:rsidR="00631E7D">
        <w:t xml:space="preserve"> Options included:</w:t>
      </w:r>
    </w:p>
    <w:p w14:paraId="10852318" w14:textId="3B1D66E1" w:rsidR="00B2306C" w:rsidRPr="00D90AFA" w:rsidRDefault="00B2306C" w:rsidP="00004C64">
      <w:pPr>
        <w:pStyle w:val="ListParagraph"/>
        <w:numPr>
          <w:ilvl w:val="0"/>
          <w:numId w:val="27"/>
        </w:numPr>
        <w:spacing w:after="240"/>
        <w:rPr>
          <w:bCs/>
        </w:rPr>
      </w:pPr>
      <w:r w:rsidRPr="00D90AFA">
        <w:t>Option 1</w:t>
      </w:r>
      <w:r w:rsidR="00D90AFA">
        <w:t xml:space="preserve"> (status quo)</w:t>
      </w:r>
      <w:r w:rsidRPr="00D90AFA">
        <w:t xml:space="preserve"> </w:t>
      </w:r>
      <w:r w:rsidR="00D90AFA">
        <w:t>–</w:t>
      </w:r>
      <w:r w:rsidRPr="00D90AFA">
        <w:t xml:space="preserve"> </w:t>
      </w:r>
      <w:r w:rsidRPr="00D90AFA">
        <w:rPr>
          <w:bCs/>
        </w:rPr>
        <w:t xml:space="preserve">The ‘as prepared’ rules remain unchanged </w:t>
      </w:r>
      <w:r w:rsidR="00D90AFA">
        <w:rPr>
          <w:bCs/>
        </w:rPr>
        <w:t>–</w:t>
      </w:r>
      <w:r w:rsidRPr="00D90AFA">
        <w:rPr>
          <w:bCs/>
        </w:rPr>
        <w:t xml:space="preserve"> products may display a HSR based on the product ‘as prepared’ according to the instructions on the product packaging.</w:t>
      </w:r>
    </w:p>
    <w:p w14:paraId="7B521081" w14:textId="31907A85" w:rsidR="00D90AFA" w:rsidRPr="00D90AFA" w:rsidRDefault="00D90AFA" w:rsidP="00004C64">
      <w:pPr>
        <w:pStyle w:val="ListParagraph"/>
        <w:numPr>
          <w:ilvl w:val="0"/>
          <w:numId w:val="27"/>
        </w:numPr>
        <w:spacing w:after="240"/>
        <w:rPr>
          <w:b/>
          <w:bCs/>
        </w:rPr>
      </w:pPr>
      <w:r w:rsidRPr="00D90AFA">
        <w:t>O</w:t>
      </w:r>
      <w:r>
        <w:t xml:space="preserve">ption 2 (as sold) </w:t>
      </w:r>
      <w:r w:rsidRPr="00D90AFA">
        <w:t xml:space="preserve">– </w:t>
      </w:r>
      <w:r w:rsidRPr="00D90AFA">
        <w:rPr>
          <w:bCs/>
        </w:rPr>
        <w:t xml:space="preserve">The HSR is calculated on the product ‘as sold’. The ‘as prepared’ rules would cease to exist. </w:t>
      </w:r>
    </w:p>
    <w:p w14:paraId="31D68E73" w14:textId="46BF6A2C" w:rsidR="00D90AFA" w:rsidRPr="00D90AFA" w:rsidRDefault="00D90AFA" w:rsidP="00004C64">
      <w:pPr>
        <w:pStyle w:val="ListParagraph"/>
        <w:numPr>
          <w:ilvl w:val="0"/>
          <w:numId w:val="27"/>
        </w:numPr>
        <w:spacing w:after="240"/>
      </w:pPr>
      <w:r>
        <w:t>Option 3 (multiple HSR</w:t>
      </w:r>
      <w:r w:rsidR="005F122D">
        <w:t>s</w:t>
      </w:r>
      <w:r>
        <w:t xml:space="preserve"> on pack)</w:t>
      </w:r>
      <w:r w:rsidRPr="00D90AFA">
        <w:t xml:space="preserve"> – </w:t>
      </w:r>
      <w:r w:rsidRPr="00D90AFA">
        <w:rPr>
          <w:bCs/>
        </w:rPr>
        <w:t xml:space="preserve">The HSR is calculated on the product ‘as sold’ and ‘as prepared’. Multiple ratings are displayed on the pack with the ‘as sold’ rating being the most </w:t>
      </w:r>
      <w:r w:rsidRPr="00D90AFA">
        <w:t>prominent on the pack.</w:t>
      </w:r>
    </w:p>
    <w:p w14:paraId="13387160" w14:textId="2A31F34F" w:rsidR="00D90AFA" w:rsidRPr="00D90AFA" w:rsidRDefault="00D704BD" w:rsidP="00004C64">
      <w:pPr>
        <w:pStyle w:val="ListParagraph"/>
        <w:numPr>
          <w:ilvl w:val="0"/>
          <w:numId w:val="27"/>
        </w:numPr>
        <w:ind w:left="357" w:hanging="357"/>
        <w:rPr>
          <w:bCs/>
        </w:rPr>
      </w:pPr>
      <w:r>
        <w:t xml:space="preserve">Option 4 </w:t>
      </w:r>
      <w:r w:rsidR="00D90AFA" w:rsidRPr="00D90AFA">
        <w:t xml:space="preserve">(as sold with exemptions) - </w:t>
      </w:r>
      <w:r w:rsidR="00D90AFA" w:rsidRPr="00D90AFA">
        <w:rPr>
          <w:bCs/>
        </w:rPr>
        <w:t xml:space="preserve">The HSR is calculated on the product ‘as sold’ but certain exemptions would apply and these would need to be clearly outlined in the guidance material. </w:t>
      </w:r>
      <w:r w:rsidR="00D90AFA" w:rsidRPr="009920C7">
        <w:t>Exemptions</w:t>
      </w:r>
      <w:r w:rsidR="005F122D">
        <w:t xml:space="preserve"> to</w:t>
      </w:r>
      <w:r w:rsidR="00D90AFA">
        <w:rPr>
          <w:bCs/>
        </w:rPr>
        <w:t xml:space="preserve"> </w:t>
      </w:r>
      <w:r w:rsidR="00D90AFA" w:rsidRPr="00D90AFA">
        <w:rPr>
          <w:bCs/>
        </w:rPr>
        <w:t>this option</w:t>
      </w:r>
      <w:r w:rsidR="00D90AFA">
        <w:rPr>
          <w:bCs/>
        </w:rPr>
        <w:t xml:space="preserve"> could</w:t>
      </w:r>
      <w:r w:rsidR="00D90AFA" w:rsidRPr="00D90AFA">
        <w:rPr>
          <w:bCs/>
        </w:rPr>
        <w:t xml:space="preserve"> include</w:t>
      </w:r>
      <w:r w:rsidR="00D90AFA">
        <w:rPr>
          <w:bCs/>
        </w:rPr>
        <w:t>,</w:t>
      </w:r>
      <w:r w:rsidR="00CC575A">
        <w:rPr>
          <w:bCs/>
        </w:rPr>
        <w:t xml:space="preserve"> </w:t>
      </w:r>
      <w:r w:rsidR="00D90AFA" w:rsidRPr="00D90AFA">
        <w:rPr>
          <w:bCs/>
        </w:rPr>
        <w:t>but are not limited to:</w:t>
      </w:r>
    </w:p>
    <w:p w14:paraId="77621FFA" w14:textId="32E2CD0B" w:rsidR="00D90AFA" w:rsidRPr="00D90AFA" w:rsidRDefault="00D90AFA" w:rsidP="009920C7">
      <w:pPr>
        <w:pStyle w:val="mpcbullets2"/>
        <w:ind w:left="714" w:hanging="357"/>
      </w:pPr>
      <w:r w:rsidRPr="00D90AFA">
        <w:t>specific products</w:t>
      </w:r>
    </w:p>
    <w:p w14:paraId="0A71AB31" w14:textId="41E0FF47" w:rsidR="00D90AFA" w:rsidRPr="00D90AFA" w:rsidRDefault="005F122D" w:rsidP="009920C7">
      <w:pPr>
        <w:pStyle w:val="mpcbullets2"/>
        <w:ind w:left="714" w:hanging="357"/>
      </w:pPr>
      <w:r>
        <w:t>r</w:t>
      </w:r>
      <w:r w:rsidR="00D90AFA" w:rsidRPr="00D90AFA">
        <w:t>ehydrated with water only</w:t>
      </w:r>
      <w:r w:rsidR="00D90AFA">
        <w:t>, and</w:t>
      </w:r>
    </w:p>
    <w:p w14:paraId="218D7D0A" w14:textId="6FAE304A" w:rsidR="004D5270" w:rsidRDefault="005F122D" w:rsidP="00B87669">
      <w:pPr>
        <w:pStyle w:val="mpcbullets2"/>
        <w:spacing w:after="240"/>
      </w:pPr>
      <w:r>
        <w:lastRenderedPageBreak/>
        <w:t>r</w:t>
      </w:r>
      <w:r w:rsidR="00D90AFA" w:rsidRPr="00D90AFA">
        <w:t>ehydrated with water only and drained.</w:t>
      </w:r>
    </w:p>
    <w:p w14:paraId="1CF1DB6A" w14:textId="4AFCC9FB" w:rsidR="004D5270" w:rsidRDefault="004D5270" w:rsidP="00BD13C2">
      <w:pPr>
        <w:pStyle w:val="mpcNormal"/>
      </w:pPr>
      <w:r>
        <w:t>While the outcomes of the workshops did not provide a consensus as to the appropriate model, stakeholders on the whole indicated that the ‘as sold with spec</w:t>
      </w:r>
      <w:r w:rsidR="00CC575A">
        <w:t>ific exemptions</w:t>
      </w:r>
      <w:r>
        <w:t xml:space="preserve">’ option was preferred and that further exploration </w:t>
      </w:r>
      <w:r w:rsidR="00CC575A">
        <w:t xml:space="preserve">of this option </w:t>
      </w:r>
      <w:r>
        <w:t xml:space="preserve">should be undertaken. </w:t>
      </w:r>
    </w:p>
    <w:p w14:paraId="32C5AFD7" w14:textId="1270ECE3" w:rsidR="006C268E" w:rsidRPr="00B87669" w:rsidRDefault="004D5270" w:rsidP="00BD13C2">
      <w:pPr>
        <w:pStyle w:val="mpcNormal"/>
      </w:pPr>
      <w:r>
        <w:t>The TAG is currently modelling the option preferred by stakeholders to determine how potential modifications to the rules will change HSR values for ‘as prepared’ it</w:t>
      </w:r>
      <w:r w:rsidR="00CC575A">
        <w:t>ems and categories, including the impa</w:t>
      </w:r>
      <w:r w:rsidR="00445921">
        <w:t xml:space="preserve">ct of exemptions such as foods that are </w:t>
      </w:r>
      <w:r w:rsidR="008837AF">
        <w:t xml:space="preserve">drained, </w:t>
      </w:r>
      <w:r w:rsidR="00F24C43">
        <w:t>rehydrated or diluted with water only</w:t>
      </w:r>
      <w:r w:rsidR="00CC575A">
        <w:t>.</w:t>
      </w:r>
      <w:r>
        <w:t xml:space="preserve"> Further consultation on the outcomes of this work is proposed for March 2018.</w:t>
      </w:r>
      <w:r w:rsidR="00DE3553">
        <w:t xml:space="preserve"> ‘As prepared’ will continue to be progressed </w:t>
      </w:r>
      <w:r w:rsidR="0087671B">
        <w:t xml:space="preserve">by </w:t>
      </w:r>
      <w:r w:rsidR="00907072">
        <w:t xml:space="preserve">the </w:t>
      </w:r>
      <w:r w:rsidR="0087671B">
        <w:t>HSRAC</w:t>
      </w:r>
      <w:r w:rsidR="00DE3553">
        <w:t>.</w:t>
      </w:r>
    </w:p>
    <w:p w14:paraId="62D47A85" w14:textId="087519DD" w:rsidR="006C268E" w:rsidRDefault="006C268E" w:rsidP="00610743">
      <w:pPr>
        <w:pStyle w:val="mpcheading2"/>
        <w:spacing w:after="0"/>
      </w:pPr>
      <w:bookmarkStart w:id="60" w:name="_Toc503880620"/>
      <w:r>
        <w:t>Concerns relating to the risk-associated nutrients</w:t>
      </w:r>
      <w:bookmarkEnd w:id="60"/>
    </w:p>
    <w:p w14:paraId="055782BB" w14:textId="77777777" w:rsidR="006C268E" w:rsidRDefault="006C268E" w:rsidP="00610743">
      <w:pPr>
        <w:pStyle w:val="mpcNormal"/>
        <w:spacing w:after="0"/>
        <w:rPr>
          <w:b/>
        </w:rPr>
      </w:pPr>
    </w:p>
    <w:p w14:paraId="2AD6427B" w14:textId="3D63F208" w:rsidR="000C620E" w:rsidRDefault="006C268E" w:rsidP="00BD13C2">
      <w:pPr>
        <w:pStyle w:val="mpcheading3"/>
      </w:pPr>
      <w:bookmarkStart w:id="61" w:name="_Toc503802316"/>
      <w:bookmarkStart w:id="62" w:name="_Toc503804530"/>
      <w:r>
        <w:t>S</w:t>
      </w:r>
      <w:r w:rsidR="000C620E" w:rsidRPr="0075320D">
        <w:t>ugar</w:t>
      </w:r>
      <w:bookmarkEnd w:id="61"/>
      <w:bookmarkEnd w:id="62"/>
      <w:r w:rsidR="000C620E" w:rsidRPr="0075320D">
        <w:t xml:space="preserve"> </w:t>
      </w:r>
    </w:p>
    <w:p w14:paraId="5C60576C" w14:textId="3814EE36" w:rsidR="00B11115" w:rsidRPr="004201B4" w:rsidRDefault="000C620E" w:rsidP="003F3C46">
      <w:pPr>
        <w:pStyle w:val="mpcNormal"/>
        <w:spacing w:after="0"/>
      </w:pPr>
      <w:r>
        <w:t>Many stakeholders have</w:t>
      </w:r>
      <w:r w:rsidR="00B20AD8">
        <w:t xml:space="preserve"> raised the issue of sugar</w:t>
      </w:r>
      <w:r>
        <w:t xml:space="preserve"> and</w:t>
      </w:r>
      <w:r w:rsidR="00B20AD8">
        <w:t>,</w:t>
      </w:r>
      <w:r>
        <w:t xml:space="preserve"> in particular</w:t>
      </w:r>
      <w:r w:rsidR="00B20AD8">
        <w:t>,</w:t>
      </w:r>
      <w:r>
        <w:t xml:space="preserve"> added sugar.</w:t>
      </w:r>
      <w:r w:rsidR="003E1D3B">
        <w:t xml:space="preserve"> </w:t>
      </w:r>
      <w:r w:rsidR="00295FBF">
        <w:t xml:space="preserve">Stakeholders have </w:t>
      </w:r>
      <w:r w:rsidR="004201B4">
        <w:t xml:space="preserve">described the problem as </w:t>
      </w:r>
      <w:r w:rsidR="00BB7A3C">
        <w:t>i</w:t>
      </w:r>
      <w:r w:rsidR="007637A8" w:rsidRPr="004201B4">
        <w:rPr>
          <w:bCs/>
        </w:rPr>
        <w:t>nappropriately high ratings for some foods with relatively high levels of added sugar</w:t>
      </w:r>
      <w:r w:rsidR="00B11115" w:rsidRPr="004201B4">
        <w:rPr>
          <w:bCs/>
        </w:rPr>
        <w:t>. Stakeholders referred to</w:t>
      </w:r>
      <w:r w:rsidR="00A04AE9" w:rsidRPr="004201B4">
        <w:rPr>
          <w:bCs/>
        </w:rPr>
        <w:t>:</w:t>
      </w:r>
    </w:p>
    <w:p w14:paraId="5786D5BD" w14:textId="1CF4EFB2" w:rsidR="00A04AE9" w:rsidRPr="004201B4" w:rsidRDefault="00B11115" w:rsidP="00004C64">
      <w:pPr>
        <w:pStyle w:val="ListParagraph"/>
        <w:numPr>
          <w:ilvl w:val="0"/>
          <w:numId w:val="27"/>
        </w:numPr>
        <w:ind w:left="357" w:hanging="357"/>
        <w:rPr>
          <w:bCs/>
        </w:rPr>
      </w:pPr>
      <w:r w:rsidRPr="004201B4">
        <w:rPr>
          <w:bCs/>
        </w:rPr>
        <w:t>certain breakfast cereals with added sugar</w:t>
      </w:r>
      <w:r w:rsidR="00B20AD8">
        <w:rPr>
          <w:bCs/>
        </w:rPr>
        <w:t xml:space="preserve"> levels of more than 25%</w:t>
      </w:r>
      <w:r w:rsidRPr="004201B4">
        <w:rPr>
          <w:bCs/>
        </w:rPr>
        <w:t xml:space="preserve"> obtaining ratings of 4</w:t>
      </w:r>
      <w:r w:rsidR="00B20AD8">
        <w:rPr>
          <w:bCs/>
        </w:rPr>
        <w:t xml:space="preserve"> stars</w:t>
      </w:r>
      <w:r w:rsidRPr="004201B4">
        <w:rPr>
          <w:bCs/>
        </w:rPr>
        <w:t xml:space="preserve"> or more</w:t>
      </w:r>
      <w:r w:rsidR="00A04AE9" w:rsidRPr="004201B4">
        <w:rPr>
          <w:bCs/>
        </w:rPr>
        <w:t xml:space="preserve"> </w:t>
      </w:r>
    </w:p>
    <w:p w14:paraId="4C6A192E" w14:textId="49745EF7" w:rsidR="00A04AE9" w:rsidRPr="004201B4" w:rsidRDefault="00AD54EF" w:rsidP="00004C64">
      <w:pPr>
        <w:pStyle w:val="ListParagraph"/>
        <w:numPr>
          <w:ilvl w:val="0"/>
          <w:numId w:val="27"/>
        </w:numPr>
        <w:ind w:left="357" w:hanging="357"/>
        <w:rPr>
          <w:bCs/>
        </w:rPr>
      </w:pPr>
      <w:r w:rsidRPr="004201B4">
        <w:rPr>
          <w:bCs/>
        </w:rPr>
        <w:t>t</w:t>
      </w:r>
      <w:r w:rsidR="00A04AE9" w:rsidRPr="004201B4">
        <w:rPr>
          <w:bCs/>
        </w:rPr>
        <w:t>h</w:t>
      </w:r>
      <w:r w:rsidRPr="004201B4">
        <w:rPr>
          <w:bCs/>
        </w:rPr>
        <w:t>e</w:t>
      </w:r>
      <w:r w:rsidR="00A04AE9" w:rsidRPr="004201B4">
        <w:rPr>
          <w:bCs/>
        </w:rPr>
        <w:t xml:space="preserve"> system failing to </w:t>
      </w:r>
      <w:r w:rsidR="00437AC4" w:rsidRPr="004201B4">
        <w:rPr>
          <w:bCs/>
        </w:rPr>
        <w:t xml:space="preserve">adequately </w:t>
      </w:r>
      <w:r w:rsidR="00A04AE9" w:rsidRPr="004201B4">
        <w:rPr>
          <w:bCs/>
        </w:rPr>
        <w:t>distinguish between adde</w:t>
      </w:r>
      <w:r w:rsidRPr="004201B4">
        <w:rPr>
          <w:bCs/>
        </w:rPr>
        <w:t>d sugar</w:t>
      </w:r>
      <w:r w:rsidR="00A04AE9" w:rsidRPr="004201B4">
        <w:rPr>
          <w:bCs/>
        </w:rPr>
        <w:t>s and intrins</w:t>
      </w:r>
      <w:r w:rsidRPr="004201B4">
        <w:rPr>
          <w:bCs/>
        </w:rPr>
        <w:t>ic</w:t>
      </w:r>
      <w:r w:rsidR="00A04AE9" w:rsidRPr="004201B4">
        <w:rPr>
          <w:bCs/>
        </w:rPr>
        <w:t xml:space="preserve"> sugars (</w:t>
      </w:r>
      <w:r w:rsidR="006D11B0" w:rsidRPr="004201B4">
        <w:rPr>
          <w:bCs/>
        </w:rPr>
        <w:t>noting that the ADG encourage consumers to limi</w:t>
      </w:r>
      <w:r w:rsidRPr="004201B4">
        <w:rPr>
          <w:bCs/>
        </w:rPr>
        <w:t>t their intake of food and drin</w:t>
      </w:r>
      <w:r w:rsidR="006D11B0" w:rsidRPr="004201B4">
        <w:rPr>
          <w:bCs/>
        </w:rPr>
        <w:t>k</w:t>
      </w:r>
      <w:r w:rsidRPr="004201B4">
        <w:rPr>
          <w:bCs/>
        </w:rPr>
        <w:t>s</w:t>
      </w:r>
      <w:r w:rsidR="006D11B0" w:rsidRPr="004201B4">
        <w:rPr>
          <w:bCs/>
        </w:rPr>
        <w:t xml:space="preserve"> </w:t>
      </w:r>
      <w:r w:rsidRPr="004201B4">
        <w:rPr>
          <w:bCs/>
        </w:rPr>
        <w:t xml:space="preserve">containing </w:t>
      </w:r>
      <w:r w:rsidR="006D11B0" w:rsidRPr="004201B4">
        <w:rPr>
          <w:bCs/>
        </w:rPr>
        <w:t>added sugars</w:t>
      </w:r>
      <w:r w:rsidRPr="004201B4">
        <w:rPr>
          <w:bCs/>
        </w:rPr>
        <w:t xml:space="preserve"> and suggest that limiting intake of food and drinks containing added sugars may improve health outcomes</w:t>
      </w:r>
      <w:r w:rsidR="009962C6">
        <w:rPr>
          <w:bCs/>
        </w:rPr>
        <w:t>,</w:t>
      </w:r>
      <w:r w:rsidRPr="004201B4">
        <w:rPr>
          <w:bCs/>
        </w:rPr>
        <w:t xml:space="preserve"> including by reducin</w:t>
      </w:r>
      <w:r w:rsidR="00FE4BCC" w:rsidRPr="004201B4">
        <w:rPr>
          <w:bCs/>
        </w:rPr>
        <w:t>g the risk of dental caries and assisting to address excess weight (noting that many foods containing added sugars are energy-dense but nutrient-poor</w:t>
      </w:r>
      <w:r w:rsidR="001E34B8">
        <w:rPr>
          <w:bCs/>
        </w:rPr>
        <w:t>)</w:t>
      </w:r>
      <w:r w:rsidR="009962C6">
        <w:rPr>
          <w:bCs/>
        </w:rPr>
        <w:t>)</w:t>
      </w:r>
    </w:p>
    <w:p w14:paraId="778F4CC4" w14:textId="6AF415D1" w:rsidR="004201B4" w:rsidRPr="004201B4" w:rsidRDefault="00D9511D" w:rsidP="00004C64">
      <w:pPr>
        <w:pStyle w:val="ListParagraph"/>
        <w:numPr>
          <w:ilvl w:val="0"/>
          <w:numId w:val="27"/>
        </w:numPr>
        <w:ind w:left="357" w:hanging="357"/>
        <w:rPr>
          <w:bCs/>
        </w:rPr>
      </w:pPr>
      <w:r>
        <w:rPr>
          <w:bCs/>
        </w:rPr>
        <w:t xml:space="preserve">the </w:t>
      </w:r>
      <w:r w:rsidR="00437AC4" w:rsidRPr="005454D5">
        <w:rPr>
          <w:bCs/>
        </w:rPr>
        <w:t>World Health Organi</w:t>
      </w:r>
      <w:r w:rsidR="00172436">
        <w:rPr>
          <w:bCs/>
        </w:rPr>
        <w:t>z</w:t>
      </w:r>
      <w:r w:rsidR="00437AC4" w:rsidRPr="005454D5">
        <w:rPr>
          <w:bCs/>
        </w:rPr>
        <w:t>ation</w:t>
      </w:r>
      <w:r w:rsidR="008216B4">
        <w:rPr>
          <w:bCs/>
        </w:rPr>
        <w:t xml:space="preserve"> (WHO)</w:t>
      </w:r>
      <w:r w:rsidR="00437AC4" w:rsidRPr="004201B4">
        <w:rPr>
          <w:bCs/>
          <w:i/>
        </w:rPr>
        <w:t> </w:t>
      </w:r>
      <w:r w:rsidR="00437AC4" w:rsidRPr="003320E4">
        <w:rPr>
          <w:rStyle w:val="Emphasis"/>
        </w:rPr>
        <w:t>Guideline: Sugars intake for adults and children</w:t>
      </w:r>
      <w:r w:rsidR="00FE4BCC" w:rsidRPr="004201B4">
        <w:rPr>
          <w:bCs/>
          <w:i/>
        </w:rPr>
        <w:t>,</w:t>
      </w:r>
      <w:r w:rsidR="00437AC4" w:rsidRPr="004201B4">
        <w:rPr>
          <w:bCs/>
          <w:i/>
        </w:rPr>
        <w:t xml:space="preserve"> 2015</w:t>
      </w:r>
      <w:r w:rsidR="00437AC4" w:rsidRPr="004201B4">
        <w:rPr>
          <w:bCs/>
        </w:rPr>
        <w:t xml:space="preserve">. </w:t>
      </w:r>
      <w:r w:rsidR="00FE4BCC" w:rsidRPr="004201B4">
        <w:rPr>
          <w:bCs/>
        </w:rPr>
        <w:t xml:space="preserve">Stakeholders noted that </w:t>
      </w:r>
      <w:r w:rsidR="004201B4" w:rsidRPr="004201B4">
        <w:rPr>
          <w:bCs/>
        </w:rPr>
        <w:t>WHO:</w:t>
      </w:r>
    </w:p>
    <w:p w14:paraId="3265C3C1" w14:textId="181DB388" w:rsidR="004201B4" w:rsidRPr="004201B4" w:rsidRDefault="004201B4" w:rsidP="004201B4">
      <w:pPr>
        <w:pStyle w:val="mpcbullets2"/>
        <w:ind w:left="714" w:hanging="357"/>
      </w:pPr>
      <w:r w:rsidRPr="004201B4">
        <w:t xml:space="preserve">recommends </w:t>
      </w:r>
      <w:r w:rsidR="00355948" w:rsidRPr="004201B4">
        <w:t xml:space="preserve">a reduced intake of </w:t>
      </w:r>
      <w:r w:rsidR="00437AC4" w:rsidRPr="004201B4">
        <w:t>‘</w:t>
      </w:r>
      <w:r w:rsidR="00355948" w:rsidRPr="004201B4">
        <w:t>free sugars</w:t>
      </w:r>
      <w:r w:rsidR="00437AC4" w:rsidRPr="004201B4">
        <w:t>’</w:t>
      </w:r>
      <w:r w:rsidR="00355948" w:rsidRPr="004201B4">
        <w:t xml:space="preserve"> throughout the </w:t>
      </w:r>
      <w:r w:rsidR="009962C6" w:rsidRPr="004201B4">
        <w:t>life course</w:t>
      </w:r>
      <w:r w:rsidRPr="004201B4">
        <w:t xml:space="preserve"> (strong recommendation)</w:t>
      </w:r>
    </w:p>
    <w:p w14:paraId="6C4F564D" w14:textId="4F44A432" w:rsidR="004201B4" w:rsidRPr="004201B4" w:rsidRDefault="004201B4" w:rsidP="004201B4">
      <w:pPr>
        <w:pStyle w:val="mpcbullets2"/>
        <w:ind w:left="714" w:hanging="357"/>
      </w:pPr>
      <w:r w:rsidRPr="004201B4">
        <w:t xml:space="preserve">recommends </w:t>
      </w:r>
      <w:r w:rsidR="00355948" w:rsidRPr="004201B4">
        <w:t>reducing the intake of free sugars to less than 10% of total energy intake </w:t>
      </w:r>
      <w:r w:rsidRPr="004201B4">
        <w:t>in both adults and c</w:t>
      </w:r>
      <w:r w:rsidR="009962C6">
        <w:t>hildren (strong recommendation)</w:t>
      </w:r>
    </w:p>
    <w:p w14:paraId="3E0FA3BE" w14:textId="3BBEDC71" w:rsidR="001E34B8" w:rsidRPr="004201B4" w:rsidRDefault="00355948" w:rsidP="001E34B8">
      <w:pPr>
        <w:pStyle w:val="mpcbullets2"/>
        <w:ind w:left="714" w:hanging="357"/>
      </w:pPr>
      <w:r w:rsidRPr="004201B4">
        <w:t>suggests a further reduction of the intake of free sugars to below 5% of</w:t>
      </w:r>
      <w:r w:rsidR="00FE4BCC" w:rsidRPr="004201B4">
        <w:t xml:space="preserve"> </w:t>
      </w:r>
      <w:r w:rsidRPr="004201B4">
        <w:t>total energy int</w:t>
      </w:r>
      <w:r w:rsidR="009962C6">
        <w:t>ake (conditional recommendation</w:t>
      </w:r>
      <w:r w:rsidRPr="004201B4">
        <w:t>).</w:t>
      </w:r>
    </w:p>
    <w:p w14:paraId="2FC0E705" w14:textId="77777777" w:rsidR="004201B4" w:rsidRDefault="004201B4" w:rsidP="007D138E">
      <w:pPr>
        <w:pStyle w:val="mpcbullets2"/>
        <w:numPr>
          <w:ilvl w:val="0"/>
          <w:numId w:val="0"/>
        </w:numPr>
      </w:pPr>
    </w:p>
    <w:p w14:paraId="28990664" w14:textId="127D4888" w:rsidR="00A0207E" w:rsidRPr="00BC1828" w:rsidRDefault="004201B4" w:rsidP="007D138E">
      <w:pPr>
        <w:pStyle w:val="mpcbullets2"/>
        <w:numPr>
          <w:ilvl w:val="0"/>
          <w:numId w:val="0"/>
        </w:numPr>
      </w:pPr>
      <w:r w:rsidRPr="00BC1828">
        <w:t>Those who suggested that the HSR system awarded i</w:t>
      </w:r>
      <w:r w:rsidRPr="00BC1828">
        <w:rPr>
          <w:bCs/>
        </w:rPr>
        <w:t>nappropriately high ratings for some foods with relatively high levels of added sugar</w:t>
      </w:r>
      <w:r w:rsidR="001375A8" w:rsidRPr="00BC1828">
        <w:rPr>
          <w:bCs/>
        </w:rPr>
        <w:t>s</w:t>
      </w:r>
      <w:r w:rsidRPr="00BC1828">
        <w:rPr>
          <w:bCs/>
        </w:rPr>
        <w:t xml:space="preserve"> proposed a</w:t>
      </w:r>
      <w:r w:rsidR="003E1D3B" w:rsidRPr="00BC1828">
        <w:t xml:space="preserve"> range of </w:t>
      </w:r>
      <w:r w:rsidRPr="00BC1828">
        <w:t xml:space="preserve">possible </w:t>
      </w:r>
      <w:r w:rsidR="003E1D3B" w:rsidRPr="00BC1828">
        <w:t>options</w:t>
      </w:r>
      <w:r w:rsidR="000C620E" w:rsidRPr="00BC1828">
        <w:t xml:space="preserve"> </w:t>
      </w:r>
      <w:r w:rsidRPr="00BC1828">
        <w:t xml:space="preserve">for addressing this issue </w:t>
      </w:r>
      <w:r w:rsidR="000C620E" w:rsidRPr="00BC1828">
        <w:t>including:</w:t>
      </w:r>
    </w:p>
    <w:p w14:paraId="6C89144F" w14:textId="1542062D" w:rsidR="000C620E" w:rsidRPr="00BC1828" w:rsidRDefault="001C64D9" w:rsidP="00004C64">
      <w:pPr>
        <w:pStyle w:val="ListParagraph"/>
        <w:numPr>
          <w:ilvl w:val="0"/>
          <w:numId w:val="27"/>
        </w:numPr>
        <w:ind w:left="357" w:hanging="357"/>
        <w:rPr>
          <w:bCs/>
        </w:rPr>
      </w:pPr>
      <w:r w:rsidRPr="00BC1828">
        <w:rPr>
          <w:bCs/>
        </w:rPr>
        <w:t>h</w:t>
      </w:r>
      <w:r w:rsidR="000C620E" w:rsidRPr="00BC1828">
        <w:rPr>
          <w:bCs/>
        </w:rPr>
        <w:t>arsher penalisation of sugar</w:t>
      </w:r>
      <w:r w:rsidR="001375A8" w:rsidRPr="00BC1828">
        <w:rPr>
          <w:bCs/>
        </w:rPr>
        <w:t>s</w:t>
      </w:r>
      <w:r w:rsidR="000C620E" w:rsidRPr="00BC1828">
        <w:rPr>
          <w:bCs/>
        </w:rPr>
        <w:t xml:space="preserve"> in the calculator (across all or some categories)</w:t>
      </w:r>
    </w:p>
    <w:p w14:paraId="7D8BA36C" w14:textId="3E48F373" w:rsidR="003E1D3B" w:rsidRPr="00BC1828" w:rsidRDefault="001C64D9" w:rsidP="00004C64">
      <w:pPr>
        <w:pStyle w:val="ListParagraph"/>
        <w:numPr>
          <w:ilvl w:val="0"/>
          <w:numId w:val="27"/>
        </w:numPr>
        <w:ind w:left="357" w:hanging="357"/>
        <w:rPr>
          <w:bCs/>
        </w:rPr>
      </w:pPr>
      <w:r w:rsidRPr="00BC1828">
        <w:rPr>
          <w:bCs/>
        </w:rPr>
        <w:t>the u</w:t>
      </w:r>
      <w:r w:rsidR="003E1D3B" w:rsidRPr="00BC1828">
        <w:rPr>
          <w:bCs/>
        </w:rPr>
        <w:t>se</w:t>
      </w:r>
      <w:r w:rsidRPr="00BC1828">
        <w:rPr>
          <w:bCs/>
        </w:rPr>
        <w:t xml:space="preserve"> of</w:t>
      </w:r>
      <w:r w:rsidR="003E1D3B" w:rsidRPr="00BC1828">
        <w:rPr>
          <w:bCs/>
        </w:rPr>
        <w:t xml:space="preserve"> added sugar</w:t>
      </w:r>
      <w:r w:rsidR="001375A8" w:rsidRPr="00BC1828">
        <w:rPr>
          <w:bCs/>
        </w:rPr>
        <w:t>s</w:t>
      </w:r>
      <w:r w:rsidR="003E1D3B" w:rsidRPr="00BC1828">
        <w:rPr>
          <w:bCs/>
        </w:rPr>
        <w:t xml:space="preserve"> rather than total sugar</w:t>
      </w:r>
      <w:r w:rsidR="001375A8" w:rsidRPr="00BC1828">
        <w:rPr>
          <w:bCs/>
        </w:rPr>
        <w:t>s</w:t>
      </w:r>
      <w:r w:rsidR="003E1D3B" w:rsidRPr="00BC1828">
        <w:rPr>
          <w:bCs/>
        </w:rPr>
        <w:t xml:space="preserve"> for the purposes of calculating the HSR baseline points</w:t>
      </w:r>
    </w:p>
    <w:p w14:paraId="58E36BC3" w14:textId="13D26F1B" w:rsidR="003E1D3B" w:rsidRPr="00BC1828" w:rsidRDefault="00DB7679" w:rsidP="00004C64">
      <w:pPr>
        <w:pStyle w:val="ListParagraph"/>
        <w:numPr>
          <w:ilvl w:val="0"/>
          <w:numId w:val="27"/>
        </w:numPr>
        <w:ind w:left="357" w:hanging="357"/>
        <w:rPr>
          <w:bCs/>
        </w:rPr>
      </w:pPr>
      <w:r w:rsidRPr="00BC1828">
        <w:rPr>
          <w:bCs/>
        </w:rPr>
        <w:t>c</w:t>
      </w:r>
      <w:r w:rsidR="003E1D3B" w:rsidRPr="00BC1828">
        <w:rPr>
          <w:bCs/>
        </w:rPr>
        <w:t>reat</w:t>
      </w:r>
      <w:r w:rsidR="004201B4" w:rsidRPr="00BC1828">
        <w:rPr>
          <w:bCs/>
        </w:rPr>
        <w:t>ing</w:t>
      </w:r>
      <w:r w:rsidR="003E1D3B" w:rsidRPr="00BC1828">
        <w:rPr>
          <w:bCs/>
        </w:rPr>
        <w:t xml:space="preserve"> sugar ‘caps’ within categories such that certain foods with sugar</w:t>
      </w:r>
      <w:r w:rsidR="000C5965" w:rsidRPr="00BC1828">
        <w:rPr>
          <w:bCs/>
        </w:rPr>
        <w:t xml:space="preserve"> content</w:t>
      </w:r>
      <w:r w:rsidR="00B20AD8" w:rsidRPr="00BC1828">
        <w:rPr>
          <w:bCs/>
        </w:rPr>
        <w:t xml:space="preserve"> greater than a certain per</w:t>
      </w:r>
      <w:r w:rsidR="0027770B" w:rsidRPr="00BC1828">
        <w:rPr>
          <w:bCs/>
        </w:rPr>
        <w:t>cent</w:t>
      </w:r>
      <w:r w:rsidR="003E1D3B" w:rsidRPr="00BC1828">
        <w:rPr>
          <w:bCs/>
        </w:rPr>
        <w:t xml:space="preserve"> could not score higher than 3 stars</w:t>
      </w:r>
      <w:r w:rsidR="00C7397C" w:rsidRPr="00BC1828">
        <w:rPr>
          <w:bCs/>
        </w:rPr>
        <w:t>, or</w:t>
      </w:r>
    </w:p>
    <w:p w14:paraId="30B65785" w14:textId="0AFD17AF" w:rsidR="00C7397C" w:rsidRPr="00BC1828" w:rsidRDefault="00C7397C" w:rsidP="00004C64">
      <w:pPr>
        <w:pStyle w:val="ListParagraph"/>
        <w:numPr>
          <w:ilvl w:val="0"/>
          <w:numId w:val="27"/>
        </w:numPr>
        <w:ind w:left="357" w:hanging="357"/>
        <w:rPr>
          <w:bCs/>
        </w:rPr>
      </w:pPr>
      <w:r w:rsidRPr="00BC1828">
        <w:rPr>
          <w:bCs/>
        </w:rPr>
        <w:t xml:space="preserve">where sugar in a product is greater than a certain </w:t>
      </w:r>
      <w:r w:rsidR="00B20AD8" w:rsidRPr="00BC1828">
        <w:rPr>
          <w:bCs/>
        </w:rPr>
        <w:t>per</w:t>
      </w:r>
      <w:r w:rsidRPr="00BC1828">
        <w:rPr>
          <w:bCs/>
        </w:rPr>
        <w:t>cent, modifying points not be allowed to be used.</w:t>
      </w:r>
    </w:p>
    <w:p w14:paraId="58169AF3" w14:textId="5E4852BF" w:rsidR="00C7397C" w:rsidRPr="00C7397C" w:rsidRDefault="00C7397C" w:rsidP="00C7397C">
      <w:pPr>
        <w:pStyle w:val="ListParagraph"/>
        <w:ind w:left="357"/>
        <w:rPr>
          <w:bCs/>
        </w:rPr>
      </w:pPr>
      <w:r w:rsidRPr="00C7397C">
        <w:rPr>
          <w:bCs/>
        </w:rPr>
        <w:t xml:space="preserve"> </w:t>
      </w:r>
    </w:p>
    <w:p w14:paraId="4A61E09A" w14:textId="42052DD5" w:rsidR="001E34B8" w:rsidRDefault="004201B4" w:rsidP="003F3C46">
      <w:pPr>
        <w:pStyle w:val="mpcNormal"/>
        <w:spacing w:after="0"/>
      </w:pPr>
      <w:r>
        <w:t>Others did not share the</w:t>
      </w:r>
      <w:r w:rsidR="001E34B8">
        <w:t>se</w:t>
      </w:r>
      <w:r>
        <w:t xml:space="preserve"> view</w:t>
      </w:r>
      <w:r w:rsidR="001E34B8">
        <w:t>s and instead noted that:</w:t>
      </w:r>
    </w:p>
    <w:p w14:paraId="1A4809E4" w14:textId="382F4308" w:rsidR="00A0207E" w:rsidRDefault="00A0207E" w:rsidP="00004C64">
      <w:pPr>
        <w:pStyle w:val="ListParagraph"/>
        <w:numPr>
          <w:ilvl w:val="0"/>
          <w:numId w:val="27"/>
        </w:numPr>
        <w:ind w:left="357" w:hanging="357"/>
        <w:rPr>
          <w:bCs/>
        </w:rPr>
      </w:pPr>
      <w:r>
        <w:rPr>
          <w:bCs/>
        </w:rPr>
        <w:t>the HSR already takes</w:t>
      </w:r>
      <w:r w:rsidR="00E02009">
        <w:rPr>
          <w:bCs/>
        </w:rPr>
        <w:t xml:space="preserve"> sugar into account</w:t>
      </w:r>
      <w:r>
        <w:rPr>
          <w:bCs/>
        </w:rPr>
        <w:t xml:space="preserve"> in determining the HSR</w:t>
      </w:r>
    </w:p>
    <w:p w14:paraId="6C21E9AF" w14:textId="3FDFECF2" w:rsidR="001E34B8" w:rsidRPr="006B43A4" w:rsidRDefault="00B86C8C" w:rsidP="00004C64">
      <w:pPr>
        <w:pStyle w:val="ListParagraph"/>
        <w:numPr>
          <w:ilvl w:val="0"/>
          <w:numId w:val="27"/>
        </w:numPr>
        <w:ind w:left="357" w:hanging="357"/>
        <w:rPr>
          <w:bCs/>
        </w:rPr>
      </w:pPr>
      <w:r>
        <w:rPr>
          <w:bCs/>
        </w:rPr>
        <w:lastRenderedPageBreak/>
        <w:t>s</w:t>
      </w:r>
      <w:r w:rsidR="004E109C" w:rsidRPr="00B86C8C">
        <w:rPr>
          <w:bCs/>
        </w:rPr>
        <w:t>ugar sweeten</w:t>
      </w:r>
      <w:r w:rsidR="004B4710">
        <w:rPr>
          <w:bCs/>
        </w:rPr>
        <w:t xml:space="preserve">ed </w:t>
      </w:r>
      <w:r w:rsidR="001E34B8" w:rsidRPr="00B86C8C">
        <w:rPr>
          <w:bCs/>
        </w:rPr>
        <w:t>beverages are the majo</w:t>
      </w:r>
      <w:r w:rsidR="004B4710">
        <w:rPr>
          <w:bCs/>
        </w:rPr>
        <w:t>r source of free sugars in Australian</w:t>
      </w:r>
      <w:r w:rsidR="001E34B8" w:rsidRPr="00B86C8C">
        <w:rPr>
          <w:bCs/>
        </w:rPr>
        <w:t xml:space="preserve"> diets and beverages were the major source of total suga</w:t>
      </w:r>
      <w:r w:rsidR="004B4710">
        <w:rPr>
          <w:bCs/>
        </w:rPr>
        <w:t>r</w:t>
      </w:r>
      <w:r w:rsidR="00FC06E4">
        <w:rPr>
          <w:bCs/>
        </w:rPr>
        <w:t>s</w:t>
      </w:r>
      <w:r w:rsidR="001E34B8" w:rsidRPr="00B86C8C">
        <w:rPr>
          <w:bCs/>
        </w:rPr>
        <w:t xml:space="preserve"> in New Zealand child</w:t>
      </w:r>
      <w:r w:rsidR="004B4710">
        <w:rPr>
          <w:bCs/>
        </w:rPr>
        <w:t>r</w:t>
      </w:r>
      <w:r>
        <w:rPr>
          <w:bCs/>
        </w:rPr>
        <w:t>e</w:t>
      </w:r>
      <w:r w:rsidR="001E34B8" w:rsidRPr="00B86C8C">
        <w:rPr>
          <w:bCs/>
        </w:rPr>
        <w:t>n’s diets</w:t>
      </w:r>
      <w:r w:rsidR="004B4710">
        <w:rPr>
          <w:bCs/>
        </w:rPr>
        <w:t xml:space="preserve"> </w:t>
      </w:r>
      <w:r w:rsidR="006B43A4">
        <w:rPr>
          <w:bCs/>
        </w:rPr>
        <w:t xml:space="preserve">– </w:t>
      </w:r>
      <w:r w:rsidRPr="006B43A4">
        <w:rPr>
          <w:bCs/>
        </w:rPr>
        <w:t>t</w:t>
      </w:r>
      <w:r w:rsidR="001E34B8" w:rsidRPr="006B43A4">
        <w:rPr>
          <w:bCs/>
        </w:rPr>
        <w:t>h</w:t>
      </w:r>
      <w:r w:rsidRPr="006B43A4">
        <w:rPr>
          <w:bCs/>
        </w:rPr>
        <w:t>e</w:t>
      </w:r>
      <w:r w:rsidR="001E34B8" w:rsidRPr="006B43A4">
        <w:rPr>
          <w:bCs/>
        </w:rPr>
        <w:t xml:space="preserve"> HSR </w:t>
      </w:r>
      <w:r w:rsidR="004E109C" w:rsidRPr="006B43A4">
        <w:rPr>
          <w:bCs/>
        </w:rPr>
        <w:t>gen</w:t>
      </w:r>
      <w:r w:rsidR="004B4710" w:rsidRPr="006B43A4">
        <w:rPr>
          <w:bCs/>
        </w:rPr>
        <w:t xml:space="preserve">erally </w:t>
      </w:r>
      <w:r w:rsidR="004E109C" w:rsidRPr="006B43A4">
        <w:rPr>
          <w:bCs/>
        </w:rPr>
        <w:t>attributes appropriate star</w:t>
      </w:r>
      <w:r w:rsidRPr="006B43A4">
        <w:rPr>
          <w:bCs/>
        </w:rPr>
        <w:t xml:space="preserve"> </w:t>
      </w:r>
      <w:r w:rsidR="004B4710" w:rsidRPr="006B43A4">
        <w:rPr>
          <w:bCs/>
        </w:rPr>
        <w:t>r</w:t>
      </w:r>
      <w:r w:rsidR="004E109C" w:rsidRPr="006B43A4">
        <w:rPr>
          <w:bCs/>
        </w:rPr>
        <w:t>atings to th</w:t>
      </w:r>
      <w:r w:rsidRPr="006B43A4">
        <w:rPr>
          <w:bCs/>
        </w:rPr>
        <w:t>e</w:t>
      </w:r>
      <w:r w:rsidR="00280347">
        <w:rPr>
          <w:bCs/>
        </w:rPr>
        <w:t>se products (0.5 to 1.5</w:t>
      </w:r>
      <w:r w:rsidRPr="006B43A4">
        <w:rPr>
          <w:bCs/>
        </w:rPr>
        <w:t xml:space="preserve"> stars)</w:t>
      </w:r>
    </w:p>
    <w:p w14:paraId="4882B034" w14:textId="1196EB85" w:rsidR="004B4710" w:rsidRDefault="00DD0348" w:rsidP="00004C64">
      <w:pPr>
        <w:pStyle w:val="ListParagraph"/>
        <w:numPr>
          <w:ilvl w:val="0"/>
          <w:numId w:val="27"/>
        </w:numPr>
        <w:ind w:left="357" w:hanging="357"/>
        <w:rPr>
          <w:bCs/>
        </w:rPr>
      </w:pPr>
      <w:r>
        <w:rPr>
          <w:bCs/>
        </w:rPr>
        <w:t xml:space="preserve">there is no universally agreed definition for added sugars, with different definitions used in Australia, New Zealand and internationally (noting that the WHO uses the term free sugars </w:t>
      </w:r>
      <w:r w:rsidR="00A0207E">
        <w:rPr>
          <w:bCs/>
        </w:rPr>
        <w:t xml:space="preserve">and this </w:t>
      </w:r>
      <w:r>
        <w:rPr>
          <w:bCs/>
        </w:rPr>
        <w:t>includes sugars added to food as well as sugars in honey, fruit juice and fruit juice concentrates)</w:t>
      </w:r>
    </w:p>
    <w:p w14:paraId="63738CE6" w14:textId="17C586C4" w:rsidR="00DD0348" w:rsidRDefault="004B4710" w:rsidP="00004C64">
      <w:pPr>
        <w:pStyle w:val="ListParagraph"/>
        <w:numPr>
          <w:ilvl w:val="0"/>
          <w:numId w:val="27"/>
        </w:numPr>
        <w:ind w:left="357" w:hanging="357"/>
        <w:rPr>
          <w:bCs/>
        </w:rPr>
      </w:pPr>
      <w:r>
        <w:rPr>
          <w:bCs/>
        </w:rPr>
        <w:t xml:space="preserve">added </w:t>
      </w:r>
      <w:r w:rsidR="00DD0348">
        <w:rPr>
          <w:bCs/>
        </w:rPr>
        <w:t>sugars</w:t>
      </w:r>
      <w:r>
        <w:rPr>
          <w:bCs/>
        </w:rPr>
        <w:t xml:space="preserve"> are not </w:t>
      </w:r>
      <w:r w:rsidR="00DD0348">
        <w:rPr>
          <w:bCs/>
        </w:rPr>
        <w:t>chemically</w:t>
      </w:r>
      <w:r>
        <w:rPr>
          <w:bCs/>
        </w:rPr>
        <w:t xml:space="preserve"> </w:t>
      </w:r>
      <w:r w:rsidR="00DD0348">
        <w:rPr>
          <w:bCs/>
        </w:rPr>
        <w:t>different</w:t>
      </w:r>
      <w:r>
        <w:rPr>
          <w:bCs/>
        </w:rPr>
        <w:t xml:space="preserve"> to </w:t>
      </w:r>
      <w:r w:rsidR="00DD0348">
        <w:rPr>
          <w:bCs/>
        </w:rPr>
        <w:t>sugars</w:t>
      </w:r>
      <w:r>
        <w:rPr>
          <w:bCs/>
        </w:rPr>
        <w:t xml:space="preserve"> </w:t>
      </w:r>
      <w:r w:rsidR="00DD0348">
        <w:rPr>
          <w:bCs/>
        </w:rPr>
        <w:t>naturally</w:t>
      </w:r>
      <w:r>
        <w:rPr>
          <w:bCs/>
        </w:rPr>
        <w:t xml:space="preserve"> occurring in foods</w:t>
      </w:r>
      <w:r w:rsidR="00252C4A">
        <w:rPr>
          <w:bCs/>
        </w:rPr>
        <w:t>,</w:t>
      </w:r>
      <w:r>
        <w:rPr>
          <w:bCs/>
        </w:rPr>
        <w:t xml:space="preserve"> which makes it difficult to </w:t>
      </w:r>
      <w:r w:rsidR="00DD0348">
        <w:rPr>
          <w:bCs/>
        </w:rPr>
        <w:t>distinguish</w:t>
      </w:r>
      <w:r>
        <w:rPr>
          <w:bCs/>
        </w:rPr>
        <w:t xml:space="preserve"> between </w:t>
      </w:r>
      <w:r w:rsidR="00DD0348">
        <w:rPr>
          <w:bCs/>
        </w:rPr>
        <w:t>them</w:t>
      </w:r>
      <w:r>
        <w:rPr>
          <w:bCs/>
        </w:rPr>
        <w:t xml:space="preserve"> using analytical models</w:t>
      </w:r>
      <w:r w:rsidR="00A0207E">
        <w:rPr>
          <w:bCs/>
        </w:rPr>
        <w:t>, and</w:t>
      </w:r>
    </w:p>
    <w:p w14:paraId="3F5D99E8" w14:textId="0F4D8480" w:rsidR="008F3646" w:rsidRPr="00DD0348" w:rsidRDefault="00CB532D" w:rsidP="00004C64">
      <w:pPr>
        <w:pStyle w:val="ListParagraph"/>
        <w:numPr>
          <w:ilvl w:val="0"/>
          <w:numId w:val="27"/>
        </w:numPr>
        <w:ind w:left="357" w:hanging="357"/>
        <w:rPr>
          <w:bCs/>
        </w:rPr>
      </w:pPr>
      <w:r>
        <w:rPr>
          <w:bCs/>
        </w:rPr>
        <w:t xml:space="preserve">there are some studies </w:t>
      </w:r>
      <w:r w:rsidR="00A0207E">
        <w:rPr>
          <w:bCs/>
        </w:rPr>
        <w:t xml:space="preserve">(including </w:t>
      </w:r>
      <w:r w:rsidR="00DD0348" w:rsidRPr="00DD0348">
        <w:rPr>
          <w:bCs/>
        </w:rPr>
        <w:t>a review commissioned by NSW Health in 2015</w:t>
      </w:r>
      <w:r>
        <w:rPr>
          <w:rStyle w:val="FootnoteReference"/>
          <w:bCs/>
        </w:rPr>
        <w:footnoteReference w:id="9"/>
      </w:r>
      <w:r w:rsidR="00A0207E">
        <w:rPr>
          <w:bCs/>
        </w:rPr>
        <w:t>)</w:t>
      </w:r>
      <w:r w:rsidR="00DD0348" w:rsidRPr="00DD0348">
        <w:rPr>
          <w:bCs/>
        </w:rPr>
        <w:t xml:space="preserve"> </w:t>
      </w:r>
      <w:r w:rsidR="00A0207E">
        <w:rPr>
          <w:bCs/>
        </w:rPr>
        <w:t xml:space="preserve">that </w:t>
      </w:r>
      <w:r>
        <w:rPr>
          <w:bCs/>
        </w:rPr>
        <w:t>suggest</w:t>
      </w:r>
      <w:r w:rsidR="00A0207E">
        <w:rPr>
          <w:bCs/>
        </w:rPr>
        <w:t xml:space="preserve"> while </w:t>
      </w:r>
      <w:r w:rsidR="00DD0348" w:rsidRPr="00DD0348">
        <w:rPr>
          <w:bCs/>
        </w:rPr>
        <w:t xml:space="preserve">there </w:t>
      </w:r>
      <w:r w:rsidR="00A0207E">
        <w:rPr>
          <w:bCs/>
        </w:rPr>
        <w:t xml:space="preserve">is </w:t>
      </w:r>
      <w:r w:rsidR="00DD0348" w:rsidRPr="00DD0348">
        <w:rPr>
          <w:bCs/>
        </w:rPr>
        <w:t xml:space="preserve">evidence to </w:t>
      </w:r>
      <w:r w:rsidR="00A0207E">
        <w:rPr>
          <w:bCs/>
        </w:rPr>
        <w:t xml:space="preserve">support concerns </w:t>
      </w:r>
      <w:r w:rsidR="00DD0348" w:rsidRPr="00DD0348">
        <w:rPr>
          <w:bCs/>
        </w:rPr>
        <w:t>about levels of su</w:t>
      </w:r>
      <w:r w:rsidR="009E3992">
        <w:rPr>
          <w:bCs/>
        </w:rPr>
        <w:t xml:space="preserve">gar intake in the form of </w:t>
      </w:r>
      <w:r w:rsidR="009E3992">
        <w:rPr>
          <w:bCs/>
        </w:rPr>
        <w:br/>
        <w:t>sugar-</w:t>
      </w:r>
      <w:r w:rsidR="00DD0348" w:rsidRPr="00DD0348">
        <w:rPr>
          <w:bCs/>
        </w:rPr>
        <w:t>sweetened beverages</w:t>
      </w:r>
      <w:r w:rsidR="00A0207E">
        <w:rPr>
          <w:bCs/>
        </w:rPr>
        <w:t xml:space="preserve">, there is </w:t>
      </w:r>
      <w:r w:rsidR="00DD0348" w:rsidRPr="00DD0348">
        <w:rPr>
          <w:bCs/>
        </w:rPr>
        <w:t>insufficient evidence to support concerns regarding the added sugar content of otherwise nutritious foods (such as yoghurt, flavoured milk or breakfast cereal), beyond their contribution to overall kilojoule intake (noting that most of the evidence was from observational studies</w:t>
      </w:r>
      <w:r w:rsidR="00DD0348">
        <w:rPr>
          <w:bCs/>
        </w:rPr>
        <w:t>)</w:t>
      </w:r>
      <w:r w:rsidR="00DD0348" w:rsidRPr="00DD0348">
        <w:rPr>
          <w:bCs/>
        </w:rPr>
        <w:t>.</w:t>
      </w:r>
    </w:p>
    <w:p w14:paraId="1C89F2DE" w14:textId="77777777" w:rsidR="008F3646" w:rsidRDefault="008F3646" w:rsidP="008F3646">
      <w:pPr>
        <w:rPr>
          <w:bCs/>
        </w:rPr>
      </w:pPr>
    </w:p>
    <w:p w14:paraId="08B060E9" w14:textId="036AF9F4" w:rsidR="00DD0348" w:rsidRPr="00BC1828" w:rsidRDefault="00DD0348" w:rsidP="008F3646">
      <w:pPr>
        <w:pStyle w:val="mpcbullets2"/>
        <w:numPr>
          <w:ilvl w:val="0"/>
          <w:numId w:val="0"/>
        </w:numPr>
      </w:pPr>
      <w:r w:rsidRPr="00BC1828">
        <w:t>W</w:t>
      </w:r>
      <w:r w:rsidR="008F3646" w:rsidRPr="00BC1828">
        <w:t>e are conscious that</w:t>
      </w:r>
      <w:r w:rsidRPr="00BC1828">
        <w:t>:</w:t>
      </w:r>
    </w:p>
    <w:p w14:paraId="34D02D00" w14:textId="29957659" w:rsidR="00DD0348" w:rsidRPr="00BC1828" w:rsidRDefault="008F3646" w:rsidP="003263BE">
      <w:pPr>
        <w:pStyle w:val="mpcNormal"/>
        <w:numPr>
          <w:ilvl w:val="0"/>
          <w:numId w:val="22"/>
        </w:numPr>
        <w:spacing w:after="0"/>
        <w:ind w:left="357" w:hanging="357"/>
      </w:pPr>
      <w:r w:rsidRPr="00BC1828">
        <w:t xml:space="preserve">much </w:t>
      </w:r>
      <w:r w:rsidR="00DD0348" w:rsidRPr="00BC1828">
        <w:t>has been written about sugar</w:t>
      </w:r>
      <w:r w:rsidR="00FC06E4" w:rsidRPr="00BC1828">
        <w:t>s</w:t>
      </w:r>
      <w:r w:rsidRPr="00BC1828">
        <w:t xml:space="preserve"> </w:t>
      </w:r>
    </w:p>
    <w:p w14:paraId="197828F6" w14:textId="3A39A580" w:rsidR="00336D07" w:rsidRDefault="00336D07" w:rsidP="003263BE">
      <w:pPr>
        <w:pStyle w:val="mpcNormal"/>
        <w:numPr>
          <w:ilvl w:val="0"/>
          <w:numId w:val="22"/>
        </w:numPr>
        <w:spacing w:after="0"/>
        <w:ind w:left="357" w:hanging="357"/>
      </w:pPr>
      <w:r>
        <w:t xml:space="preserve">use of and reference to ‘evidence’ in relation to sugar in the diet is confounded by </w:t>
      </w:r>
      <w:r w:rsidR="00B57096">
        <w:t xml:space="preserve">the </w:t>
      </w:r>
      <w:r>
        <w:t>different ways in which sugar is framed</w:t>
      </w:r>
      <w:r w:rsidR="00B57096">
        <w:t>. For example, contributions to total energy and hence overweight and obesity; physiological effects as a nutrient/carbohydrate; negative impacts related to dental ca</w:t>
      </w:r>
      <w:r w:rsidR="005C0522">
        <w:t>r</w:t>
      </w:r>
      <w:r w:rsidR="00B57096">
        <w:t>ies; or an intrinsic component of whole food (for example, fruit)</w:t>
      </w:r>
    </w:p>
    <w:p w14:paraId="3E70132B" w14:textId="69F7CAEA" w:rsidR="00DD0348" w:rsidRPr="00BC1828" w:rsidRDefault="008F3646" w:rsidP="003263BE">
      <w:pPr>
        <w:pStyle w:val="mpcNormal"/>
        <w:numPr>
          <w:ilvl w:val="0"/>
          <w:numId w:val="22"/>
        </w:numPr>
        <w:spacing w:after="0"/>
        <w:ind w:left="357" w:hanging="357"/>
      </w:pPr>
      <w:r w:rsidRPr="00BC1828">
        <w:t xml:space="preserve">the evidence is </w:t>
      </w:r>
      <w:r w:rsidR="00DD0348" w:rsidRPr="00BC1828">
        <w:t xml:space="preserve">strong in some areas, </w:t>
      </w:r>
      <w:r w:rsidRPr="00BC1828">
        <w:t xml:space="preserve">conflicting </w:t>
      </w:r>
      <w:r w:rsidR="00DD0348" w:rsidRPr="00BC1828">
        <w:t>in others and non-conclusive in others</w:t>
      </w:r>
    </w:p>
    <w:p w14:paraId="7ED90995" w14:textId="27282C7F" w:rsidR="00DD0348" w:rsidRPr="00BC1828" w:rsidRDefault="00DD0348" w:rsidP="003263BE">
      <w:pPr>
        <w:pStyle w:val="mpcNormal"/>
        <w:numPr>
          <w:ilvl w:val="0"/>
          <w:numId w:val="22"/>
        </w:numPr>
        <w:spacing w:after="0"/>
        <w:ind w:left="357" w:hanging="357"/>
      </w:pPr>
      <w:r w:rsidRPr="00BC1828">
        <w:t>depending on when national or international dietary guidelines were written</w:t>
      </w:r>
      <w:r w:rsidR="00E40D41" w:rsidRPr="00BC1828">
        <w:t>,</w:t>
      </w:r>
      <w:r w:rsidR="00BC1828" w:rsidRPr="00BC1828">
        <w:t xml:space="preserve"> the strength</w:t>
      </w:r>
      <w:r w:rsidRPr="00BC1828">
        <w:t xml:space="preserve"> of </w:t>
      </w:r>
      <w:r w:rsidR="00BC1828" w:rsidRPr="00BC1828">
        <w:t xml:space="preserve">the </w:t>
      </w:r>
      <w:r w:rsidRPr="00BC1828">
        <w:t>statements around sugar</w:t>
      </w:r>
      <w:r w:rsidR="001375A8" w:rsidRPr="00BC1828">
        <w:t>s</w:t>
      </w:r>
      <w:r w:rsidR="00BC1828" w:rsidRPr="00BC1828">
        <w:t xml:space="preserve"> varies</w:t>
      </w:r>
    </w:p>
    <w:p w14:paraId="3A8E54D5" w14:textId="0DEB13AA" w:rsidR="00DD0348" w:rsidRPr="00BC1828" w:rsidRDefault="00BF0408" w:rsidP="00BF0408">
      <w:pPr>
        <w:pStyle w:val="mpcNormal"/>
        <w:numPr>
          <w:ilvl w:val="0"/>
          <w:numId w:val="22"/>
        </w:numPr>
        <w:spacing w:after="0"/>
        <w:ind w:left="357" w:hanging="357"/>
      </w:pPr>
      <w:r w:rsidRPr="00BC1828">
        <w:t>in April 2017, the Forum agreed a work program on sugars to ensure consumers are provided adequate contextual information regarding sugars to support informed decision</w:t>
      </w:r>
      <w:r w:rsidR="00280347">
        <w:t xml:space="preserve"> </w:t>
      </w:r>
      <w:r w:rsidRPr="00BC1828">
        <w:t>making. This work includes gathering further evidence on consu</w:t>
      </w:r>
      <w:r w:rsidR="00BC1828" w:rsidRPr="00BC1828">
        <w:t>mer understanding and behaviour and</w:t>
      </w:r>
      <w:r w:rsidRPr="00BC1828">
        <w:t xml:space="preserve"> exploring international approaches to sugar labelling </w:t>
      </w:r>
    </w:p>
    <w:p w14:paraId="75DA5F91" w14:textId="6086D34D" w:rsidR="00BF0408" w:rsidRPr="00BC1828" w:rsidRDefault="00BF0408" w:rsidP="00BF0408">
      <w:pPr>
        <w:pStyle w:val="mpcNormal"/>
        <w:numPr>
          <w:ilvl w:val="0"/>
          <w:numId w:val="22"/>
        </w:numPr>
        <w:spacing w:after="0"/>
        <w:ind w:left="357" w:hanging="357"/>
      </w:pPr>
      <w:r w:rsidRPr="00BC1828">
        <w:t>strong views are held by different stakeholders, and</w:t>
      </w:r>
    </w:p>
    <w:p w14:paraId="533CBBAF" w14:textId="65EA0135" w:rsidR="00197FD2" w:rsidRPr="00BC1828" w:rsidRDefault="00197FD2" w:rsidP="003263BE">
      <w:pPr>
        <w:pStyle w:val="mpcNormal"/>
        <w:numPr>
          <w:ilvl w:val="0"/>
          <w:numId w:val="22"/>
        </w:numPr>
        <w:spacing w:after="0"/>
        <w:ind w:left="357" w:hanging="357"/>
      </w:pPr>
      <w:r w:rsidRPr="00BC1828">
        <w:t xml:space="preserve">much of the negative media surrounding </w:t>
      </w:r>
      <w:r w:rsidR="00A0207E" w:rsidRPr="00BC1828">
        <w:t xml:space="preserve">the </w:t>
      </w:r>
      <w:r w:rsidRPr="00BC1828">
        <w:t>HSR</w:t>
      </w:r>
      <w:r w:rsidR="00A0207E" w:rsidRPr="00BC1828">
        <w:t xml:space="preserve"> system</w:t>
      </w:r>
      <w:r w:rsidRPr="00BC1828">
        <w:t xml:space="preserve"> (and the reported impact on consumer confidence) has related to concerns about products </w:t>
      </w:r>
      <w:r w:rsidR="00A0207E" w:rsidRPr="00BC1828">
        <w:t xml:space="preserve">that are </w:t>
      </w:r>
      <w:r w:rsidRPr="00BC1828">
        <w:t>relatively high in sugar</w:t>
      </w:r>
      <w:r w:rsidR="00FC06E4" w:rsidRPr="00BC1828">
        <w:t>s</w:t>
      </w:r>
      <w:r w:rsidRPr="00BC1828">
        <w:t xml:space="preserve">. </w:t>
      </w:r>
    </w:p>
    <w:p w14:paraId="3E172CAD" w14:textId="77777777" w:rsidR="00DD0348" w:rsidRDefault="00DD0348" w:rsidP="008F3646">
      <w:pPr>
        <w:pStyle w:val="mpcbullets2"/>
        <w:numPr>
          <w:ilvl w:val="0"/>
          <w:numId w:val="0"/>
        </w:numPr>
      </w:pPr>
    </w:p>
    <w:p w14:paraId="7BB1D9CF" w14:textId="6C2DBA64" w:rsidR="00197FD2" w:rsidRPr="00470126" w:rsidRDefault="00197FD2" w:rsidP="00197FD2">
      <w:pPr>
        <w:pStyle w:val="mpcNormal"/>
      </w:pPr>
      <w:r>
        <w:t xml:space="preserve">Against the principles </w:t>
      </w:r>
      <w:r w:rsidR="008216B4">
        <w:t>of</w:t>
      </w:r>
      <w:r>
        <w:t xml:space="preserve"> the Review, we will be considering </w:t>
      </w:r>
      <w:r w:rsidR="00B77D47">
        <w:t xml:space="preserve">the </w:t>
      </w:r>
      <w:r>
        <w:t>bre</w:t>
      </w:r>
      <w:r w:rsidR="00B77D47">
        <w:t>adth and</w:t>
      </w:r>
      <w:r>
        <w:t xml:space="preserve"> quality of evidence to inform this issue. We will also be seeking advice from the TAG and others to provide a comprehensive analysis of sugar</w:t>
      </w:r>
      <w:r w:rsidR="00FC06E4">
        <w:t>s</w:t>
      </w:r>
      <w:r>
        <w:t xml:space="preserve"> (and the options) for consultation through the third discussion paper to be published in </w:t>
      </w:r>
      <w:r w:rsidR="00294395">
        <w:t>July</w:t>
      </w:r>
      <w:r>
        <w:t xml:space="preserve"> 2018. </w:t>
      </w:r>
    </w:p>
    <w:p w14:paraId="275E8C06" w14:textId="19644B18" w:rsidR="00197FD2" w:rsidRPr="008F3646" w:rsidRDefault="00197FD2" w:rsidP="008F3646">
      <w:pPr>
        <w:pStyle w:val="mpcbullets2"/>
        <w:numPr>
          <w:ilvl w:val="0"/>
          <w:numId w:val="0"/>
        </w:numPr>
      </w:pPr>
      <w:r>
        <w:t xml:space="preserve">Some issues for </w:t>
      </w:r>
      <w:r w:rsidR="00A0207E">
        <w:t xml:space="preserve">examination </w:t>
      </w:r>
      <w:r>
        <w:t>include:</w:t>
      </w:r>
    </w:p>
    <w:p w14:paraId="0B9CE289" w14:textId="3B81035D" w:rsidR="00A0207E" w:rsidRDefault="00A0207E" w:rsidP="003263BE">
      <w:pPr>
        <w:pStyle w:val="mpcNormal"/>
        <w:numPr>
          <w:ilvl w:val="0"/>
          <w:numId w:val="22"/>
        </w:numPr>
        <w:spacing w:after="0"/>
        <w:ind w:left="357" w:hanging="357"/>
      </w:pPr>
      <w:r>
        <w:t xml:space="preserve">clearly defining the </w:t>
      </w:r>
      <w:r w:rsidR="001375A8">
        <w:t>issue</w:t>
      </w:r>
      <w:r>
        <w:t xml:space="preserve"> in relation to sugar</w:t>
      </w:r>
      <w:r w:rsidR="001375A8">
        <w:t>s</w:t>
      </w:r>
      <w:r>
        <w:t xml:space="preserve"> and the HSR</w:t>
      </w:r>
      <w:r w:rsidR="001375A8">
        <w:t>, and assessing the strength of the evidence that there is an issue</w:t>
      </w:r>
    </w:p>
    <w:p w14:paraId="07F89CBB" w14:textId="5D7A0541" w:rsidR="00197FD2" w:rsidRDefault="00A0207E" w:rsidP="003263BE">
      <w:pPr>
        <w:pStyle w:val="mpcNormal"/>
        <w:numPr>
          <w:ilvl w:val="0"/>
          <w:numId w:val="22"/>
        </w:numPr>
        <w:spacing w:after="0"/>
        <w:ind w:left="357" w:hanging="357"/>
      </w:pPr>
      <w:r>
        <w:t>determining whether concerns surrounding sugar</w:t>
      </w:r>
      <w:r w:rsidR="009E3992">
        <w:t>s</w:t>
      </w:r>
      <w:r>
        <w:t xml:space="preserve"> </w:t>
      </w:r>
      <w:r w:rsidR="00197FD2">
        <w:t xml:space="preserve">are more pronounced around certain products, sub-categories or categories of food or beverage </w:t>
      </w:r>
    </w:p>
    <w:p w14:paraId="1A186162" w14:textId="07298C19" w:rsidR="00BC1828" w:rsidRDefault="00BC1828" w:rsidP="003263BE">
      <w:pPr>
        <w:pStyle w:val="mpcNormal"/>
        <w:numPr>
          <w:ilvl w:val="0"/>
          <w:numId w:val="22"/>
        </w:numPr>
        <w:spacing w:after="0"/>
        <w:ind w:left="357" w:hanging="357"/>
      </w:pPr>
      <w:r>
        <w:lastRenderedPageBreak/>
        <w:t>whether possible changes in other areas, will have knock-on effects that reduce concerns surrounding sugars</w:t>
      </w:r>
    </w:p>
    <w:p w14:paraId="1B4A9355" w14:textId="759C62B3" w:rsidR="003E1D3B" w:rsidRDefault="00B77D47" w:rsidP="003263BE">
      <w:pPr>
        <w:pStyle w:val="mpcNormal"/>
        <w:numPr>
          <w:ilvl w:val="0"/>
          <w:numId w:val="22"/>
        </w:numPr>
        <w:spacing w:after="0"/>
        <w:ind w:left="357" w:hanging="357"/>
      </w:pPr>
      <w:r>
        <w:t>i</w:t>
      </w:r>
      <w:r w:rsidR="003E1D3B">
        <w:t>f</w:t>
      </w:r>
      <w:r>
        <w:t xml:space="preserve"> the evidence supports distinguishing added sugar</w:t>
      </w:r>
      <w:r w:rsidR="001375A8">
        <w:t>s</w:t>
      </w:r>
      <w:r>
        <w:t xml:space="preserve"> from intrinsic </w:t>
      </w:r>
      <w:r w:rsidR="003E1D3B">
        <w:t>sugars</w:t>
      </w:r>
      <w:r>
        <w:t>, considering</w:t>
      </w:r>
      <w:r w:rsidR="00114A2B">
        <w:t>:</w:t>
      </w:r>
      <w:r w:rsidR="003E1D3B">
        <w:t xml:space="preserve"> </w:t>
      </w:r>
    </w:p>
    <w:p w14:paraId="55ACE013" w14:textId="67FD1446" w:rsidR="00114A2B" w:rsidRDefault="00B77D47" w:rsidP="00907B45">
      <w:pPr>
        <w:pStyle w:val="mpcbullets2"/>
        <w:ind w:left="714" w:hanging="357"/>
      </w:pPr>
      <w:r>
        <w:t xml:space="preserve">how </w:t>
      </w:r>
      <w:r w:rsidR="000234E7">
        <w:t>added sugar</w:t>
      </w:r>
      <w:r w:rsidR="001375A8">
        <w:t>s</w:t>
      </w:r>
      <w:r w:rsidR="000234E7">
        <w:t xml:space="preserve"> </w:t>
      </w:r>
      <w:r>
        <w:t>should be defined</w:t>
      </w:r>
      <w:r w:rsidR="00907B45">
        <w:t xml:space="preserve"> and </w:t>
      </w:r>
      <w:r w:rsidR="00114A2B">
        <w:t>distinguish</w:t>
      </w:r>
      <w:r w:rsidR="00907B45">
        <w:t>ed</w:t>
      </w:r>
      <w:r>
        <w:t xml:space="preserve"> </w:t>
      </w:r>
      <w:r w:rsidR="00114A2B">
        <w:t>from intrinsi</w:t>
      </w:r>
      <w:r>
        <w:t>c sugars</w:t>
      </w:r>
    </w:p>
    <w:p w14:paraId="1B7CF6BA" w14:textId="79C6FD67" w:rsidR="003E1D3B" w:rsidRDefault="00B77D47" w:rsidP="00470126">
      <w:pPr>
        <w:pStyle w:val="mpcbullets2"/>
        <w:ind w:left="714" w:hanging="357"/>
      </w:pPr>
      <w:r>
        <w:t xml:space="preserve">the </w:t>
      </w:r>
      <w:r w:rsidR="003E1D3B">
        <w:t xml:space="preserve">impact </w:t>
      </w:r>
      <w:r>
        <w:t>on the HSR</w:t>
      </w:r>
    </w:p>
    <w:p w14:paraId="1702F21B" w14:textId="73E74041" w:rsidR="003E1D3B" w:rsidRDefault="00B77D47" w:rsidP="00470126">
      <w:pPr>
        <w:pStyle w:val="mpcbullets2"/>
        <w:ind w:left="714" w:hanging="357"/>
      </w:pPr>
      <w:r>
        <w:t>whether consideration of the addition of added sugar</w:t>
      </w:r>
      <w:r w:rsidR="001375A8">
        <w:t>s</w:t>
      </w:r>
      <w:r>
        <w:t xml:space="preserve"> </w:t>
      </w:r>
      <w:r w:rsidR="003E1D3B">
        <w:t>would address the categories and</w:t>
      </w:r>
      <w:r w:rsidR="00114A2B">
        <w:t>/or products of concern for stakeholders,</w:t>
      </w:r>
      <w:r w:rsidR="003E1D3B">
        <w:t xml:space="preserve"> which include breakfast cereal</w:t>
      </w:r>
      <w:r>
        <w:t>s, fruit juices and muesli bars</w:t>
      </w:r>
    </w:p>
    <w:p w14:paraId="398D1825" w14:textId="4CE3B188" w:rsidR="003E1D3B" w:rsidRDefault="00B77D47" w:rsidP="00470126">
      <w:pPr>
        <w:pStyle w:val="mpcbullets2"/>
        <w:ind w:left="714" w:hanging="357"/>
      </w:pPr>
      <w:r>
        <w:t>any</w:t>
      </w:r>
      <w:r w:rsidR="003E1D3B">
        <w:t xml:space="preserve"> implementation implication</w:t>
      </w:r>
      <w:r w:rsidR="00114A2B">
        <w:t>s</w:t>
      </w:r>
      <w:r w:rsidR="001375A8">
        <w:t xml:space="preserve"> (including alignment with the Food Standards Code)</w:t>
      </w:r>
    </w:p>
    <w:p w14:paraId="2BF0C449" w14:textId="536B696C" w:rsidR="000C620E" w:rsidRPr="00D9511D" w:rsidRDefault="00B77D47" w:rsidP="00004C64">
      <w:pPr>
        <w:pStyle w:val="ListParagraph"/>
        <w:numPr>
          <w:ilvl w:val="0"/>
          <w:numId w:val="27"/>
        </w:numPr>
        <w:ind w:left="357" w:hanging="357"/>
        <w:rPr>
          <w:lang w:val="en-AU"/>
        </w:rPr>
      </w:pPr>
      <w:r>
        <w:rPr>
          <w:bCs/>
        </w:rPr>
        <w:t>i</w:t>
      </w:r>
      <w:r w:rsidR="000C620E" w:rsidRPr="001C64D9">
        <w:rPr>
          <w:bCs/>
        </w:rPr>
        <w:t xml:space="preserve">f </w:t>
      </w:r>
      <w:r>
        <w:rPr>
          <w:bCs/>
        </w:rPr>
        <w:t>the evidence supports the imposition of caps, whether this is</w:t>
      </w:r>
      <w:r w:rsidR="000C620E" w:rsidRPr="001C64D9">
        <w:rPr>
          <w:bCs/>
        </w:rPr>
        <w:t xml:space="preserve"> re</w:t>
      </w:r>
      <w:r w:rsidR="00114A2B">
        <w:rPr>
          <w:bCs/>
        </w:rPr>
        <w:t>levant to all categories or</w:t>
      </w:r>
      <w:r w:rsidR="000C620E" w:rsidRPr="001C64D9">
        <w:rPr>
          <w:bCs/>
        </w:rPr>
        <w:t xml:space="preserve"> only</w:t>
      </w:r>
      <w:r w:rsidR="00114A2B">
        <w:rPr>
          <w:bCs/>
        </w:rPr>
        <w:t xml:space="preserve"> so</w:t>
      </w:r>
      <w:r w:rsidR="00114A2B" w:rsidRPr="00D9511D">
        <w:rPr>
          <w:lang w:val="en-AU"/>
        </w:rPr>
        <w:t>me</w:t>
      </w:r>
      <w:r w:rsidR="00D9511D" w:rsidRPr="00D9511D">
        <w:rPr>
          <w:lang w:val="en-AU"/>
        </w:rPr>
        <w:t>, and</w:t>
      </w:r>
    </w:p>
    <w:p w14:paraId="09062479" w14:textId="626B8F75" w:rsidR="0040750D" w:rsidRPr="00D9511D" w:rsidRDefault="00051D64" w:rsidP="00D9511D">
      <w:pPr>
        <w:pStyle w:val="ListParagraph"/>
        <w:numPr>
          <w:ilvl w:val="0"/>
          <w:numId w:val="22"/>
        </w:numPr>
        <w:spacing w:after="240"/>
        <w:ind w:left="357" w:hanging="357"/>
        <w:rPr>
          <w:lang w:val="en-AU"/>
        </w:rPr>
      </w:pPr>
      <w:r w:rsidRPr="00D9511D">
        <w:rPr>
          <w:lang w:val="en-AU"/>
        </w:rPr>
        <w:t>i</w:t>
      </w:r>
      <w:r w:rsidR="003E1D3B" w:rsidRPr="00D9511D">
        <w:rPr>
          <w:lang w:val="en-AU"/>
        </w:rPr>
        <w:t xml:space="preserve">f there are </w:t>
      </w:r>
      <w:r w:rsidR="000C620E" w:rsidRPr="00D9511D">
        <w:rPr>
          <w:lang w:val="en-AU"/>
        </w:rPr>
        <w:t>changes to</w:t>
      </w:r>
      <w:r w:rsidR="00C66CFF" w:rsidRPr="00D9511D">
        <w:rPr>
          <w:lang w:val="en-AU"/>
        </w:rPr>
        <w:t xml:space="preserve"> the treatment of</w:t>
      </w:r>
      <w:r w:rsidR="00903A02" w:rsidRPr="00D9511D">
        <w:rPr>
          <w:lang w:val="en-AU"/>
        </w:rPr>
        <w:t xml:space="preserve"> sugar</w:t>
      </w:r>
      <w:r w:rsidR="001375A8" w:rsidRPr="00D9511D">
        <w:rPr>
          <w:lang w:val="en-AU"/>
        </w:rPr>
        <w:t>s</w:t>
      </w:r>
      <w:r w:rsidR="00903A02" w:rsidRPr="00D9511D">
        <w:rPr>
          <w:lang w:val="en-AU"/>
        </w:rPr>
        <w:t>, how</w:t>
      </w:r>
      <w:r w:rsidR="000C620E" w:rsidRPr="00D9511D">
        <w:rPr>
          <w:lang w:val="en-AU"/>
        </w:rPr>
        <w:t xml:space="preserve"> this </w:t>
      </w:r>
      <w:r w:rsidR="00903A02" w:rsidRPr="00D9511D">
        <w:rPr>
          <w:lang w:val="en-AU"/>
        </w:rPr>
        <w:t xml:space="preserve">would </w:t>
      </w:r>
      <w:r w:rsidR="000C620E" w:rsidRPr="00D9511D">
        <w:rPr>
          <w:lang w:val="en-AU"/>
        </w:rPr>
        <w:t>impact</w:t>
      </w:r>
      <w:r w:rsidR="00657E3C" w:rsidRPr="00D9511D">
        <w:rPr>
          <w:lang w:val="en-AU"/>
        </w:rPr>
        <w:t>/</w:t>
      </w:r>
      <w:r w:rsidR="00903A02" w:rsidRPr="00D9511D">
        <w:rPr>
          <w:lang w:val="en-AU"/>
        </w:rPr>
        <w:t>overlap with energy</w:t>
      </w:r>
      <w:r w:rsidRPr="00D9511D">
        <w:rPr>
          <w:lang w:val="en-AU"/>
        </w:rPr>
        <w:t xml:space="preserve"> and</w:t>
      </w:r>
      <w:r w:rsidR="00D9511D" w:rsidRPr="00D9511D">
        <w:rPr>
          <w:lang w:val="en-AU"/>
        </w:rPr>
        <w:t xml:space="preserve"> </w:t>
      </w:r>
      <w:r w:rsidR="000C620E" w:rsidRPr="00D9511D">
        <w:rPr>
          <w:lang w:val="en-AU"/>
        </w:rPr>
        <w:t xml:space="preserve">how </w:t>
      </w:r>
      <w:r w:rsidR="00903A02" w:rsidRPr="00D9511D">
        <w:rPr>
          <w:lang w:val="en-AU"/>
        </w:rPr>
        <w:t xml:space="preserve">this </w:t>
      </w:r>
      <w:r w:rsidR="000C620E" w:rsidRPr="00D9511D">
        <w:rPr>
          <w:lang w:val="en-AU"/>
        </w:rPr>
        <w:t>would impact core foods (</w:t>
      </w:r>
      <w:r w:rsidR="003E1D3B" w:rsidRPr="00D9511D">
        <w:rPr>
          <w:lang w:val="en-AU"/>
        </w:rPr>
        <w:t>especially fruit and</w:t>
      </w:r>
      <w:r w:rsidR="0040750D" w:rsidRPr="00D9511D">
        <w:rPr>
          <w:lang w:val="en-AU"/>
        </w:rPr>
        <w:t xml:space="preserve"> </w:t>
      </w:r>
      <w:r w:rsidR="00903A02" w:rsidRPr="00D9511D">
        <w:rPr>
          <w:lang w:val="en-AU"/>
        </w:rPr>
        <w:t>dairy)</w:t>
      </w:r>
      <w:r w:rsidR="00E40D41" w:rsidRPr="00D9511D">
        <w:rPr>
          <w:lang w:val="en-AU"/>
        </w:rPr>
        <w:t>.</w:t>
      </w:r>
    </w:p>
    <w:p w14:paraId="6E752B10" w14:textId="06FD6DFF" w:rsidR="006C268E" w:rsidRDefault="006C268E" w:rsidP="00610743">
      <w:pPr>
        <w:pStyle w:val="mpcheading2"/>
        <w:spacing w:after="0"/>
      </w:pPr>
      <w:bookmarkStart w:id="63" w:name="_Toc503880621"/>
      <w:r>
        <w:t>Concerns about ‘positive’ foods or nutrients influencing modifying points</w:t>
      </w:r>
      <w:bookmarkEnd w:id="63"/>
    </w:p>
    <w:p w14:paraId="593AE2C8" w14:textId="77777777" w:rsidR="003E1D3B" w:rsidRDefault="003E1D3B" w:rsidP="00610743">
      <w:pPr>
        <w:pStyle w:val="mpcNormal"/>
        <w:spacing w:after="0"/>
        <w:rPr>
          <w:b/>
        </w:rPr>
      </w:pPr>
    </w:p>
    <w:p w14:paraId="7DA176C4" w14:textId="77777777" w:rsidR="003E1D3B" w:rsidRDefault="003E1D3B" w:rsidP="00BD13C2">
      <w:pPr>
        <w:pStyle w:val="mpcheading3"/>
      </w:pPr>
      <w:bookmarkStart w:id="64" w:name="_Toc503802318"/>
      <w:bookmarkStart w:id="65" w:name="_Toc503804532"/>
      <w:r w:rsidRPr="0075320D">
        <w:t>Wholegrain</w:t>
      </w:r>
      <w:bookmarkEnd w:id="64"/>
      <w:bookmarkEnd w:id="65"/>
      <w:r w:rsidRPr="0075320D">
        <w:t xml:space="preserve"> </w:t>
      </w:r>
    </w:p>
    <w:p w14:paraId="26AF42D2" w14:textId="22354BEE" w:rsidR="003E1D3B" w:rsidRDefault="003E1D3B" w:rsidP="00BD13C2">
      <w:pPr>
        <w:pStyle w:val="mpcNormal"/>
      </w:pPr>
      <w:r w:rsidRPr="00EE7164">
        <w:t xml:space="preserve">A number of stakeholders have submitted that the </w:t>
      </w:r>
      <w:r w:rsidR="00464662">
        <w:t xml:space="preserve">HSR </w:t>
      </w:r>
      <w:r w:rsidRPr="00EE7164">
        <w:t xml:space="preserve">system should better reflect the protective effect of wholegrain. </w:t>
      </w:r>
      <w:r>
        <w:t>Stakeholders have noted the wide range of studies comparing wholegrain intake with survival/mortality, chronic disease and health status, and surrogate markers of disease. Overall</w:t>
      </w:r>
      <w:r w:rsidR="00922AB9">
        <w:t>,</w:t>
      </w:r>
      <w:r>
        <w:t xml:space="preserve"> the studies suggest a strong association between wholegrain intake and a reduced ris</w:t>
      </w:r>
      <w:r w:rsidR="00922AB9">
        <w:t>k of coronary heart disease, cardiovascular disease</w:t>
      </w:r>
      <w:r>
        <w:t xml:space="preserve"> and total cancers.</w:t>
      </w:r>
    </w:p>
    <w:p w14:paraId="75010E4D" w14:textId="64553A07" w:rsidR="00363733" w:rsidRDefault="00346FF7" w:rsidP="00BD13C2">
      <w:pPr>
        <w:pStyle w:val="mpcNormal"/>
      </w:pPr>
      <w:r>
        <w:t>In considering Principle 1 (refer Chapter 3 of this Paper) and</w:t>
      </w:r>
      <w:r w:rsidR="003E1D3B">
        <w:t xml:space="preserve"> alignment with </w:t>
      </w:r>
      <w:r w:rsidR="00922AB9">
        <w:t xml:space="preserve">the </w:t>
      </w:r>
      <w:r w:rsidR="003E1D3B">
        <w:t>ADG</w:t>
      </w:r>
      <w:r w:rsidR="00C55F83">
        <w:t xml:space="preserve"> and the NZEAG</w:t>
      </w:r>
      <w:r w:rsidR="003E1D3B">
        <w:t>,</w:t>
      </w:r>
      <w:r w:rsidR="00C55F83">
        <w:t xml:space="preserve"> both</w:t>
      </w:r>
      <w:r w:rsidR="003E1D3B">
        <w:t xml:space="preserve"> the ADG</w:t>
      </w:r>
      <w:r w:rsidR="00C55F83">
        <w:t xml:space="preserve"> and NZEAG</w:t>
      </w:r>
      <w:r w:rsidR="003E1D3B">
        <w:t xml:space="preserve"> make extensive reference to grains and cereal foods and also note that consumption of grain (cereals) shou</w:t>
      </w:r>
      <w:r w:rsidR="00922AB9">
        <w:t xml:space="preserve">ld be mainly wholegrain. </w:t>
      </w:r>
      <w:r w:rsidR="00576F9C" w:rsidRPr="00363733">
        <w:t>The NZEAG recommend consuming a variety of nutritious foods every day, including grain foods, mostly wholegrain and those naturally high in fibre. They note that eating wholegrain and high fibre foods is linked with lower risk of cardiovascular disease, type 2 diabetes, weight gain and some cancers such as bowel cancer.</w:t>
      </w:r>
      <w:r w:rsidR="00576F9C">
        <w:t xml:space="preserve"> </w:t>
      </w:r>
      <w:r w:rsidR="00922AB9">
        <w:t>However, the ADG do</w:t>
      </w:r>
      <w:r w:rsidR="003E1D3B">
        <w:t xml:space="preserve"> not deal with wholegrain to any great extent beyond stating that </w:t>
      </w:r>
      <w:r w:rsidR="003E1D3B" w:rsidRPr="00363733">
        <w:t>more recent evidence from Western societies suggests that dietary patterns consistent with guidelines recommending relatively high amounts of vegetables, fruit, wholegrains, poultry, fish and reduced fat milk, yoghurt and cheese products may be associated with superior nutritional status, quality of life and survival in older adults</w:t>
      </w:r>
      <w:r w:rsidR="003E1D3B" w:rsidRPr="00460E3A">
        <w:t>. </w:t>
      </w:r>
    </w:p>
    <w:p w14:paraId="25F3B9BD" w14:textId="34A00618" w:rsidR="003E1D3B" w:rsidRDefault="006B3B79" w:rsidP="00BD13C2">
      <w:pPr>
        <w:pStyle w:val="mpcNormal"/>
      </w:pPr>
      <w:r>
        <w:t xml:space="preserve">The ADG </w:t>
      </w:r>
      <w:r w:rsidR="003E1D3B">
        <w:t xml:space="preserve">define wholegrain as the term applied to products </w:t>
      </w:r>
      <w:r w:rsidR="00DB3BBD">
        <w:t>that</w:t>
      </w:r>
      <w:r w:rsidR="003E1D3B">
        <w:t xml:space="preserve"> use</w:t>
      </w:r>
      <w:r w:rsidR="003E1D3B" w:rsidRPr="00460E3A">
        <w:t xml:space="preserve"> every part of the grain including the outer layers, bran and germ</w:t>
      </w:r>
      <w:r w:rsidR="00922AB9">
        <w:t>,</w:t>
      </w:r>
      <w:r w:rsidR="003E1D3B" w:rsidRPr="00460E3A">
        <w:t xml:space="preserve"> even if these parts are separated during processing and regardless of whether the grain is in one piece or milled into smaller pieces.</w:t>
      </w:r>
      <w:r w:rsidR="003E1D3B">
        <w:t xml:space="preserve"> The ADG note that the</w:t>
      </w:r>
      <w:r w:rsidR="003E1D3B" w:rsidRPr="00460E3A">
        <w:t xml:space="preserve"> term wholegrain may apply to whole and intact grains as found in some bread and crisp breads, puffed or </w:t>
      </w:r>
      <w:r w:rsidR="003E1D3B">
        <w:t>b</w:t>
      </w:r>
      <w:r w:rsidR="003E1D3B" w:rsidRPr="00460E3A">
        <w:t xml:space="preserve">aked grains in some breakfast cereals, coarsely milled or kibbled wheat found in breads such as pumpernickel and ground grains such </w:t>
      </w:r>
      <w:r w:rsidR="002F1B52">
        <w:t xml:space="preserve">as </w:t>
      </w:r>
      <w:r w:rsidR="003E1D3B" w:rsidRPr="00460E3A">
        <w:t xml:space="preserve">whole wheat </w:t>
      </w:r>
      <w:r w:rsidR="002F1B52">
        <w:t>fl</w:t>
      </w:r>
      <w:r w:rsidR="003E1D3B" w:rsidRPr="00460E3A">
        <w:t>our used to make wholemeal bread.</w:t>
      </w:r>
    </w:p>
    <w:p w14:paraId="3ACBFF14" w14:textId="7A16A19B" w:rsidR="00045FBA" w:rsidRDefault="00045FBA" w:rsidP="00BD13C2">
      <w:pPr>
        <w:pStyle w:val="mpcNormal"/>
      </w:pPr>
      <w:r>
        <w:t>The NZEAG a</w:t>
      </w:r>
      <w:r w:rsidR="00826BF5">
        <w:t>cknowledge that there is no agreed</w:t>
      </w:r>
      <w:r>
        <w:t xml:space="preserve"> definition of the term ‘wholegrain’</w:t>
      </w:r>
      <w:r w:rsidR="00826BF5">
        <w:t>, stating that it is common to use ‘wholegrains’ or ‘intact grains’ to mean grains that still have their key parts intact – that is, the bran endosperm and germ.</w:t>
      </w:r>
    </w:p>
    <w:p w14:paraId="5788A8F0" w14:textId="0244E5CB" w:rsidR="003E1D3B" w:rsidRDefault="00922AB9" w:rsidP="003F3C46">
      <w:pPr>
        <w:pStyle w:val="mpcNormal"/>
        <w:spacing w:after="0"/>
      </w:pPr>
      <w:r>
        <w:lastRenderedPageBreak/>
        <w:t xml:space="preserve">If, from a policy perspective, </w:t>
      </w:r>
      <w:r w:rsidR="003E1D3B">
        <w:t>it is agreed that the HSR system should better ‘reward’ wholegrain in foods, consideration would need to be given to:</w:t>
      </w:r>
    </w:p>
    <w:p w14:paraId="30C5F653" w14:textId="7084890A" w:rsidR="003E1D3B" w:rsidRDefault="003E1D3B" w:rsidP="003263BE">
      <w:pPr>
        <w:pStyle w:val="mpcNormal"/>
        <w:numPr>
          <w:ilvl w:val="0"/>
          <w:numId w:val="22"/>
        </w:numPr>
        <w:spacing w:after="0"/>
        <w:ind w:left="357" w:hanging="357"/>
      </w:pPr>
      <w:r>
        <w:t>how to define w</w:t>
      </w:r>
      <w:r w:rsidR="001C64D9">
        <w:t>holegrain</w:t>
      </w:r>
      <w:r w:rsidR="00610F48">
        <w:t>:</w:t>
      </w:r>
      <w:r>
        <w:t xml:space="preserve"> </w:t>
      </w:r>
    </w:p>
    <w:p w14:paraId="3587A0A6" w14:textId="51429DCF" w:rsidR="003E1D3B" w:rsidRPr="003320E4" w:rsidRDefault="00922AB9" w:rsidP="001C64D9">
      <w:pPr>
        <w:pStyle w:val="mpcbullets2"/>
        <w:ind w:left="714" w:hanging="357"/>
        <w:rPr>
          <w:rStyle w:val="Emphasis"/>
        </w:rPr>
      </w:pPr>
      <w:r>
        <w:t xml:space="preserve">Consistent with the principles </w:t>
      </w:r>
      <w:r w:rsidR="002F1B52">
        <w:t>of</w:t>
      </w:r>
      <w:r>
        <w:t xml:space="preserve"> the Review</w:t>
      </w:r>
      <w:r w:rsidR="003E1D3B">
        <w:t>, as a startin</w:t>
      </w:r>
      <w:r w:rsidR="00610F48">
        <w:t>g point we would consider</w:t>
      </w:r>
      <w:r w:rsidR="003E1D3B">
        <w:t xml:space="preserve"> the definition used in the Food Standards Code. Standard 2.1.1 of the</w:t>
      </w:r>
      <w:r w:rsidR="002F1B52">
        <w:t xml:space="preserve"> Food Standards</w:t>
      </w:r>
      <w:r w:rsidR="003E1D3B">
        <w:t xml:space="preserve"> Code (Cereal and Cereal products) defines</w:t>
      </w:r>
      <w:r w:rsidR="003E1D3B" w:rsidRPr="00BC0362">
        <w:t xml:space="preserve"> wholegrain as the intact grain or the dehulled, ground, milled, cracked or flaked grain where the constituents—endosperm, germ and bran—are present in such proportions that represent the typical ratio of those fractions occurring in the whole cereal, and includes wholemeal. This definition is the same as that used by the </w:t>
      </w:r>
      <w:r w:rsidR="003E1D3B">
        <w:t xml:space="preserve">Grains and Legumes Nutrition Council in their </w:t>
      </w:r>
      <w:r w:rsidR="003E1D3B" w:rsidRPr="003320E4">
        <w:rPr>
          <w:rStyle w:val="Emphasis"/>
        </w:rPr>
        <w:t>Code of Practice for Whole Grain Ingredient Content Claims</w:t>
      </w:r>
    </w:p>
    <w:p w14:paraId="2F2AD99F" w14:textId="77777777" w:rsidR="003E1D3B" w:rsidRDefault="003E1D3B" w:rsidP="003263BE">
      <w:pPr>
        <w:pStyle w:val="mpcNormal"/>
        <w:numPr>
          <w:ilvl w:val="0"/>
          <w:numId w:val="22"/>
        </w:numPr>
        <w:spacing w:after="0"/>
        <w:ind w:left="357" w:hanging="357"/>
      </w:pPr>
      <w:r>
        <w:t>how to reflect wholegrain in the calculation of modifying points within the HSR calculator. Some possible options could include:</w:t>
      </w:r>
    </w:p>
    <w:p w14:paraId="19EB7005" w14:textId="47CFC212" w:rsidR="003E1D3B" w:rsidRDefault="001C64D9" w:rsidP="0059186C">
      <w:pPr>
        <w:pStyle w:val="mpcbullets2"/>
        <w:ind w:left="714" w:hanging="357"/>
      </w:pPr>
      <w:r>
        <w:t>a</w:t>
      </w:r>
      <w:r w:rsidR="003E1D3B">
        <w:t>dding wholegrains to the calculation of FVNL modifying points</w:t>
      </w:r>
    </w:p>
    <w:p w14:paraId="78353FB0" w14:textId="55648328" w:rsidR="003E1D3B" w:rsidRDefault="001C64D9" w:rsidP="0059186C">
      <w:pPr>
        <w:pStyle w:val="mpcbullets2"/>
        <w:ind w:left="714" w:hanging="357"/>
      </w:pPr>
      <w:r>
        <w:t>r</w:t>
      </w:r>
      <w:r w:rsidR="003E1D3B">
        <w:t>eplacing fibre modifying points with wholegrain modifying points</w:t>
      </w:r>
      <w:r>
        <w:t>, or</w:t>
      </w:r>
    </w:p>
    <w:p w14:paraId="2DD934E8" w14:textId="07E0C7FA" w:rsidR="003E1D3B" w:rsidRDefault="001C64D9" w:rsidP="001C64D9">
      <w:pPr>
        <w:pStyle w:val="mpcbullets2"/>
        <w:ind w:left="714" w:hanging="357"/>
      </w:pPr>
      <w:r>
        <w:t>a</w:t>
      </w:r>
      <w:r w:rsidR="003E1D3B">
        <w:t xml:space="preserve">dding wholegrain as a new class of modifying points </w:t>
      </w:r>
    </w:p>
    <w:p w14:paraId="2F9820C9" w14:textId="7FB2F2C6" w:rsidR="003E1D3B" w:rsidRDefault="003E1D3B" w:rsidP="003263BE">
      <w:pPr>
        <w:pStyle w:val="mpcNormal"/>
        <w:numPr>
          <w:ilvl w:val="0"/>
          <w:numId w:val="22"/>
        </w:numPr>
      </w:pPr>
      <w:r>
        <w:t>the impact of each of the above options on each category including any adjustments that would need to be made to modifying points overall and the scaling of the categories.</w:t>
      </w:r>
    </w:p>
    <w:p w14:paraId="57143FE9" w14:textId="1E17793C" w:rsidR="006C268E" w:rsidRDefault="003E1D3B" w:rsidP="00BD13C2">
      <w:pPr>
        <w:pStyle w:val="mpcNormal"/>
      </w:pPr>
      <w:r>
        <w:t>Subject to further consultation regarding the overall desirability of including wholegrain in the calculation of modifying points (and stakeholder advic</w:t>
      </w:r>
      <w:r w:rsidR="00610F48">
        <w:t xml:space="preserve">e on various options), we propose seeking </w:t>
      </w:r>
      <w:r>
        <w:t>modelling advice</w:t>
      </w:r>
      <w:r w:rsidR="00610F48">
        <w:t xml:space="preserve"> from the TAG</w:t>
      </w:r>
      <w:r>
        <w:t xml:space="preserve"> regarding the impact of th</w:t>
      </w:r>
      <w:r w:rsidR="00610F48">
        <w:t>e various options (or any other options</w:t>
      </w:r>
      <w:r>
        <w:t xml:space="preserve"> identified).</w:t>
      </w:r>
      <w:r w:rsidR="009F4422">
        <w:t xml:space="preserve"> </w:t>
      </w:r>
      <w:r>
        <w:t xml:space="preserve">These matters would then </w:t>
      </w:r>
      <w:r w:rsidR="0060272D">
        <w:t>be included in a more detailed discussion p</w:t>
      </w:r>
      <w:r>
        <w:t>aper propos</w:t>
      </w:r>
      <w:r w:rsidR="00610F48">
        <w:t xml:space="preserve">ed for release in </w:t>
      </w:r>
      <w:r w:rsidR="000641E2">
        <w:t>May</w:t>
      </w:r>
      <w:r w:rsidR="009F4422">
        <w:t xml:space="preserve"> or Ju</w:t>
      </w:r>
      <w:r w:rsidR="000641E2">
        <w:t>ly</w:t>
      </w:r>
      <w:r w:rsidR="00610F48">
        <w:t xml:space="preserve"> </w:t>
      </w:r>
      <w:r>
        <w:t>2018.</w:t>
      </w:r>
    </w:p>
    <w:p w14:paraId="4C2F765C" w14:textId="185838F0" w:rsidR="003E019E" w:rsidRDefault="006C268E" w:rsidP="00610743">
      <w:pPr>
        <w:pStyle w:val="mpcheading3"/>
      </w:pPr>
      <w:bookmarkStart w:id="66" w:name="_Toc503802319"/>
      <w:bookmarkStart w:id="67" w:name="_Toc503804533"/>
      <w:r>
        <w:t>Protein</w:t>
      </w:r>
      <w:bookmarkEnd w:id="66"/>
      <w:bookmarkEnd w:id="67"/>
      <w:r>
        <w:t xml:space="preserve"> </w:t>
      </w:r>
    </w:p>
    <w:p w14:paraId="07D9064E" w14:textId="0592B39D" w:rsidR="006C268E" w:rsidRDefault="006C268E" w:rsidP="00610743">
      <w:pPr>
        <w:pStyle w:val="mpcNormal"/>
        <w:keepNext/>
      </w:pPr>
      <w:r>
        <w:t xml:space="preserve">Some submitters have suggested that protein should not be used to calculate modifying points because protein is not generally lacking in the Australian or New Zealand diet. </w:t>
      </w:r>
    </w:p>
    <w:p w14:paraId="6FB5BCE9" w14:textId="3BD4439F" w:rsidR="006C268E" w:rsidRDefault="006C268E" w:rsidP="003F3C46">
      <w:pPr>
        <w:pStyle w:val="mpcNormal"/>
        <w:spacing w:after="0"/>
      </w:pPr>
      <w:r>
        <w:t>As part of the Review we are keen to better understand the issues including:</w:t>
      </w:r>
    </w:p>
    <w:p w14:paraId="3D5DD98C" w14:textId="246C51A4" w:rsidR="006C268E" w:rsidRDefault="006C268E" w:rsidP="00BD13C2">
      <w:pPr>
        <w:pStyle w:val="mpcbullets1"/>
      </w:pPr>
      <w:r>
        <w:t xml:space="preserve">the reasoning around inclusion of protein </w:t>
      </w:r>
      <w:r w:rsidR="00564B15">
        <w:t xml:space="preserve">and </w:t>
      </w:r>
      <w:r>
        <w:t>the impact of including protein as modifying points</w:t>
      </w:r>
    </w:p>
    <w:p w14:paraId="546FB084" w14:textId="4589F787" w:rsidR="006C268E" w:rsidRDefault="006C268E" w:rsidP="00BD13C2">
      <w:pPr>
        <w:pStyle w:val="mpcbullets1"/>
      </w:pPr>
      <w:r>
        <w:t>the types of food most impacted by the protein modifying points and whether</w:t>
      </w:r>
      <w:r w:rsidR="0002224C">
        <w:t xml:space="preserve"> consumption of</w:t>
      </w:r>
      <w:r>
        <w:t xml:space="preserve"> these foods should </w:t>
      </w:r>
      <w:r w:rsidR="0002224C">
        <w:t xml:space="preserve">be </w:t>
      </w:r>
      <w:r>
        <w:t>generally encouraged. For example, the inclusion of protein in the calculation of modifying points might favour whole, core</w:t>
      </w:r>
      <w:r w:rsidR="00610F48">
        <w:t xml:space="preserve"> foods </w:t>
      </w:r>
      <w:r w:rsidR="0002224C">
        <w:t>the</w:t>
      </w:r>
      <w:r w:rsidR="00610F48">
        <w:t xml:space="preserve"> consumption</w:t>
      </w:r>
      <w:r w:rsidR="0002224C">
        <w:t xml:space="preserve"> of which</w:t>
      </w:r>
      <w:r w:rsidR="00610F48">
        <w:t xml:space="preserve"> may be</w:t>
      </w:r>
      <w:r>
        <w:t xml:space="preserve"> encourage</w:t>
      </w:r>
      <w:r w:rsidR="00610F48">
        <w:t>d</w:t>
      </w:r>
      <w:r>
        <w:t xml:space="preserve"> (such as nuts, cheese, fish, meat</w:t>
      </w:r>
      <w:r w:rsidR="00657E3C">
        <w:t>,</w:t>
      </w:r>
      <w:r>
        <w:t xml:space="preserve"> lentils and some seeds) </w:t>
      </w:r>
    </w:p>
    <w:p w14:paraId="5BD39DEE" w14:textId="3AEA972E" w:rsidR="006C268E" w:rsidRPr="00533A6A" w:rsidRDefault="006C268E" w:rsidP="00BD13C2">
      <w:pPr>
        <w:pStyle w:val="mpcbullets1"/>
      </w:pPr>
      <w:r w:rsidRPr="00533A6A">
        <w:t>the extent of protein</w:t>
      </w:r>
      <w:r w:rsidR="00BD4367">
        <w:t xml:space="preserve"> addition in foods</w:t>
      </w:r>
      <w:r w:rsidRPr="00533A6A">
        <w:t xml:space="preserve"> – to what extent is it occurring, what type of products is it occurring in and what is the impact on t</w:t>
      </w:r>
      <w:r w:rsidR="00051D64">
        <w:t xml:space="preserve">he HSR of protein </w:t>
      </w:r>
      <w:r w:rsidR="00280347">
        <w:t>addition</w:t>
      </w:r>
      <w:r w:rsidR="00051D64">
        <w:t>, and</w:t>
      </w:r>
    </w:p>
    <w:p w14:paraId="605E9577" w14:textId="647E2E76" w:rsidR="006C268E" w:rsidRDefault="006C268E" w:rsidP="0059186C">
      <w:pPr>
        <w:pStyle w:val="mpcbullets1"/>
        <w:spacing w:after="0"/>
        <w:ind w:left="357" w:hanging="357"/>
      </w:pPr>
      <w:r>
        <w:t xml:space="preserve">possible options for addressing any problems identified. While options </w:t>
      </w:r>
      <w:r w:rsidR="0002224C">
        <w:t>may</w:t>
      </w:r>
      <w:r>
        <w:t xml:space="preserve"> be more readily able to be identified once the </w:t>
      </w:r>
      <w:r w:rsidR="0002224C">
        <w:t>nature</w:t>
      </w:r>
      <w:r>
        <w:t xml:space="preserve"> of the problem (if any) is </w:t>
      </w:r>
      <w:r w:rsidR="0002224C">
        <w:t xml:space="preserve">clearly </w:t>
      </w:r>
      <w:r>
        <w:t>identified, some possible options could include:</w:t>
      </w:r>
    </w:p>
    <w:p w14:paraId="2798E68D" w14:textId="17015525" w:rsidR="006C268E" w:rsidRDefault="00610F48" w:rsidP="0059186C">
      <w:pPr>
        <w:pStyle w:val="mpcbullets2"/>
        <w:ind w:left="714" w:hanging="357"/>
      </w:pPr>
      <w:r>
        <w:t>r</w:t>
      </w:r>
      <w:r w:rsidR="006C268E">
        <w:t>emoving protein as a source of modifying points in the calculator</w:t>
      </w:r>
    </w:p>
    <w:p w14:paraId="2FD16D6A" w14:textId="1BA9395E" w:rsidR="006C268E" w:rsidRDefault="00610F48" w:rsidP="0059186C">
      <w:pPr>
        <w:pStyle w:val="mpcbullets2"/>
        <w:ind w:left="714" w:hanging="357"/>
      </w:pPr>
      <w:r>
        <w:t>r</w:t>
      </w:r>
      <w:r w:rsidR="006C268E">
        <w:t>educing the value of protein as a source of modifying points in the calculator</w:t>
      </w:r>
    </w:p>
    <w:p w14:paraId="105F4C35" w14:textId="3D99BD9B" w:rsidR="006C268E" w:rsidRDefault="00610F48" w:rsidP="0059186C">
      <w:pPr>
        <w:pStyle w:val="mpcbullets2"/>
        <w:ind w:left="714" w:hanging="357"/>
      </w:pPr>
      <w:r>
        <w:t>e</w:t>
      </w:r>
      <w:r w:rsidR="006C268E">
        <w:t>xcluding certain ‘added’ sources of protein from being able to be counted in the modifying points</w:t>
      </w:r>
      <w:r>
        <w:t>, or</w:t>
      </w:r>
    </w:p>
    <w:p w14:paraId="3EE4BEB1" w14:textId="19A94DFA" w:rsidR="006C268E" w:rsidRDefault="00610F48" w:rsidP="00BD13C2">
      <w:pPr>
        <w:pStyle w:val="mpcbullets2"/>
        <w:spacing w:after="240"/>
      </w:pPr>
      <w:r>
        <w:t>r</w:t>
      </w:r>
      <w:r w:rsidR="000234E7">
        <w:t>emoving protein</w:t>
      </w:r>
      <w:r w:rsidR="00DF4586">
        <w:t>,</w:t>
      </w:r>
      <w:r w:rsidR="000234E7">
        <w:t xml:space="preserve"> but adding</w:t>
      </w:r>
      <w:r w:rsidR="0002224C">
        <w:t xml:space="preserve"> another nutrient (for example,</w:t>
      </w:r>
      <w:r w:rsidR="000234E7">
        <w:t xml:space="preserve"> calcium</w:t>
      </w:r>
      <w:r w:rsidR="0002224C">
        <w:t>)</w:t>
      </w:r>
      <w:r w:rsidR="000234E7">
        <w:t xml:space="preserve"> as a source of modifying points in the calculator</w:t>
      </w:r>
      <w:r>
        <w:t>.</w:t>
      </w:r>
    </w:p>
    <w:p w14:paraId="0EAF50F5" w14:textId="59983C54" w:rsidR="003F3C46" w:rsidRPr="003074D6" w:rsidRDefault="00295FBF" w:rsidP="003074D6">
      <w:pPr>
        <w:pStyle w:val="mpcNormal"/>
      </w:pPr>
      <w:r>
        <w:lastRenderedPageBreak/>
        <w:t>Subject to further consultation regarding the overall desirability (and priority) of making changes in relation to protein (to be explored through the forums), we would propose seeking TAG modelling advice regarding the impact of any options, including the potential knock on effects.</w:t>
      </w:r>
    </w:p>
    <w:p w14:paraId="56171DE8" w14:textId="64F7BA34" w:rsidR="003E019E" w:rsidRDefault="003E019E" w:rsidP="003074D6">
      <w:pPr>
        <w:pStyle w:val="mpcheading2"/>
        <w:spacing w:after="0"/>
      </w:pPr>
      <w:bookmarkStart w:id="68" w:name="_Toc503880622"/>
      <w:r>
        <w:t>Concerns about the outcome of the calculator for specific foods</w:t>
      </w:r>
      <w:bookmarkEnd w:id="68"/>
    </w:p>
    <w:p w14:paraId="29D80114" w14:textId="77777777" w:rsidR="003E1D3B" w:rsidRDefault="003E1D3B" w:rsidP="003074D6">
      <w:pPr>
        <w:pStyle w:val="mpcNormal"/>
        <w:spacing w:after="0"/>
        <w:rPr>
          <w:b/>
        </w:rPr>
      </w:pPr>
    </w:p>
    <w:p w14:paraId="0ED3254A" w14:textId="54B68565" w:rsidR="003E019E" w:rsidRDefault="00731C29" w:rsidP="003074D6">
      <w:pPr>
        <w:pStyle w:val="mpcheading3"/>
      </w:pPr>
      <w:bookmarkStart w:id="69" w:name="_Toc503802321"/>
      <w:bookmarkStart w:id="70" w:name="_Toc503804535"/>
      <w:r>
        <w:t>F</w:t>
      </w:r>
      <w:r w:rsidRPr="00245E31">
        <w:t xml:space="preserve">ruit </w:t>
      </w:r>
      <w:r w:rsidR="005F2732">
        <w:t>j</w:t>
      </w:r>
      <w:r w:rsidRPr="00245E31">
        <w:t>uice</w:t>
      </w:r>
      <w:r w:rsidR="00280347">
        <w:t>s</w:t>
      </w:r>
      <w:r>
        <w:t xml:space="preserve"> with no added sugar</w:t>
      </w:r>
      <w:r w:rsidR="0002224C">
        <w:t>s</w:t>
      </w:r>
      <w:bookmarkEnd w:id="69"/>
      <w:bookmarkEnd w:id="70"/>
    </w:p>
    <w:p w14:paraId="52288D15" w14:textId="40D2EFF5" w:rsidR="00731C29" w:rsidRDefault="00731C29" w:rsidP="003074D6">
      <w:pPr>
        <w:pStyle w:val="mpcNormal"/>
      </w:pPr>
      <w:r>
        <w:t>A number of stakeholders have raised concerns that fruit juice should not score as high as the whole fruit from which the juice is derived and that some whole juice can include added sugar</w:t>
      </w:r>
      <w:r w:rsidR="005A1F8A">
        <w:t>s</w:t>
      </w:r>
      <w:r>
        <w:t>. Other have suggested that diluted juices are a healthier choice (lower in energy and sugar</w:t>
      </w:r>
      <w:r w:rsidR="005A1F8A">
        <w:t>s</w:t>
      </w:r>
      <w:r>
        <w:t xml:space="preserve">) but do not benefit from the FVNL content that increases the star rating for whole juices. </w:t>
      </w:r>
    </w:p>
    <w:p w14:paraId="403FD017" w14:textId="77777777" w:rsidR="002C3F00" w:rsidRPr="002C3F00" w:rsidRDefault="00731C29" w:rsidP="003074D6">
      <w:pPr>
        <w:pStyle w:val="mpcNormal"/>
        <w:spacing w:after="0"/>
      </w:pPr>
      <w:r w:rsidRPr="002C3F00">
        <w:t xml:space="preserve">In terms of alignment with </w:t>
      </w:r>
      <w:r w:rsidR="009719F4" w:rsidRPr="002C3F00">
        <w:t xml:space="preserve">the </w:t>
      </w:r>
      <w:r w:rsidRPr="002C3F00">
        <w:t xml:space="preserve">ADG, the </w:t>
      </w:r>
      <w:r w:rsidR="002C3F00" w:rsidRPr="002C3F00">
        <w:t xml:space="preserve">definition of fruit juice in the </w:t>
      </w:r>
      <w:r w:rsidR="009719F4" w:rsidRPr="002C3F00">
        <w:t xml:space="preserve">ADG </w:t>
      </w:r>
      <w:r w:rsidRPr="002C3F00">
        <w:t>provide</w:t>
      </w:r>
      <w:r w:rsidR="002C3F00" w:rsidRPr="002C3F00">
        <w:t>s</w:t>
      </w:r>
      <w:r w:rsidRPr="002C3F00">
        <w:t xml:space="preserve"> that</w:t>
      </w:r>
      <w:r w:rsidR="002C3F00" w:rsidRPr="002C3F00">
        <w:t>:</w:t>
      </w:r>
    </w:p>
    <w:p w14:paraId="131ADA59" w14:textId="79284AAE" w:rsidR="002C3F00" w:rsidRPr="002C3F00" w:rsidRDefault="00731C29" w:rsidP="002C3F00">
      <w:pPr>
        <w:pStyle w:val="mpcbullets1"/>
      </w:pPr>
      <w:r w:rsidRPr="002C3F00">
        <w:t>fruit juice, including pulp, is a good source of vitamins such as vitamin C and folate and also provides fibre and carbohydrate</w:t>
      </w:r>
      <w:r w:rsidR="00004C64">
        <w:t>s, particularly natural sugars</w:t>
      </w:r>
    </w:p>
    <w:p w14:paraId="76CA3CC7" w14:textId="1714342B" w:rsidR="009719F4" w:rsidRPr="002C3F00" w:rsidRDefault="009719F4" w:rsidP="00BD13C2">
      <w:pPr>
        <w:pStyle w:val="mpcbullets1"/>
      </w:pPr>
      <w:r w:rsidRPr="002C3F00">
        <w:t>w</w:t>
      </w:r>
      <w:r w:rsidR="00731C29" w:rsidRPr="002C3F00">
        <w:t>hole fruit is preferable to fruit juice however the occasional use of fruit juice may assist with nutrient intake when fresh, frozen or tinne</w:t>
      </w:r>
      <w:r w:rsidRPr="002C3F00">
        <w:t>d fruit supply is sub-optimal, and</w:t>
      </w:r>
    </w:p>
    <w:p w14:paraId="76CBED56" w14:textId="185AB7F2" w:rsidR="00731C29" w:rsidRPr="002C3F00" w:rsidRDefault="009719F4" w:rsidP="00BD13C2">
      <w:pPr>
        <w:pStyle w:val="mpcbullets1"/>
      </w:pPr>
      <w:r w:rsidRPr="002C3F00">
        <w:t>f</w:t>
      </w:r>
      <w:r w:rsidR="00731C29" w:rsidRPr="002C3F00">
        <w:t>ruit juice is energy-dense and if consumed in excess can displace other nutritious foods from the diet and may lead to problems such as obesity.</w:t>
      </w:r>
    </w:p>
    <w:p w14:paraId="72F9EB66" w14:textId="106294F3" w:rsidR="00731C29" w:rsidRDefault="002C3F00" w:rsidP="00BD13C2">
      <w:pPr>
        <w:pStyle w:val="mpcNormal"/>
      </w:pPr>
      <w:r>
        <w:t>T</w:t>
      </w:r>
      <w:r w:rsidR="00731C29">
        <w:t xml:space="preserve">he </w:t>
      </w:r>
      <w:r w:rsidR="00731C29" w:rsidRPr="00430790">
        <w:t>N</w:t>
      </w:r>
      <w:r w:rsidR="009719F4">
        <w:t>ZE</w:t>
      </w:r>
      <w:r w:rsidR="00731C29">
        <w:t xml:space="preserve">AG more expressly </w:t>
      </w:r>
      <w:r w:rsidR="00B8219D">
        <w:t>recommend</w:t>
      </w:r>
      <w:r w:rsidR="00731C29">
        <w:t xml:space="preserve"> limiting fruit juice</w:t>
      </w:r>
      <w:r w:rsidR="00B20AD8">
        <w:t xml:space="preserve"> intake</w:t>
      </w:r>
      <w:r w:rsidR="00731C29">
        <w:t xml:space="preserve">. Those guidelines provide that </w:t>
      </w:r>
      <w:r w:rsidR="00731C29" w:rsidRPr="00616CFC">
        <w:t xml:space="preserve">adults </w:t>
      </w:r>
      <w:r w:rsidR="00731C29">
        <w:t xml:space="preserve">should </w:t>
      </w:r>
      <w:r w:rsidR="00731C29" w:rsidRPr="00616CFC">
        <w:t>eat at least three servings of vegetables and two servings of fruit each day</w:t>
      </w:r>
      <w:r w:rsidR="009719F4">
        <w:t xml:space="preserve"> (differing to Australian requirements)</w:t>
      </w:r>
      <w:r w:rsidR="00731C29">
        <w:t>.</w:t>
      </w:r>
      <w:r w:rsidR="00731C29" w:rsidRPr="00616CFC">
        <w:t xml:space="preserve"> When listing </w:t>
      </w:r>
      <w:r w:rsidR="00731C29">
        <w:t xml:space="preserve">example </w:t>
      </w:r>
      <w:r w:rsidR="00731C29" w:rsidRPr="00616CFC">
        <w:t>servings of fru</w:t>
      </w:r>
      <w:r w:rsidR="00731C29">
        <w:t xml:space="preserve">it, fruit juice is not listed. </w:t>
      </w:r>
      <w:r w:rsidR="00731C29" w:rsidRPr="00616CFC">
        <w:t>Instead a refer</w:t>
      </w:r>
      <w:r w:rsidR="00731C29">
        <w:t xml:space="preserve">ence is made to fruit juice being </w:t>
      </w:r>
      <w:r w:rsidR="00731C29" w:rsidRPr="0096341E">
        <w:t>a high-sugar drink (as it contains all the naturally occurring sugar</w:t>
      </w:r>
      <w:r w:rsidR="00457CC2">
        <w:t>s</w:t>
      </w:r>
      <w:r w:rsidR="00731C29" w:rsidRPr="0096341E">
        <w:t xml:space="preserve"> found in the many pieces of fruit required to make one glass of juice) and th</w:t>
      </w:r>
      <w:r w:rsidR="002F1B52">
        <w:t>e</w:t>
      </w:r>
      <w:r w:rsidR="00731C29" w:rsidRPr="0096341E">
        <w:t xml:space="preserve"> Ministry of Health recommends eating fresh fruit and drinking plain water rather than drinking fruit juice. </w:t>
      </w:r>
    </w:p>
    <w:p w14:paraId="2FFE248E" w14:textId="6DC1AC6B" w:rsidR="007E2038" w:rsidRDefault="0080126B" w:rsidP="003F3C46">
      <w:pPr>
        <w:pStyle w:val="mpcNormal"/>
        <w:spacing w:after="0"/>
      </w:pPr>
      <w:r>
        <w:t>Through consultation to date, stakeholders have identified</w:t>
      </w:r>
      <w:r w:rsidR="00731C29">
        <w:t xml:space="preserve"> a nu</w:t>
      </w:r>
      <w:r>
        <w:t>mber of potential ways that the issues with fruit juice</w:t>
      </w:r>
      <w:r w:rsidR="00731C29">
        <w:t xml:space="preserve"> could be addressed. For example:</w:t>
      </w:r>
    </w:p>
    <w:p w14:paraId="6614CFED" w14:textId="623CEA46" w:rsidR="00731C29" w:rsidRDefault="0080126B" w:rsidP="00BD13C2">
      <w:pPr>
        <w:pStyle w:val="mpcbullets1"/>
      </w:pPr>
      <w:r>
        <w:t>p</w:t>
      </w:r>
      <w:r w:rsidR="00731C29">
        <w:t xml:space="preserve">rovide that fruit juices are ineligible to use the FVNL points </w:t>
      </w:r>
    </w:p>
    <w:p w14:paraId="47799BF3" w14:textId="04FA4792" w:rsidR="00731C29" w:rsidRDefault="0080126B" w:rsidP="00BD13C2">
      <w:pPr>
        <w:pStyle w:val="mpcbullets1"/>
      </w:pPr>
      <w:r>
        <w:t>m</w:t>
      </w:r>
      <w:r w:rsidR="003658B0">
        <w:t xml:space="preserve">odify the FVNL </w:t>
      </w:r>
      <w:r w:rsidR="00731C29">
        <w:t>rules for fruit juice specifically</w:t>
      </w:r>
      <w:r>
        <w:t>, or</w:t>
      </w:r>
      <w:r w:rsidR="00731C29">
        <w:t xml:space="preserve"> </w:t>
      </w:r>
    </w:p>
    <w:p w14:paraId="1F60A5DA" w14:textId="501A6B9D" w:rsidR="00731C29" w:rsidRDefault="0080126B" w:rsidP="00BD13C2">
      <w:pPr>
        <w:pStyle w:val="mpcbullets1"/>
      </w:pPr>
      <w:r>
        <w:t>s</w:t>
      </w:r>
      <w:r w:rsidR="00731C29">
        <w:t xml:space="preserve">et a cap on </w:t>
      </w:r>
      <w:r w:rsidR="00B8219D">
        <w:t>fruit juices such that they canno</w:t>
      </w:r>
      <w:r w:rsidR="00731C29">
        <w:t>t score more than, for example, 4.5 stars</w:t>
      </w:r>
      <w:r w:rsidR="00EB0F67">
        <w:t xml:space="preserve"> (or </w:t>
      </w:r>
      <w:r w:rsidR="005F2732">
        <w:t>cannot</w:t>
      </w:r>
      <w:r w:rsidR="003658B0">
        <w:t xml:space="preserve"> score more than </w:t>
      </w:r>
      <w:r w:rsidR="00EB0F67">
        <w:t>the</w:t>
      </w:r>
      <w:r w:rsidR="003658B0">
        <w:t xml:space="preserve"> fruit or vegetable</w:t>
      </w:r>
      <w:r w:rsidR="00EB0F67">
        <w:t xml:space="preserve"> from which the juice has been derived</w:t>
      </w:r>
      <w:r w:rsidR="003658B0">
        <w:t>)</w:t>
      </w:r>
      <w:r w:rsidR="00EB0F67">
        <w:t>.</w:t>
      </w:r>
    </w:p>
    <w:p w14:paraId="4F6A9E18" w14:textId="77777777" w:rsidR="00731C29" w:rsidRDefault="00731C29" w:rsidP="00BD13C2">
      <w:pPr>
        <w:pStyle w:val="mpcbullets1"/>
        <w:numPr>
          <w:ilvl w:val="0"/>
          <w:numId w:val="0"/>
        </w:numPr>
      </w:pPr>
    </w:p>
    <w:p w14:paraId="483FDDE1" w14:textId="4ADA518B" w:rsidR="00731C29" w:rsidRDefault="00731C29" w:rsidP="00BD13C2">
      <w:pPr>
        <w:pStyle w:val="mpcbullets1"/>
        <w:numPr>
          <w:ilvl w:val="0"/>
          <w:numId w:val="0"/>
        </w:numPr>
      </w:pPr>
      <w:r>
        <w:t>Thes</w:t>
      </w:r>
      <w:r w:rsidR="00FF7B74">
        <w:t xml:space="preserve">e are just a few of the </w:t>
      </w:r>
      <w:r>
        <w:t>options that could be considered.</w:t>
      </w:r>
    </w:p>
    <w:p w14:paraId="234C540B" w14:textId="786E3C40" w:rsidR="00EB0F67" w:rsidRDefault="00731C29" w:rsidP="00BD13C2">
      <w:pPr>
        <w:pStyle w:val="mpcNormal"/>
      </w:pPr>
      <w:r>
        <w:t>Each of these options ha</w:t>
      </w:r>
      <w:r w:rsidR="00300AAB">
        <w:t>ve</w:t>
      </w:r>
      <w:r>
        <w:t xml:space="preserve"> pros and cons, meet the principles to varying degrees and have varying impacts. </w:t>
      </w:r>
      <w:r w:rsidR="006932F9">
        <w:t xml:space="preserve">For example, some of the options </w:t>
      </w:r>
      <w:r>
        <w:t xml:space="preserve">would radically change the </w:t>
      </w:r>
      <w:r w:rsidR="00D724DE">
        <w:t>HSR</w:t>
      </w:r>
      <w:r>
        <w:t xml:space="preserve"> of juices, </w:t>
      </w:r>
      <w:r w:rsidR="006932F9">
        <w:t xml:space="preserve">some </w:t>
      </w:r>
      <w:r w:rsidR="00FF7B74">
        <w:t>would mean that the star rating</w:t>
      </w:r>
      <w:r>
        <w:t xml:space="preserve"> for </w:t>
      </w:r>
      <w:r w:rsidR="00280347">
        <w:t>juices could range from 0.5 to 4.5</w:t>
      </w:r>
      <w:r>
        <w:t xml:space="preserve"> stars and </w:t>
      </w:r>
      <w:r w:rsidR="006932F9">
        <w:t xml:space="preserve">some </w:t>
      </w:r>
      <w:r>
        <w:t>would pre</w:t>
      </w:r>
      <w:r w:rsidR="00FF7B74">
        <w:t>sent challenges where juice is</w:t>
      </w:r>
      <w:r>
        <w:t xml:space="preserve"> used as an ingredient in other foods.</w:t>
      </w:r>
    </w:p>
    <w:p w14:paraId="67A6922C" w14:textId="34304FB5" w:rsidR="00EB0F67" w:rsidRDefault="00EB0F67" w:rsidP="00BD13C2">
      <w:pPr>
        <w:pStyle w:val="mpcNormal"/>
      </w:pPr>
      <w:r>
        <w:t>Subject to further consultation regarding the overall desirability (and priority) of making changes in relation to fruit juices, we would seek TAG modelling advice regardin</w:t>
      </w:r>
      <w:r w:rsidR="001D1589">
        <w:t>g the impact of the various options,</w:t>
      </w:r>
      <w:r>
        <w:t xml:space="preserve"> including the potential </w:t>
      </w:r>
      <w:r w:rsidR="00457CC2">
        <w:t xml:space="preserve">implications for </w:t>
      </w:r>
      <w:r w:rsidR="00D84321">
        <w:t xml:space="preserve">HSR application to </w:t>
      </w:r>
      <w:r w:rsidR="00457CC2">
        <w:t>other products</w:t>
      </w:r>
      <w:r>
        <w:t>.</w:t>
      </w:r>
    </w:p>
    <w:p w14:paraId="1DF6B480" w14:textId="0A6DE990" w:rsidR="00511098" w:rsidRPr="00004C64" w:rsidRDefault="00EB0F67" w:rsidP="00004C64">
      <w:pPr>
        <w:pStyle w:val="mpcNormal"/>
      </w:pPr>
      <w:r>
        <w:t xml:space="preserve">These matters would then </w:t>
      </w:r>
      <w:r w:rsidR="00295FBF">
        <w:t>be included in a more detailed discussion p</w:t>
      </w:r>
      <w:r>
        <w:t>aper proposed for release in Ju</w:t>
      </w:r>
      <w:r w:rsidR="002F1B52">
        <w:t>ly</w:t>
      </w:r>
      <w:r>
        <w:t xml:space="preserve"> 2018.</w:t>
      </w:r>
      <w:r w:rsidR="00004C64">
        <w:br w:type="page"/>
      </w:r>
    </w:p>
    <w:p w14:paraId="75B76387" w14:textId="67ECA69F" w:rsidR="005F5D89" w:rsidRDefault="00511098" w:rsidP="00511098">
      <w:pPr>
        <w:pStyle w:val="mpcheading1"/>
      </w:pPr>
      <w:bookmarkStart w:id="71" w:name="_Toc503880623"/>
      <w:r>
        <w:lastRenderedPageBreak/>
        <w:t>Chapter 5 – Promotion of the HSR system</w:t>
      </w:r>
      <w:bookmarkEnd w:id="71"/>
      <w:r>
        <w:t xml:space="preserve"> </w:t>
      </w:r>
      <w:bookmarkStart w:id="72" w:name="Chapter6_HSR_Graphic"/>
      <w:bookmarkEnd w:id="72"/>
    </w:p>
    <w:p w14:paraId="2C836DA2" w14:textId="3C029E74" w:rsidR="00004C64" w:rsidRDefault="00004C64" w:rsidP="00B3647B">
      <w:pPr>
        <w:pStyle w:val="mpcNormal"/>
        <w:keepNext/>
      </w:pPr>
      <w:r>
        <w:t>As required by the Terms of Reference, the Review will examine the campaigns, education and messaging that has accompanied the implementation of the HSR system.</w:t>
      </w:r>
    </w:p>
    <w:p w14:paraId="73BEA698" w14:textId="0374162C" w:rsidR="00B3647B" w:rsidRPr="00B2367C" w:rsidRDefault="00004C64" w:rsidP="00B3647B">
      <w:pPr>
        <w:pStyle w:val="mpcNormal"/>
        <w:keepNext/>
      </w:pPr>
      <w:r>
        <w:t>Many</w:t>
      </w:r>
      <w:r w:rsidR="00B3647B">
        <w:t xml:space="preserve"> stakeholders</w:t>
      </w:r>
      <w:r w:rsidR="00B3647B" w:rsidRPr="00296F53">
        <w:t xml:space="preserve"> have been </w:t>
      </w:r>
      <w:r w:rsidR="00B3647B">
        <w:t xml:space="preserve">critical of the messaging around the HSR </w:t>
      </w:r>
      <w:r w:rsidR="00280347">
        <w:t xml:space="preserve">system </w:t>
      </w:r>
      <w:r w:rsidR="00B3647B">
        <w:t>and</w:t>
      </w:r>
      <w:r w:rsidR="00B3647B" w:rsidRPr="00296F53">
        <w:t xml:space="preserve"> </w:t>
      </w:r>
      <w:r w:rsidR="00B3647B">
        <w:t>the</w:t>
      </w:r>
      <w:r w:rsidR="00B3647B" w:rsidRPr="00296F53">
        <w:t xml:space="preserve"> </w:t>
      </w:r>
      <w:r w:rsidR="00C16A8B">
        <w:t xml:space="preserve">limited </w:t>
      </w:r>
      <w:r w:rsidR="00B3647B">
        <w:t>education and campaigning around healthy eating</w:t>
      </w:r>
      <w:r>
        <w:t xml:space="preserve"> more generally</w:t>
      </w:r>
      <w:r w:rsidR="00B3647B">
        <w:t xml:space="preserve">. Concerns have also been expressed </w:t>
      </w:r>
      <w:r w:rsidR="00B3647B" w:rsidRPr="00296F53">
        <w:t xml:space="preserve">that </w:t>
      </w:r>
      <w:r w:rsidR="00B3647B">
        <w:t>education materials</w:t>
      </w:r>
      <w:r w:rsidR="00B3647B" w:rsidRPr="00296F53">
        <w:t xml:space="preserve"> have been limited and inadequately circulated.</w:t>
      </w:r>
    </w:p>
    <w:p w14:paraId="740A1C50" w14:textId="7A4D178C" w:rsidR="00B3647B" w:rsidRDefault="00004C64" w:rsidP="00B3647B">
      <w:pPr>
        <w:pStyle w:val="mpcNormal"/>
      </w:pPr>
      <w:r>
        <w:t>S</w:t>
      </w:r>
      <w:r w:rsidR="00B3647B">
        <w:t>ome stakeholders are critical of the HSR messaging (such as ‘the more stars the healthier’ and ‘healthier is easier when you look for the stars’) because it does not contextualise the HSR or help consumers to use it appropriately. Stakeholders encourage</w:t>
      </w:r>
      <w:r w:rsidR="00B3647B" w:rsidRPr="00133AFC">
        <w:t xml:space="preserve"> increased consumer education to enhance consumer awareness, use and understanding of the system – with a particular need</w:t>
      </w:r>
      <w:r w:rsidR="00B3647B">
        <w:t xml:space="preserve"> for improved </w:t>
      </w:r>
      <w:r w:rsidR="00B3647B" w:rsidRPr="00133AFC">
        <w:t>education about comparing pro</w:t>
      </w:r>
      <w:r w:rsidR="00B3647B">
        <w:t xml:space="preserve">ducts within categories and about the HSR in the context of </w:t>
      </w:r>
      <w:r w:rsidR="00B3647B" w:rsidRPr="003A4B24">
        <w:t>healthy eating</w:t>
      </w:r>
      <w:r w:rsidR="00B3647B">
        <w:t xml:space="preserve"> (noting that the HSR is</w:t>
      </w:r>
      <w:r w:rsidR="00B3647B" w:rsidRPr="00D87C7B">
        <w:t xml:space="preserve"> just one tool to support healthy food choices and not a surrogate for the dietary guidelines</w:t>
      </w:r>
      <w:r w:rsidR="00B3647B">
        <w:t>)</w:t>
      </w:r>
      <w:r w:rsidR="00B3647B" w:rsidRPr="00D87C7B">
        <w:t>.</w:t>
      </w:r>
    </w:p>
    <w:p w14:paraId="42ED1615" w14:textId="77777777" w:rsidR="00B3647B" w:rsidRDefault="00B3647B" w:rsidP="00B3647B">
      <w:pPr>
        <w:pStyle w:val="mpcNormal"/>
      </w:pPr>
      <w:r w:rsidRPr="00296F53">
        <w:t xml:space="preserve">As part of the </w:t>
      </w:r>
      <w:r>
        <w:t>Review,</w:t>
      </w:r>
      <w:r w:rsidRPr="00296F53">
        <w:t xml:space="preserve"> we have been requesting </w:t>
      </w:r>
      <w:r>
        <w:t>information from stakeholders about their campaigns and education materials. The breadth of education and campaign materials has</w:t>
      </w:r>
      <w:r w:rsidRPr="00296F53">
        <w:t xml:space="preserve"> be</w:t>
      </w:r>
      <w:r>
        <w:t>en broader than we anticipated, w</w:t>
      </w:r>
      <w:r w:rsidRPr="00296F53">
        <w:t xml:space="preserve">ith materials being made available by </w:t>
      </w:r>
      <w:r>
        <w:t>manufacturers, retailers,</w:t>
      </w:r>
      <w:r w:rsidRPr="00296F53">
        <w:t xml:space="preserve"> governments and </w:t>
      </w:r>
      <w:r>
        <w:t>public health bodies. Further, education materials have emerged in a wide range of environments including online, in supermarkets, on shelves, on pamphlets and via radio advertising. We will continue to collect and analyse materials over the course of the Review.</w:t>
      </w:r>
    </w:p>
    <w:p w14:paraId="50D62320" w14:textId="77777777" w:rsidR="00B3647B" w:rsidRDefault="00B3647B" w:rsidP="00B3647B">
      <w:pPr>
        <w:pStyle w:val="mpcNormal"/>
      </w:pPr>
      <w:r w:rsidRPr="00004C64">
        <w:t>We are mindful that this is a dynamic environment, that education is ongoing and that a number of governments (for example, South Australia) are soon to release further campaign materials, including positioning the HSR within the context of broader healthy eating messages.</w:t>
      </w:r>
    </w:p>
    <w:p w14:paraId="69F3AF49" w14:textId="504109FE" w:rsidR="00004C64" w:rsidRPr="00004C64" w:rsidRDefault="00C16A8B" w:rsidP="00280347">
      <w:pPr>
        <w:pStyle w:val="mpcNormal"/>
        <w:spacing w:after="0"/>
      </w:pPr>
      <w:r w:rsidRPr="00004C64">
        <w:t>W</w:t>
      </w:r>
      <w:r w:rsidR="00004C64" w:rsidRPr="00004C64">
        <w:t>hile we will not be evalu</w:t>
      </w:r>
      <w:r w:rsidR="00004C64">
        <w:t xml:space="preserve">ating the impact of each and </w:t>
      </w:r>
      <w:r w:rsidR="00EC1154">
        <w:t>every</w:t>
      </w:r>
      <w:r w:rsidR="00004C64" w:rsidRPr="00004C64">
        <w:t xml:space="preserve"> campaign, we will be seeking to:</w:t>
      </w:r>
    </w:p>
    <w:p w14:paraId="5D5DB2ED" w14:textId="61DEE4BB" w:rsidR="00004C64" w:rsidRPr="00004C64" w:rsidRDefault="00EC1154" w:rsidP="00004C64">
      <w:pPr>
        <w:pStyle w:val="mpcbullets1"/>
      </w:pPr>
      <w:r>
        <w:t>d</w:t>
      </w:r>
      <w:r w:rsidRPr="00004C64">
        <w:t xml:space="preserve">escribe the range of activities that have </w:t>
      </w:r>
      <w:r>
        <w:t>accompanied</w:t>
      </w:r>
      <w:r w:rsidRPr="00004C64">
        <w:t xml:space="preserve"> </w:t>
      </w:r>
      <w:r>
        <w:t xml:space="preserve">the roll </w:t>
      </w:r>
      <w:r w:rsidR="00280347">
        <w:t xml:space="preserve">out </w:t>
      </w:r>
      <w:r>
        <w:t>of the HSR system</w:t>
      </w:r>
    </w:p>
    <w:p w14:paraId="545045C5" w14:textId="14435B1F" w:rsidR="00004C64" w:rsidRPr="00004C64" w:rsidRDefault="00EC1154" w:rsidP="00004C64">
      <w:pPr>
        <w:pStyle w:val="mpcbullets1"/>
      </w:pPr>
      <w:r>
        <w:t>a</w:t>
      </w:r>
      <w:r w:rsidRPr="00004C64">
        <w:t>rticulate</w:t>
      </w:r>
      <w:r w:rsidR="00004C64" w:rsidRPr="00004C64">
        <w:t xml:space="preserve"> </w:t>
      </w:r>
      <w:r>
        <w:t>the</w:t>
      </w:r>
      <w:r w:rsidR="00004C64">
        <w:t xml:space="preserve"> collective</w:t>
      </w:r>
      <w:r w:rsidR="00004C64" w:rsidRPr="00004C64">
        <w:t xml:space="preserve"> </w:t>
      </w:r>
      <w:r>
        <w:t>strengths</w:t>
      </w:r>
      <w:r w:rsidR="00004C64">
        <w:t xml:space="preserve"> and </w:t>
      </w:r>
      <w:r>
        <w:t>limitations</w:t>
      </w:r>
      <w:r w:rsidR="00004C64">
        <w:t xml:space="preserve"> of these activities </w:t>
      </w:r>
    </w:p>
    <w:p w14:paraId="094BC2E0" w14:textId="2E1F106E" w:rsidR="00004C64" w:rsidRDefault="007E7033" w:rsidP="00004C64">
      <w:pPr>
        <w:pStyle w:val="mpcbullets1"/>
      </w:pPr>
      <w:r>
        <w:t>specifically examine</w:t>
      </w:r>
      <w:r w:rsidR="00EC1154">
        <w:t xml:space="preserve"> government communication surrounding the HSR system</w:t>
      </w:r>
      <w:r>
        <w:t xml:space="preserve">, drawing on the </w:t>
      </w:r>
      <w:r w:rsidR="00004C64">
        <w:t xml:space="preserve">body of work </w:t>
      </w:r>
      <w:r>
        <w:t xml:space="preserve">that </w:t>
      </w:r>
      <w:r w:rsidR="00004C64">
        <w:t xml:space="preserve">has </w:t>
      </w:r>
      <w:r>
        <w:t xml:space="preserve">already </w:t>
      </w:r>
      <w:r w:rsidR="00004C64">
        <w:t>been undertaken to evaluate the impact of government campaign activity</w:t>
      </w:r>
      <w:r>
        <w:t xml:space="preserve"> (including reports r</w:t>
      </w:r>
      <w:r w:rsidR="00004C64">
        <w:t>eleased in 2015, 2016 and in 2017</w:t>
      </w:r>
      <w:r>
        <w:t>)</w:t>
      </w:r>
      <w:r w:rsidR="00EC1154">
        <w:t>, and</w:t>
      </w:r>
    </w:p>
    <w:p w14:paraId="0E63F706" w14:textId="49BF7908" w:rsidR="00EC1154" w:rsidRDefault="00EC1154" w:rsidP="00EC1154">
      <w:pPr>
        <w:pStyle w:val="mpcbullets1"/>
      </w:pPr>
      <w:r>
        <w:t>l</w:t>
      </w:r>
      <w:r w:rsidR="00004C64" w:rsidRPr="00004C64">
        <w:t xml:space="preserve">earnings for </w:t>
      </w:r>
      <w:r>
        <w:t xml:space="preserve">the future </w:t>
      </w:r>
      <w:r w:rsidRPr="00004C64">
        <w:t>including</w:t>
      </w:r>
      <w:r w:rsidR="00004C64" w:rsidRPr="00004C64">
        <w:t xml:space="preserve"> how the HSR system is </w:t>
      </w:r>
      <w:r>
        <w:t>positioned</w:t>
      </w:r>
      <w:r w:rsidR="00004C64" w:rsidRPr="00004C64">
        <w:t xml:space="preserve"> within the context of </w:t>
      </w:r>
      <w:r w:rsidR="00280347">
        <w:t>broader healthy eating message</w:t>
      </w:r>
      <w:r w:rsidR="00004C64" w:rsidRPr="00004C64">
        <w:t xml:space="preserve"> and </w:t>
      </w:r>
      <w:r>
        <w:t>how</w:t>
      </w:r>
      <w:r w:rsidR="00004C64" w:rsidRPr="00004C64">
        <w:t xml:space="preserve"> consumer </w:t>
      </w:r>
      <w:r w:rsidRPr="00004C64">
        <w:t>confidence</w:t>
      </w:r>
      <w:r w:rsidR="00004C64" w:rsidRPr="00004C64">
        <w:t xml:space="preserve"> in </w:t>
      </w:r>
      <w:r>
        <w:t>the</w:t>
      </w:r>
      <w:r w:rsidR="00004C64" w:rsidRPr="00004C64">
        <w:t xml:space="preserve"> HSR system can be built.</w:t>
      </w:r>
    </w:p>
    <w:p w14:paraId="6EC48BF6" w14:textId="77777777" w:rsidR="00511098" w:rsidRDefault="00511098">
      <w:pPr>
        <w:rPr>
          <w:rFonts w:asciiTheme="minorHAnsi" w:hAnsiTheme="minorHAnsi" w:cstheme="minorBidi"/>
          <w:b/>
          <w:sz w:val="36"/>
          <w:szCs w:val="36"/>
          <w:lang w:val="en-AU" w:eastAsia="en-US"/>
        </w:rPr>
      </w:pPr>
      <w:r>
        <w:br w:type="page"/>
      </w:r>
    </w:p>
    <w:p w14:paraId="2B7FF825" w14:textId="1522655D" w:rsidR="00511098" w:rsidRDefault="00AF0C26" w:rsidP="00511098">
      <w:pPr>
        <w:pStyle w:val="mpcheading1"/>
      </w:pPr>
      <w:bookmarkStart w:id="73" w:name="_Toc503880624"/>
      <w:r>
        <w:lastRenderedPageBreak/>
        <w:t>Chapter 6</w:t>
      </w:r>
      <w:r w:rsidR="00511098">
        <w:t xml:space="preserve"> – </w:t>
      </w:r>
      <w:r w:rsidR="00EC1154">
        <w:t>G</w:t>
      </w:r>
      <w:r w:rsidR="00511098">
        <w:t>overnance of the HSR system</w:t>
      </w:r>
      <w:bookmarkEnd w:id="73"/>
      <w:r w:rsidR="00511098">
        <w:t xml:space="preserve"> </w:t>
      </w:r>
    </w:p>
    <w:p w14:paraId="5C338983" w14:textId="20020A2A" w:rsidR="00511098" w:rsidRDefault="00511098" w:rsidP="00EC1154">
      <w:pPr>
        <w:pStyle w:val="mpcheading2"/>
      </w:pPr>
      <w:bookmarkStart w:id="74" w:name="_Toc503880625"/>
      <w:r>
        <w:t xml:space="preserve">Governance </w:t>
      </w:r>
      <w:r w:rsidR="00EC1154">
        <w:t>structures</w:t>
      </w:r>
      <w:bookmarkEnd w:id="74"/>
    </w:p>
    <w:p w14:paraId="3A7D6B41" w14:textId="1B064FE3" w:rsidR="00B3647B" w:rsidRPr="00280347" w:rsidRDefault="00B3647B" w:rsidP="00B3647B">
      <w:pPr>
        <w:pStyle w:val="mpcbullets1"/>
        <w:numPr>
          <w:ilvl w:val="0"/>
          <w:numId w:val="0"/>
        </w:numPr>
        <w:rPr>
          <w:color w:val="000000" w:themeColor="text1"/>
        </w:rPr>
      </w:pPr>
      <w:r w:rsidRPr="00280347">
        <w:rPr>
          <w:color w:val="000000" w:themeColor="text1"/>
        </w:rPr>
        <w:t>As many stakeholders are aware, there are five main bodies involved in the governance of the HSR. These are:</w:t>
      </w:r>
    </w:p>
    <w:p w14:paraId="78885FF8" w14:textId="77777777" w:rsidR="00B3647B" w:rsidRPr="00280347" w:rsidRDefault="00B3647B" w:rsidP="00B3647B">
      <w:pPr>
        <w:pStyle w:val="mpcbullets1"/>
        <w:numPr>
          <w:ilvl w:val="0"/>
          <w:numId w:val="12"/>
        </w:numPr>
        <w:rPr>
          <w:rFonts w:eastAsia="Times New Roman"/>
          <w:color w:val="000000" w:themeColor="text1"/>
        </w:rPr>
      </w:pPr>
      <w:r w:rsidRPr="00280347">
        <w:rPr>
          <w:rStyle w:val="Strong"/>
          <w:color w:val="000000" w:themeColor="text1"/>
        </w:rPr>
        <w:t>the Forum</w:t>
      </w:r>
      <w:r w:rsidRPr="00280347">
        <w:rPr>
          <w:color w:val="000000" w:themeColor="text1"/>
        </w:rPr>
        <w:t xml:space="preserve">, which </w:t>
      </w:r>
      <w:r w:rsidRPr="00280347">
        <w:rPr>
          <w:rFonts w:eastAsia="Times New Roman"/>
          <w:color w:val="000000" w:themeColor="text1"/>
          <w:shd w:val="clear" w:color="auto" w:fill="FFFFFF"/>
        </w:rPr>
        <w:t>includes Ministers responsible for food from across Australia and New Zealand and is chaired by the Australian Government. The Forum will consider the Review Report (and its recommendations), along with any recommendations from the FRSC</w:t>
      </w:r>
    </w:p>
    <w:p w14:paraId="22D6B89D" w14:textId="113C7BBC" w:rsidR="00B3647B" w:rsidRPr="00280347" w:rsidRDefault="00B3647B" w:rsidP="00B3647B">
      <w:pPr>
        <w:pStyle w:val="mpcbullets1"/>
        <w:numPr>
          <w:ilvl w:val="0"/>
          <w:numId w:val="12"/>
        </w:numPr>
        <w:rPr>
          <w:color w:val="000000" w:themeColor="text1"/>
        </w:rPr>
      </w:pPr>
      <w:r w:rsidRPr="00280347">
        <w:rPr>
          <w:rStyle w:val="Strong"/>
          <w:color w:val="000000" w:themeColor="text1"/>
        </w:rPr>
        <w:t>the FRSC</w:t>
      </w:r>
      <w:r w:rsidRPr="00280347">
        <w:rPr>
          <w:rFonts w:eastAsia="Times New Roman"/>
          <w:color w:val="000000" w:themeColor="text1"/>
          <w:shd w:val="clear" w:color="auto" w:fill="FFFFFF"/>
        </w:rPr>
        <w:t xml:space="preserve"> is a sub-committee of the Forum and is responsible for coordinating policy advice to the Forum and ensuring a nationally consistent approach to the implementation and enforcement of food standards. The FRSC will be considering the Review Report and the recommendations of </w:t>
      </w:r>
      <w:r w:rsidR="00907072">
        <w:rPr>
          <w:rFonts w:eastAsia="Times New Roman"/>
          <w:color w:val="000000" w:themeColor="text1"/>
          <w:shd w:val="clear" w:color="auto" w:fill="FFFFFF"/>
        </w:rPr>
        <w:t xml:space="preserve">the </w:t>
      </w:r>
      <w:r w:rsidRPr="00280347">
        <w:rPr>
          <w:rFonts w:eastAsia="Times New Roman"/>
          <w:color w:val="000000" w:themeColor="text1"/>
          <w:shd w:val="clear" w:color="auto" w:fill="FFFFFF"/>
        </w:rPr>
        <w:t>HSRAC and advising the Forum on the future of the HSR system</w:t>
      </w:r>
    </w:p>
    <w:p w14:paraId="22751AE8" w14:textId="77777777" w:rsidR="00B3647B" w:rsidRPr="00280347" w:rsidRDefault="00B3647B" w:rsidP="00B3647B">
      <w:pPr>
        <w:pStyle w:val="mpcbullets1"/>
        <w:numPr>
          <w:ilvl w:val="0"/>
          <w:numId w:val="12"/>
        </w:numPr>
        <w:rPr>
          <w:color w:val="000000" w:themeColor="text1"/>
        </w:rPr>
      </w:pPr>
      <w:r w:rsidRPr="00280347">
        <w:rPr>
          <w:rStyle w:val="Strong"/>
          <w:color w:val="000000" w:themeColor="text1"/>
        </w:rPr>
        <w:t>the HSRAC</w:t>
      </w:r>
      <w:r w:rsidRPr="00280347">
        <w:rPr>
          <w:color w:val="000000" w:themeColor="text1"/>
        </w:rPr>
        <w:t xml:space="preserve"> is responsible for overseeing the implementation and evaluation of the HSR system. This includes the assessment of potential anomalies that may be identified within the HSR calculator. Members are from the New Zealand government, Australian Commonwealth, state and territory governments, as well as representatives from industry, public health and consumer groups</w:t>
      </w:r>
    </w:p>
    <w:p w14:paraId="0195EEC8" w14:textId="11658119" w:rsidR="00B3647B" w:rsidRPr="00280347" w:rsidRDefault="00B3647B" w:rsidP="00B3647B">
      <w:pPr>
        <w:pStyle w:val="mpcbullets1"/>
        <w:numPr>
          <w:ilvl w:val="0"/>
          <w:numId w:val="12"/>
        </w:numPr>
        <w:rPr>
          <w:color w:val="000000" w:themeColor="text1"/>
        </w:rPr>
      </w:pPr>
      <w:r w:rsidRPr="00280347">
        <w:rPr>
          <w:rStyle w:val="Strong"/>
          <w:b w:val="0"/>
          <w:color w:val="000000" w:themeColor="text1"/>
        </w:rPr>
        <w:t xml:space="preserve">the </w:t>
      </w:r>
      <w:r w:rsidRPr="007E7033">
        <w:rPr>
          <w:rStyle w:val="Strong"/>
          <w:color w:val="000000" w:themeColor="text1"/>
        </w:rPr>
        <w:t>New Zealand Health Star Rating Advisory Group</w:t>
      </w:r>
      <w:r w:rsidRPr="00280347">
        <w:rPr>
          <w:color w:val="000000" w:themeColor="text1"/>
        </w:rPr>
        <w:t xml:space="preserve"> is chaired by the MPI and includes people from the food industry, academia, public health and consumer groups in New Zealand. The Group considers implementation of the HSR in New Zealand</w:t>
      </w:r>
    </w:p>
    <w:p w14:paraId="6FF6207B" w14:textId="5863A8C6" w:rsidR="00B3647B" w:rsidRPr="00280347" w:rsidRDefault="00B3647B" w:rsidP="00B3647B">
      <w:pPr>
        <w:pStyle w:val="mpcbullets1"/>
        <w:numPr>
          <w:ilvl w:val="0"/>
          <w:numId w:val="12"/>
        </w:numPr>
        <w:rPr>
          <w:color w:val="000000" w:themeColor="text1"/>
        </w:rPr>
      </w:pPr>
      <w:r w:rsidRPr="00280347">
        <w:rPr>
          <w:rStyle w:val="Strong"/>
          <w:color w:val="000000" w:themeColor="text1"/>
        </w:rPr>
        <w:t>the TAG</w:t>
      </w:r>
      <w:r w:rsidRPr="00280347">
        <w:rPr>
          <w:color w:val="000000" w:themeColor="text1"/>
        </w:rPr>
        <w:t xml:space="preserve"> was established by </w:t>
      </w:r>
      <w:r w:rsidR="00907072">
        <w:rPr>
          <w:color w:val="000000" w:themeColor="text1"/>
        </w:rPr>
        <w:t xml:space="preserve">the </w:t>
      </w:r>
      <w:r w:rsidRPr="00280347">
        <w:rPr>
          <w:color w:val="000000" w:themeColor="text1"/>
        </w:rPr>
        <w:t xml:space="preserve">HSRAC in late 2016 to analyse the performance of the HSR calculator for the Five Year Review and respond to technical issues and related matters referred to it by the HSRAC. The TAG comprises a range of experts from government (including Food Standards Australia New Zealand), the food industry and public health. </w:t>
      </w:r>
    </w:p>
    <w:p w14:paraId="504906DE" w14:textId="77777777" w:rsidR="00B3647B" w:rsidRPr="00280347" w:rsidRDefault="00B3647B" w:rsidP="00B3647B">
      <w:pPr>
        <w:pStyle w:val="mpcbullets1"/>
        <w:numPr>
          <w:ilvl w:val="0"/>
          <w:numId w:val="0"/>
        </w:numPr>
        <w:rPr>
          <w:color w:val="000000" w:themeColor="text1"/>
        </w:rPr>
      </w:pPr>
    </w:p>
    <w:p w14:paraId="1C996584" w14:textId="77777777" w:rsidR="00B3647B" w:rsidRPr="00280347" w:rsidRDefault="00B3647B" w:rsidP="00B3647B">
      <w:pPr>
        <w:pStyle w:val="mpcbullets1"/>
        <w:numPr>
          <w:ilvl w:val="0"/>
          <w:numId w:val="0"/>
        </w:numPr>
        <w:rPr>
          <w:color w:val="000000" w:themeColor="text1"/>
        </w:rPr>
      </w:pPr>
      <w:r w:rsidRPr="00280347">
        <w:rPr>
          <w:color w:val="000000" w:themeColor="text1"/>
        </w:rPr>
        <w:t xml:space="preserve">As identified by many stakeholders, one of the key strengths of the HSR system has been the cooperative and collaborative approach to its development and ongoing evaluation. This cooperative approach is consistent with the approach promoted more broadly in relation to food regulation. For example, the </w:t>
      </w:r>
      <w:r w:rsidRPr="00280347">
        <w:rPr>
          <w:rStyle w:val="Emphasis"/>
          <w:color w:val="000000" w:themeColor="text1"/>
        </w:rPr>
        <w:t>Engaging in the Australian and New Zealand joint food regulation system</w:t>
      </w:r>
      <w:r w:rsidRPr="00280347">
        <w:rPr>
          <w:color w:val="000000" w:themeColor="text1"/>
        </w:rPr>
        <w:t xml:space="preserve"> strategy is founded on the recognition that better outcomes for food regulation are achieved if </w:t>
      </w:r>
      <w:r w:rsidRPr="00280347">
        <w:rPr>
          <w:i/>
          <w:color w:val="000000" w:themeColor="text1"/>
        </w:rPr>
        <w:t>“</w:t>
      </w:r>
      <w:r w:rsidRPr="00280347">
        <w:rPr>
          <w:rStyle w:val="Emphasis"/>
          <w:color w:val="000000" w:themeColor="text1"/>
        </w:rPr>
        <w:t>a wide range of stakeholders are involved and engaged in the system</w:t>
      </w:r>
      <w:r w:rsidRPr="00280347">
        <w:rPr>
          <w:i/>
          <w:color w:val="000000" w:themeColor="text1"/>
        </w:rPr>
        <w:t xml:space="preserve">”. </w:t>
      </w:r>
    </w:p>
    <w:p w14:paraId="43D83DE3" w14:textId="77777777" w:rsidR="00B3647B" w:rsidRPr="00280347" w:rsidRDefault="00B3647B" w:rsidP="00B3647B">
      <w:pPr>
        <w:pStyle w:val="mpcbullets1"/>
        <w:numPr>
          <w:ilvl w:val="0"/>
          <w:numId w:val="0"/>
        </w:numPr>
        <w:rPr>
          <w:color w:val="000000" w:themeColor="text1"/>
        </w:rPr>
      </w:pPr>
    </w:p>
    <w:p w14:paraId="59CB0B80" w14:textId="392210AF" w:rsidR="00B3647B" w:rsidRDefault="00B3647B" w:rsidP="00B3647B">
      <w:pPr>
        <w:pStyle w:val="mpcbullets1"/>
        <w:numPr>
          <w:ilvl w:val="0"/>
          <w:numId w:val="0"/>
        </w:numPr>
      </w:pPr>
      <w:r>
        <w:t>Based o</w:t>
      </w:r>
      <w:r w:rsidR="00155072">
        <w:t>n our observations to date and</w:t>
      </w:r>
      <w:r>
        <w:t xml:space="preserve"> review of a wide range of documents and feedback from stakeholders, the system has been characterised by:</w:t>
      </w:r>
    </w:p>
    <w:p w14:paraId="5D8505C4" w14:textId="77777777" w:rsidR="00B3647B" w:rsidRDefault="00B3647B" w:rsidP="00B3647B">
      <w:pPr>
        <w:pStyle w:val="mpcbullets1"/>
        <w:numPr>
          <w:ilvl w:val="0"/>
          <w:numId w:val="7"/>
        </w:numPr>
      </w:pPr>
      <w:r>
        <w:t>a high degree of cooperation between industry, public health and government (noting that it can often be difficult to achieve consensus and agreement between these parties)</w:t>
      </w:r>
    </w:p>
    <w:p w14:paraId="533B08FE" w14:textId="77777777" w:rsidR="00B3647B" w:rsidRDefault="00B3647B" w:rsidP="00B3647B">
      <w:pPr>
        <w:pStyle w:val="mpcbullets1"/>
        <w:numPr>
          <w:ilvl w:val="0"/>
          <w:numId w:val="7"/>
        </w:numPr>
      </w:pPr>
      <w:r>
        <w:t xml:space="preserve">a strong continuity of committee membership, which has been particularly valuable in the early stages of implementation </w:t>
      </w:r>
    </w:p>
    <w:p w14:paraId="1AD4DB7B" w14:textId="77777777" w:rsidR="00B3647B" w:rsidRDefault="00B3647B" w:rsidP="00B3647B">
      <w:pPr>
        <w:pStyle w:val="mpcbullets1"/>
        <w:numPr>
          <w:ilvl w:val="0"/>
          <w:numId w:val="7"/>
        </w:numPr>
      </w:pPr>
      <w:r>
        <w:t>effective working relationships</w:t>
      </w:r>
    </w:p>
    <w:p w14:paraId="72F4C40A" w14:textId="77777777" w:rsidR="00B3647B" w:rsidRDefault="00B3647B" w:rsidP="00B3647B">
      <w:pPr>
        <w:pStyle w:val="mpcbullets1"/>
        <w:numPr>
          <w:ilvl w:val="0"/>
          <w:numId w:val="7"/>
        </w:numPr>
      </w:pPr>
      <w:r>
        <w:t>a reasonably transparent process, and</w:t>
      </w:r>
    </w:p>
    <w:p w14:paraId="3311A2FA" w14:textId="77777777" w:rsidR="00B3647B" w:rsidRDefault="00B3647B" w:rsidP="00B3647B">
      <w:pPr>
        <w:pStyle w:val="mpcbullets1"/>
        <w:numPr>
          <w:ilvl w:val="0"/>
          <w:numId w:val="7"/>
        </w:numPr>
      </w:pPr>
      <w:r>
        <w:t>a high degree of public consultation – as evidenced by the level of consultation to date on the ‘as prepared’ issue.</w:t>
      </w:r>
    </w:p>
    <w:p w14:paraId="46A627AA" w14:textId="77777777" w:rsidR="00B3647B" w:rsidRPr="008865A5" w:rsidRDefault="00B3647B" w:rsidP="00B3647B">
      <w:pPr>
        <w:pStyle w:val="mpcbullets1"/>
        <w:numPr>
          <w:ilvl w:val="0"/>
          <w:numId w:val="0"/>
        </w:numPr>
      </w:pPr>
    </w:p>
    <w:p w14:paraId="6F4C6C3D" w14:textId="77777777" w:rsidR="00B3647B" w:rsidRDefault="00B3647B" w:rsidP="007E7033">
      <w:pPr>
        <w:pStyle w:val="mpcbullets1"/>
        <w:keepNext/>
        <w:numPr>
          <w:ilvl w:val="0"/>
          <w:numId w:val="0"/>
        </w:numPr>
      </w:pPr>
      <w:r>
        <w:lastRenderedPageBreak/>
        <w:t>Despite stakeholders generally appreciating the strengths of the governance model, a</w:t>
      </w:r>
      <w:r w:rsidRPr="008865A5">
        <w:t xml:space="preserve"> number of stakeholder</w:t>
      </w:r>
      <w:r>
        <w:t>s</w:t>
      </w:r>
      <w:r w:rsidRPr="008865A5">
        <w:t xml:space="preserve"> have identified </w:t>
      </w:r>
      <w:r>
        <w:t>concerns</w:t>
      </w:r>
      <w:r w:rsidRPr="008865A5">
        <w:t xml:space="preserve"> about</w:t>
      </w:r>
      <w:r>
        <w:t>:</w:t>
      </w:r>
    </w:p>
    <w:p w14:paraId="61E144F0" w14:textId="77777777" w:rsidR="00B3647B" w:rsidRDefault="00B3647B" w:rsidP="007E7033">
      <w:pPr>
        <w:pStyle w:val="mpcbullets1"/>
        <w:keepNext/>
        <w:numPr>
          <w:ilvl w:val="0"/>
          <w:numId w:val="7"/>
        </w:numPr>
      </w:pPr>
      <w:r w:rsidRPr="008865A5">
        <w:t xml:space="preserve">the </w:t>
      </w:r>
      <w:r>
        <w:t xml:space="preserve">composition </w:t>
      </w:r>
      <w:r w:rsidRPr="008865A5">
        <w:t xml:space="preserve">of the HSRAC </w:t>
      </w:r>
      <w:r>
        <w:t xml:space="preserve">and the TAG </w:t>
      </w:r>
      <w:r w:rsidRPr="008865A5">
        <w:t>(</w:t>
      </w:r>
      <w:r>
        <w:t>including</w:t>
      </w:r>
      <w:r w:rsidRPr="008865A5">
        <w:t xml:space="preserve"> whether there is adequate public health an</w:t>
      </w:r>
      <w:r>
        <w:t>d nutrition science expertise)</w:t>
      </w:r>
    </w:p>
    <w:p w14:paraId="1A1E90DE" w14:textId="77777777" w:rsidR="00B3647B" w:rsidRDefault="00B3647B" w:rsidP="00B3647B">
      <w:pPr>
        <w:pStyle w:val="mpcbullets1"/>
        <w:numPr>
          <w:ilvl w:val="0"/>
          <w:numId w:val="7"/>
        </w:numPr>
      </w:pPr>
      <w:r>
        <w:t xml:space="preserve">potential conflicts of interest, </w:t>
      </w:r>
      <w:r w:rsidRPr="008865A5">
        <w:t>and</w:t>
      </w:r>
      <w:r>
        <w:t xml:space="preserve"> </w:t>
      </w:r>
    </w:p>
    <w:p w14:paraId="21A85AC9" w14:textId="77777777" w:rsidR="00B3647B" w:rsidRDefault="00B3647B" w:rsidP="00B3647B">
      <w:pPr>
        <w:pStyle w:val="mpcbullets1"/>
        <w:numPr>
          <w:ilvl w:val="0"/>
          <w:numId w:val="7"/>
        </w:numPr>
      </w:pPr>
      <w:r>
        <w:t>concerns regarding transparency particularly in relation to decisions on anomalies or changes to the HSR style guide.</w:t>
      </w:r>
    </w:p>
    <w:p w14:paraId="52AF8518" w14:textId="77777777" w:rsidR="00B3647B" w:rsidRDefault="00B3647B" w:rsidP="00B3647B">
      <w:pPr>
        <w:pStyle w:val="mpcbullets1"/>
        <w:numPr>
          <w:ilvl w:val="0"/>
          <w:numId w:val="0"/>
        </w:numPr>
      </w:pPr>
    </w:p>
    <w:p w14:paraId="3291CCC6" w14:textId="77777777" w:rsidR="00B3647B" w:rsidRDefault="00B3647B" w:rsidP="00B3647B">
      <w:pPr>
        <w:pStyle w:val="mpcbullets1"/>
        <w:numPr>
          <w:ilvl w:val="0"/>
          <w:numId w:val="0"/>
        </w:numPr>
      </w:pPr>
      <w:r>
        <w:t>Some of these concerns may have arisen from misunderstandings or not being aware that information is publicly available, and some have been addressed more recently. For example:</w:t>
      </w:r>
    </w:p>
    <w:p w14:paraId="1E69A6B7" w14:textId="77777777" w:rsidR="00B3647B" w:rsidRDefault="00B3647B" w:rsidP="00B3647B">
      <w:pPr>
        <w:pStyle w:val="mpcbullets1"/>
        <w:numPr>
          <w:ilvl w:val="0"/>
          <w:numId w:val="11"/>
        </w:numPr>
      </w:pPr>
      <w:r>
        <w:t>over the past few months public health/nutrition science experience has been strengthened on the HSRAC</w:t>
      </w:r>
    </w:p>
    <w:p w14:paraId="562D8BB4" w14:textId="77777777" w:rsidR="00B3647B" w:rsidRDefault="00B3647B" w:rsidP="00B3647B">
      <w:pPr>
        <w:pStyle w:val="mpcbullets1"/>
        <w:numPr>
          <w:ilvl w:val="0"/>
          <w:numId w:val="11"/>
        </w:numPr>
      </w:pPr>
      <w:r>
        <w:t>a profile of HSRAC and TAG members can be accessed on the HSR website (providing transparency as to membership)</w:t>
      </w:r>
    </w:p>
    <w:p w14:paraId="2C554E56" w14:textId="77777777" w:rsidR="00B3647B" w:rsidRDefault="00B3647B" w:rsidP="00B3647B">
      <w:pPr>
        <w:pStyle w:val="mpcbullets1"/>
        <w:numPr>
          <w:ilvl w:val="0"/>
          <w:numId w:val="11"/>
        </w:numPr>
      </w:pPr>
      <w:r>
        <w:t>conflicts of interest are declared at each meeting and published on the HSR website, and</w:t>
      </w:r>
    </w:p>
    <w:p w14:paraId="5FAAF9D4" w14:textId="77777777" w:rsidR="00B3647B" w:rsidRDefault="00B3647B" w:rsidP="00B3647B">
      <w:pPr>
        <w:pStyle w:val="mpcbullets1"/>
        <w:numPr>
          <w:ilvl w:val="0"/>
          <w:numId w:val="11"/>
        </w:numPr>
      </w:pPr>
      <w:r>
        <w:t>the outcomes of HSRAC meetings are published.</w:t>
      </w:r>
    </w:p>
    <w:p w14:paraId="3D3F29E2" w14:textId="77777777" w:rsidR="00B3647B" w:rsidRDefault="00B3647B" w:rsidP="00B3647B">
      <w:pPr>
        <w:pStyle w:val="mpcbullets1"/>
        <w:numPr>
          <w:ilvl w:val="0"/>
          <w:numId w:val="0"/>
        </w:numPr>
      </w:pPr>
    </w:p>
    <w:p w14:paraId="3B36A436" w14:textId="77777777" w:rsidR="00B3647B" w:rsidRDefault="00B3647B" w:rsidP="00B3647B">
      <w:pPr>
        <w:pStyle w:val="mpcbullets1"/>
        <w:numPr>
          <w:ilvl w:val="0"/>
          <w:numId w:val="0"/>
        </w:numPr>
      </w:pPr>
      <w:r>
        <w:t>In further exploring the governance arrangements we will:</w:t>
      </w:r>
    </w:p>
    <w:p w14:paraId="3A466EAE" w14:textId="77777777" w:rsidR="00B3647B" w:rsidRDefault="00B3647B" w:rsidP="00B3647B">
      <w:pPr>
        <w:pStyle w:val="mpcbullets1"/>
        <w:numPr>
          <w:ilvl w:val="0"/>
          <w:numId w:val="8"/>
        </w:numPr>
      </w:pPr>
      <w:r>
        <w:t>speak with stakeholders regarding areas where they consider there is inadequate transparency and also what they would like to achieve from enhanced transparency</w:t>
      </w:r>
    </w:p>
    <w:p w14:paraId="50A19042" w14:textId="7780BE36" w:rsidR="002803E0" w:rsidRDefault="002803E0" w:rsidP="00B3647B">
      <w:pPr>
        <w:pStyle w:val="mpcbullets1"/>
        <w:numPr>
          <w:ilvl w:val="0"/>
          <w:numId w:val="8"/>
        </w:numPr>
      </w:pPr>
      <w:r>
        <w:t>examine decision making processes (including the timeliness of decision making) particularly in relation to anomalies or other changes to the HSR system</w:t>
      </w:r>
    </w:p>
    <w:p w14:paraId="3B10D27E" w14:textId="77777777" w:rsidR="00B3647B" w:rsidRDefault="00B3647B" w:rsidP="00B3647B">
      <w:pPr>
        <w:pStyle w:val="mpcbullets1"/>
        <w:numPr>
          <w:ilvl w:val="0"/>
          <w:numId w:val="8"/>
        </w:numPr>
      </w:pPr>
      <w:r>
        <w:t>consider the role of the governance bodies, taking into account the impact of the system continuing as voluntary or becoming mandatory</w:t>
      </w:r>
    </w:p>
    <w:p w14:paraId="0F67F7FB" w14:textId="77777777" w:rsidR="00B3647B" w:rsidRDefault="00B3647B" w:rsidP="00B3647B">
      <w:pPr>
        <w:pStyle w:val="mpcbullets1"/>
        <w:numPr>
          <w:ilvl w:val="0"/>
          <w:numId w:val="8"/>
        </w:numPr>
      </w:pPr>
      <w:r>
        <w:t>consider any learnings from best practice governance models (national and international), and</w:t>
      </w:r>
    </w:p>
    <w:p w14:paraId="0A08ECBF" w14:textId="27A294DD" w:rsidR="00511098" w:rsidRDefault="00B3647B" w:rsidP="002803E0">
      <w:pPr>
        <w:pStyle w:val="mpcbullets1"/>
        <w:numPr>
          <w:ilvl w:val="0"/>
          <w:numId w:val="8"/>
        </w:numPr>
      </w:pPr>
      <w:r>
        <w:t>consider cost implications of various governance models.</w:t>
      </w:r>
    </w:p>
    <w:p w14:paraId="154CD301" w14:textId="2335AB44" w:rsidR="00511098" w:rsidRDefault="00EC1154" w:rsidP="002803E0">
      <w:pPr>
        <w:pStyle w:val="mpcheading2"/>
      </w:pPr>
      <w:bookmarkStart w:id="75" w:name="_Toc503880626"/>
      <w:r>
        <w:t>Ongoing implementation of the HSR</w:t>
      </w:r>
      <w:bookmarkEnd w:id="75"/>
      <w:r>
        <w:t xml:space="preserve"> </w:t>
      </w:r>
    </w:p>
    <w:p w14:paraId="0B5CB198" w14:textId="606E982E" w:rsidR="00511098" w:rsidRDefault="00EC1154" w:rsidP="00511098">
      <w:pPr>
        <w:pStyle w:val="mpcbullets1"/>
        <w:numPr>
          <w:ilvl w:val="0"/>
          <w:numId w:val="0"/>
        </w:numPr>
      </w:pPr>
      <w:r w:rsidRPr="00EC1154">
        <w:t>As part of our examination of both the governance arrangements and the uptake of the HSR system</w:t>
      </w:r>
      <w:r>
        <w:t>,</w:t>
      </w:r>
      <w:r w:rsidRPr="00EC1154">
        <w:t xml:space="preserve"> we will consider</w:t>
      </w:r>
      <w:r>
        <w:t xml:space="preserve"> whet</w:t>
      </w:r>
      <w:r w:rsidR="00280347">
        <w:t xml:space="preserve">her the system should continue to be </w:t>
      </w:r>
      <w:r>
        <w:t xml:space="preserve">voluntary and also the implications of </w:t>
      </w:r>
      <w:r w:rsidRPr="00EC1154">
        <w:t>mandating the system</w:t>
      </w:r>
      <w:r>
        <w:t>.</w:t>
      </w:r>
    </w:p>
    <w:p w14:paraId="233EF8FD" w14:textId="77777777" w:rsidR="00511098" w:rsidRDefault="00511098" w:rsidP="00511098">
      <w:pPr>
        <w:pStyle w:val="mpcbullets1"/>
        <w:numPr>
          <w:ilvl w:val="0"/>
          <w:numId w:val="0"/>
        </w:numPr>
      </w:pPr>
    </w:p>
    <w:p w14:paraId="411218DE" w14:textId="1EF59343" w:rsidR="00511098" w:rsidRDefault="00511098" w:rsidP="002803E0">
      <w:pPr>
        <w:pStyle w:val="mpcbullets1"/>
        <w:numPr>
          <w:ilvl w:val="0"/>
          <w:numId w:val="0"/>
        </w:numPr>
        <w:spacing w:after="0"/>
      </w:pPr>
      <w:r>
        <w:t>We will consider:</w:t>
      </w:r>
    </w:p>
    <w:p w14:paraId="6E50DE94" w14:textId="7C65E749" w:rsidR="00511098" w:rsidRPr="002C3F00" w:rsidRDefault="00511098" w:rsidP="002803E0">
      <w:pPr>
        <w:pStyle w:val="mpcbullets1"/>
        <w:numPr>
          <w:ilvl w:val="0"/>
          <w:numId w:val="17"/>
        </w:numPr>
        <w:spacing w:after="0"/>
      </w:pPr>
      <w:r w:rsidRPr="002C3F00">
        <w:t>indicators for measuring uptake ‘success’</w:t>
      </w:r>
      <w:r w:rsidR="00EC1154">
        <w:t xml:space="preserve"> under a voluntary system</w:t>
      </w:r>
      <w:r w:rsidRPr="002C3F00">
        <w:t>. From a public health and whole of population perspective, there are some categories and sub-categories in which it is more important that there is greater uptake and HSR coverage. For example, in those categories</w:t>
      </w:r>
      <w:r w:rsidR="002C3F00" w:rsidRPr="002C3F00">
        <w:t xml:space="preserve"> with</w:t>
      </w:r>
      <w:r w:rsidRPr="002C3F00">
        <w:t xml:space="preserve"> high sale products that are likely to have a larger public health impact (for example, dairy and cereal products)</w:t>
      </w:r>
    </w:p>
    <w:p w14:paraId="2F77BD1E" w14:textId="69304D0B" w:rsidR="00511098" w:rsidRPr="002C3F00" w:rsidRDefault="00511098" w:rsidP="002803E0">
      <w:pPr>
        <w:pStyle w:val="mpcbullets1"/>
        <w:numPr>
          <w:ilvl w:val="0"/>
          <w:numId w:val="17"/>
        </w:numPr>
        <w:spacing w:after="0"/>
      </w:pPr>
      <w:r w:rsidRPr="002C3F00">
        <w:t xml:space="preserve">the likely impacts on consumers (including on consumer confidence) of different regulatory </w:t>
      </w:r>
      <w:r w:rsidR="002C3F00" w:rsidRPr="002C3F00">
        <w:t>models</w:t>
      </w:r>
      <w:r w:rsidRPr="002C3F00">
        <w:t>, drawing on national and international research and experience</w:t>
      </w:r>
    </w:p>
    <w:p w14:paraId="1F9EEA5D" w14:textId="77777777" w:rsidR="00511098" w:rsidRDefault="00511098" w:rsidP="002803E0">
      <w:pPr>
        <w:pStyle w:val="mpcbullets1"/>
        <w:numPr>
          <w:ilvl w:val="0"/>
          <w:numId w:val="17"/>
        </w:numPr>
        <w:spacing w:after="0"/>
      </w:pPr>
      <w:r>
        <w:t xml:space="preserve">the likely costs to industry (which may be passed on to consumers) and government under any option </w:t>
      </w:r>
    </w:p>
    <w:p w14:paraId="43BCDFE2" w14:textId="77777777" w:rsidR="002803E0" w:rsidRDefault="00511098" w:rsidP="002803E0">
      <w:pPr>
        <w:pStyle w:val="mpcbullets1"/>
        <w:numPr>
          <w:ilvl w:val="0"/>
          <w:numId w:val="17"/>
        </w:numPr>
        <w:spacing w:after="0"/>
      </w:pPr>
      <w:r>
        <w:t xml:space="preserve">the implications for monitoring and governance arrangements </w:t>
      </w:r>
    </w:p>
    <w:p w14:paraId="2F525C3A" w14:textId="08CB19C6" w:rsidR="002803E0" w:rsidRDefault="002803E0" w:rsidP="002803E0">
      <w:pPr>
        <w:pStyle w:val="mpcbullets1"/>
        <w:numPr>
          <w:ilvl w:val="0"/>
          <w:numId w:val="17"/>
        </w:numPr>
        <w:spacing w:after="0"/>
      </w:pPr>
      <w:r>
        <w:t xml:space="preserve">implications for the </w:t>
      </w:r>
      <w:r w:rsidR="00511098">
        <w:t>Food Standards Code</w:t>
      </w:r>
      <w:r w:rsidR="00280347">
        <w:t>,</w:t>
      </w:r>
      <w:r>
        <w:t xml:space="preserve"> which would require amendment should the HSR system be mandated</w:t>
      </w:r>
    </w:p>
    <w:p w14:paraId="5CF82665" w14:textId="36ECCE61" w:rsidR="002803E0" w:rsidRDefault="002803E0" w:rsidP="002803E0">
      <w:pPr>
        <w:pStyle w:val="mpcbullets1"/>
        <w:numPr>
          <w:ilvl w:val="0"/>
          <w:numId w:val="17"/>
        </w:numPr>
        <w:spacing w:after="0"/>
      </w:pPr>
      <w:r>
        <w:lastRenderedPageBreak/>
        <w:t>the impact on</w:t>
      </w:r>
      <w:r w:rsidR="00511098">
        <w:t xml:space="preserve"> flexibility and </w:t>
      </w:r>
      <w:r>
        <w:t xml:space="preserve">the capacity </w:t>
      </w:r>
      <w:r w:rsidR="00511098">
        <w:t>to make adjustments to the system, which can be important in</w:t>
      </w:r>
      <w:r w:rsidR="007E7033">
        <w:t xml:space="preserve"> a market that changes rapidly</w:t>
      </w:r>
    </w:p>
    <w:p w14:paraId="25276562" w14:textId="36E5D09A" w:rsidR="00511098" w:rsidRDefault="00511098" w:rsidP="002803E0">
      <w:pPr>
        <w:pStyle w:val="mpcbullets2"/>
      </w:pPr>
      <w:r>
        <w:t>For example, breakfast beverages were not a significant sub-category at the time the rules for the HSR were first developed but have become so. Likewise, coconut water (and coconut products) were not significant four years ago, but play a much greater role today and the system needs to be agile enough to adjust to a dynamic food supply</w:t>
      </w:r>
    </w:p>
    <w:p w14:paraId="73692D07" w14:textId="77777777" w:rsidR="00511098" w:rsidRDefault="00511098" w:rsidP="002803E0">
      <w:pPr>
        <w:pStyle w:val="mpcbullets1"/>
        <w:numPr>
          <w:ilvl w:val="0"/>
          <w:numId w:val="15"/>
        </w:numPr>
        <w:spacing w:after="0"/>
      </w:pPr>
      <w:r>
        <w:t xml:space="preserve">any transitional arrangements </w:t>
      </w:r>
    </w:p>
    <w:p w14:paraId="350E04B5" w14:textId="77777777" w:rsidR="00EC1154" w:rsidRDefault="00511098" w:rsidP="002803E0">
      <w:pPr>
        <w:pStyle w:val="mpcbullets1"/>
        <w:numPr>
          <w:ilvl w:val="0"/>
          <w:numId w:val="15"/>
        </w:numPr>
        <w:spacing w:after="0"/>
      </w:pPr>
      <w:r>
        <w:t>any World Trade Organisation implications</w:t>
      </w:r>
    </w:p>
    <w:p w14:paraId="6C66D474" w14:textId="2A510A98" w:rsidR="00EC1154" w:rsidRDefault="00511098" w:rsidP="002803E0">
      <w:pPr>
        <w:pStyle w:val="mpcbullets1"/>
        <w:numPr>
          <w:ilvl w:val="0"/>
          <w:numId w:val="15"/>
        </w:numPr>
        <w:spacing w:after="0"/>
      </w:pPr>
      <w:r>
        <w:t>any learnings from other regulatory/co-regulatory model</w:t>
      </w:r>
      <w:r w:rsidR="007E7033">
        <w:t>s and international experience</w:t>
      </w:r>
    </w:p>
    <w:p w14:paraId="262D468D" w14:textId="2777F8E2" w:rsidR="00EC1154" w:rsidRDefault="00511098" w:rsidP="002803E0">
      <w:pPr>
        <w:pStyle w:val="mpcbullets2"/>
      </w:pPr>
      <w:r>
        <w:t>While a number of stakeholders have drawn our attention to models operating overseas, we are conscious that t</w:t>
      </w:r>
      <w:r w:rsidRPr="0025012C">
        <w:t>here is enormous variation in the regulation of nutrition labelling around the world and there</w:t>
      </w:r>
      <w:r>
        <w:t xml:space="preserve"> are both benefits and</w:t>
      </w:r>
      <w:r w:rsidRPr="0025012C">
        <w:t xml:space="preserve"> risk</w:t>
      </w:r>
      <w:r>
        <w:t>s</w:t>
      </w:r>
      <w:r w:rsidRPr="0025012C">
        <w:t xml:space="preserve"> in drawing directly from others</w:t>
      </w:r>
      <w:r>
        <w:t>’</w:t>
      </w:r>
      <w:r w:rsidRPr="0025012C">
        <w:t xml:space="preserve"> experience</w:t>
      </w:r>
      <w:r>
        <w:t xml:space="preserve"> noting: the cost saving incentives of drawing on the learnings of an existing system; differences between countries in terms of </w:t>
      </w:r>
      <w:r w:rsidRPr="0025012C">
        <w:t>nutritional contexts</w:t>
      </w:r>
      <w:r>
        <w:t>;</w:t>
      </w:r>
      <w:r w:rsidRPr="0025012C">
        <w:t xml:space="preserve"> </w:t>
      </w:r>
      <w:r>
        <w:t>the</w:t>
      </w:r>
      <w:r w:rsidRPr="0025012C">
        <w:t xml:space="preserve"> amount of food exported or imported</w:t>
      </w:r>
      <w:r>
        <w:t>; the regulatory environment and the wider labelling requirements; and that systems c</w:t>
      </w:r>
      <w:r w:rsidR="00EC1154">
        <w:t>ontinue to adapt and evolve.</w:t>
      </w:r>
    </w:p>
    <w:p w14:paraId="75AD7361" w14:textId="77777777" w:rsidR="00511098" w:rsidRDefault="00511098" w:rsidP="002803E0">
      <w:pPr>
        <w:pStyle w:val="mpcbullets1"/>
        <w:numPr>
          <w:ilvl w:val="0"/>
          <w:numId w:val="15"/>
        </w:numPr>
        <w:spacing w:after="0"/>
        <w:ind w:left="357" w:hanging="357"/>
      </w:pPr>
      <w:r>
        <w:t>the consistency of various options with:</w:t>
      </w:r>
    </w:p>
    <w:p w14:paraId="1A304ECB" w14:textId="77777777" w:rsidR="00511098" w:rsidRPr="00CA0215" w:rsidRDefault="00511098" w:rsidP="002803E0">
      <w:pPr>
        <w:pStyle w:val="mpcbullets2"/>
      </w:pPr>
      <w:r>
        <w:t xml:space="preserve">expectations of the Council of Australian Governments (COAG) as detailed in their </w:t>
      </w:r>
      <w:r w:rsidRPr="00B338D2">
        <w:t>guide</w:t>
      </w:r>
      <w:r>
        <w:t>:</w:t>
      </w:r>
      <w:r>
        <w:rPr>
          <w:i/>
        </w:rPr>
        <w:t xml:space="preserve"> </w:t>
      </w:r>
      <w:r w:rsidRPr="00ED4B92">
        <w:rPr>
          <w:rStyle w:val="Emphasis"/>
        </w:rPr>
        <w:t>Best Practice Regulation: A guide for Ministerial Councils and National Standard Setting Bodies</w:t>
      </w:r>
      <w:r w:rsidRPr="00CA0215">
        <w:rPr>
          <w:i/>
        </w:rPr>
        <w:t>.</w:t>
      </w:r>
      <w:r w:rsidRPr="00CA0215">
        <w:t xml:space="preserve"> The Guide describes the principles for</w:t>
      </w:r>
      <w:r>
        <w:t xml:space="preserve"> best-practice regulation</w:t>
      </w:r>
      <w:r w:rsidRPr="00CA0215">
        <w:t xml:space="preserve"> agreed by COAG and provides</w:t>
      </w:r>
      <w:r>
        <w:t xml:space="preserve"> guidance for undert</w:t>
      </w:r>
      <w:r w:rsidRPr="00CA0215">
        <w:t>aki</w:t>
      </w:r>
      <w:r>
        <w:t>ng regulatory impact assessment, and</w:t>
      </w:r>
    </w:p>
    <w:p w14:paraId="4A4B93A4" w14:textId="77777777" w:rsidR="00511098" w:rsidRDefault="00511098" w:rsidP="002803E0">
      <w:pPr>
        <w:pStyle w:val="mpcbullets2"/>
        <w:rPr>
          <w:i/>
        </w:rPr>
      </w:pPr>
      <w:r>
        <w:t xml:space="preserve">international standards, guidelines and recommendations (such as Codex Alimentarius standards relating to food labelling and the </w:t>
      </w:r>
      <w:r w:rsidRPr="00ED4B92">
        <w:rPr>
          <w:rStyle w:val="Emphasis"/>
        </w:rPr>
        <w:t>OECD 2012 Recommendations on Regulatory Policy and Governance</w:t>
      </w:r>
      <w:r>
        <w:rPr>
          <w:i/>
        </w:rPr>
        <w:t>).</w:t>
      </w:r>
    </w:p>
    <w:p w14:paraId="073972CB" w14:textId="1D707464" w:rsidR="00511098" w:rsidRDefault="00511098">
      <w:pPr>
        <w:rPr>
          <w:rFonts w:asciiTheme="minorHAnsi" w:hAnsiTheme="minorHAnsi" w:cstheme="minorBidi"/>
          <w:b/>
          <w:sz w:val="36"/>
          <w:szCs w:val="36"/>
          <w:lang w:val="en-AU" w:eastAsia="en-US"/>
        </w:rPr>
      </w:pPr>
    </w:p>
    <w:p w14:paraId="423F93AF" w14:textId="77777777" w:rsidR="003F0407" w:rsidRDefault="003F0407">
      <w:pPr>
        <w:rPr>
          <w:rFonts w:asciiTheme="minorHAnsi" w:hAnsiTheme="minorHAnsi" w:cstheme="minorBidi"/>
          <w:b/>
          <w:sz w:val="36"/>
          <w:szCs w:val="36"/>
          <w:lang w:val="en-AU" w:eastAsia="en-US"/>
        </w:rPr>
      </w:pPr>
      <w:r>
        <w:br w:type="page"/>
      </w:r>
    </w:p>
    <w:p w14:paraId="09F90949" w14:textId="5A1DC56E" w:rsidR="005F5D89" w:rsidRPr="0046489D" w:rsidRDefault="00AF0C26" w:rsidP="005F5D89">
      <w:pPr>
        <w:pStyle w:val="mpcheading1"/>
      </w:pPr>
      <w:bookmarkStart w:id="76" w:name="_Toc503880627"/>
      <w:r>
        <w:lastRenderedPageBreak/>
        <w:t>Chapter 7</w:t>
      </w:r>
      <w:r w:rsidR="005F5D89">
        <w:t xml:space="preserve"> – Further consultation opportunities</w:t>
      </w:r>
      <w:bookmarkEnd w:id="76"/>
      <w:r w:rsidR="005F5D89">
        <w:t xml:space="preserve"> </w:t>
      </w:r>
    </w:p>
    <w:p w14:paraId="31E5F476" w14:textId="77777777" w:rsidR="005F5D89" w:rsidRDefault="005F5D89" w:rsidP="003320E4">
      <w:pPr>
        <w:pStyle w:val="mpcheading2"/>
        <w:spacing w:after="0"/>
      </w:pPr>
      <w:bookmarkStart w:id="77" w:name="_Toc503880628"/>
      <w:r>
        <w:t>Forums</w:t>
      </w:r>
      <w:bookmarkEnd w:id="77"/>
    </w:p>
    <w:p w14:paraId="268A6CC6" w14:textId="77777777" w:rsidR="003320E4" w:rsidRDefault="003320E4" w:rsidP="003320E4">
      <w:pPr>
        <w:rPr>
          <w:rFonts w:asciiTheme="minorHAnsi" w:hAnsiTheme="minorHAnsi"/>
          <w:b/>
          <w:i/>
        </w:rPr>
      </w:pPr>
    </w:p>
    <w:p w14:paraId="5DE01C85" w14:textId="77777777" w:rsidR="005F5D89" w:rsidRPr="00A86374" w:rsidRDefault="005F5D89" w:rsidP="003320E4">
      <w:pPr>
        <w:pStyle w:val="mpcheading3"/>
      </w:pPr>
      <w:bookmarkStart w:id="78" w:name="_Toc503802328"/>
      <w:bookmarkStart w:id="79" w:name="_Toc503804542"/>
      <w:r>
        <w:t>Dates and locations</w:t>
      </w:r>
      <w:bookmarkEnd w:id="78"/>
      <w:bookmarkEnd w:id="79"/>
    </w:p>
    <w:p w14:paraId="79B3095B" w14:textId="77777777" w:rsidR="005F5D89" w:rsidRDefault="005F5D89" w:rsidP="005F5D89">
      <w:pPr>
        <w:spacing w:after="240"/>
        <w:rPr>
          <w:rFonts w:asciiTheme="minorHAnsi" w:hAnsiTheme="minorHAnsi"/>
        </w:rPr>
      </w:pPr>
      <w:r>
        <w:rPr>
          <w:rFonts w:asciiTheme="minorHAnsi" w:hAnsiTheme="minorHAnsi"/>
        </w:rPr>
        <w:t>Throughout February to April 2018,</w:t>
      </w:r>
      <w:r w:rsidRPr="0031517C">
        <w:rPr>
          <w:rFonts w:asciiTheme="minorHAnsi" w:hAnsiTheme="minorHAnsi"/>
        </w:rPr>
        <w:t xml:space="preserve"> </w:t>
      </w:r>
      <w:r>
        <w:rPr>
          <w:rFonts w:asciiTheme="minorHAnsi" w:hAnsiTheme="minorHAnsi"/>
        </w:rPr>
        <w:t>consultations will be held across Australia and in New Zealand. Details for the consultations are as follows:</w:t>
      </w:r>
    </w:p>
    <w:tbl>
      <w:tblPr>
        <w:tblStyle w:val="TableGrid"/>
        <w:tblW w:w="0" w:type="auto"/>
        <w:tblLook w:val="04A0" w:firstRow="1" w:lastRow="0" w:firstColumn="1" w:lastColumn="0" w:noHBand="0" w:noVBand="1"/>
        <w:tblCaption w:val="HSR system 5 Year Review consultation dates "/>
        <w:tblDescription w:val="Lists the dates for public consultation on the HSR system.&#10;2 February 2018 - Adelaide&#10;7 February 2018 - Sydney&#10;21 February 2018 - Melbourne&#10;2 March 2018 - Brisbane&#10;8 March 2018 - Auckland&#10;19 March 2018 - Perth&#10;12 April 2018 - Canberra"/>
      </w:tblPr>
      <w:tblGrid>
        <w:gridCol w:w="1948"/>
        <w:gridCol w:w="2453"/>
        <w:gridCol w:w="2656"/>
        <w:gridCol w:w="2905"/>
      </w:tblGrid>
      <w:tr w:rsidR="005F5D89" w14:paraId="1ADDA4C4" w14:textId="77777777" w:rsidTr="0025460E">
        <w:trPr>
          <w:cantSplit/>
          <w:tblHeader/>
        </w:trPr>
        <w:tc>
          <w:tcPr>
            <w:tcW w:w="1948" w:type="dxa"/>
            <w:shd w:val="clear" w:color="auto" w:fill="516A8E"/>
          </w:tcPr>
          <w:p w14:paraId="647AEF9A" w14:textId="77777777" w:rsidR="005F5D89" w:rsidRPr="00833ADA" w:rsidRDefault="005F5D89" w:rsidP="0025460E">
            <w:pPr>
              <w:rPr>
                <w:rFonts w:asciiTheme="minorHAnsi" w:hAnsiTheme="minorHAnsi"/>
                <w:b/>
                <w:color w:val="FFFFFF" w:themeColor="background1"/>
              </w:rPr>
            </w:pPr>
            <w:bookmarkStart w:id="80" w:name="ColumnTitle" w:colFirst="0" w:colLast="0"/>
            <w:r w:rsidRPr="00833ADA">
              <w:rPr>
                <w:rFonts w:asciiTheme="minorHAnsi" w:hAnsiTheme="minorHAnsi"/>
                <w:b/>
                <w:color w:val="FFFFFF" w:themeColor="background1"/>
              </w:rPr>
              <w:t>Date</w:t>
            </w:r>
          </w:p>
        </w:tc>
        <w:tc>
          <w:tcPr>
            <w:tcW w:w="2453" w:type="dxa"/>
            <w:shd w:val="clear" w:color="auto" w:fill="516A8E"/>
          </w:tcPr>
          <w:p w14:paraId="5B46D769" w14:textId="77777777" w:rsidR="005F5D89" w:rsidRPr="00833ADA" w:rsidRDefault="005F5D89" w:rsidP="0025460E">
            <w:pPr>
              <w:rPr>
                <w:rFonts w:asciiTheme="minorHAnsi" w:hAnsiTheme="minorHAnsi"/>
                <w:b/>
                <w:color w:val="FFFFFF" w:themeColor="background1"/>
              </w:rPr>
            </w:pPr>
            <w:r>
              <w:rPr>
                <w:rFonts w:asciiTheme="minorHAnsi" w:hAnsiTheme="minorHAnsi"/>
                <w:b/>
                <w:color w:val="FFFFFF" w:themeColor="background1"/>
              </w:rPr>
              <w:t xml:space="preserve">Venue and </w:t>
            </w:r>
            <w:r w:rsidRPr="00833ADA">
              <w:rPr>
                <w:rFonts w:asciiTheme="minorHAnsi" w:hAnsiTheme="minorHAnsi"/>
                <w:b/>
                <w:color w:val="FFFFFF" w:themeColor="background1"/>
              </w:rPr>
              <w:t>Location</w:t>
            </w:r>
          </w:p>
        </w:tc>
        <w:tc>
          <w:tcPr>
            <w:tcW w:w="2656" w:type="dxa"/>
            <w:shd w:val="clear" w:color="auto" w:fill="516A8E"/>
          </w:tcPr>
          <w:p w14:paraId="47C2C9A3" w14:textId="77777777" w:rsidR="005F5D89" w:rsidRPr="00833ADA" w:rsidRDefault="005F5D89" w:rsidP="0025460E">
            <w:pPr>
              <w:rPr>
                <w:rFonts w:asciiTheme="minorHAnsi" w:hAnsiTheme="minorHAnsi"/>
                <w:b/>
                <w:color w:val="FFFFFF" w:themeColor="background1"/>
              </w:rPr>
            </w:pPr>
            <w:r>
              <w:rPr>
                <w:rFonts w:asciiTheme="minorHAnsi" w:hAnsiTheme="minorHAnsi"/>
                <w:b/>
                <w:color w:val="FFFFFF" w:themeColor="background1"/>
              </w:rPr>
              <w:t xml:space="preserve">Times </w:t>
            </w:r>
          </w:p>
        </w:tc>
        <w:tc>
          <w:tcPr>
            <w:tcW w:w="2905" w:type="dxa"/>
            <w:shd w:val="clear" w:color="auto" w:fill="516A8E"/>
          </w:tcPr>
          <w:p w14:paraId="16BE3AAC" w14:textId="77777777" w:rsidR="005F5D89" w:rsidRDefault="005F5D89" w:rsidP="0025460E">
            <w:pPr>
              <w:rPr>
                <w:rFonts w:asciiTheme="minorHAnsi" w:hAnsiTheme="minorHAnsi"/>
                <w:b/>
                <w:color w:val="FFFFFF" w:themeColor="background1"/>
              </w:rPr>
            </w:pPr>
            <w:r>
              <w:rPr>
                <w:rFonts w:asciiTheme="minorHAnsi" w:hAnsiTheme="minorHAnsi"/>
                <w:b/>
                <w:color w:val="FFFFFF" w:themeColor="background1"/>
              </w:rPr>
              <w:t>RSVP</w:t>
            </w:r>
          </w:p>
        </w:tc>
      </w:tr>
      <w:bookmarkEnd w:id="80"/>
      <w:tr w:rsidR="005F5D89" w14:paraId="341A7938" w14:textId="77777777" w:rsidTr="0025460E">
        <w:trPr>
          <w:cantSplit/>
        </w:trPr>
        <w:tc>
          <w:tcPr>
            <w:tcW w:w="1948" w:type="dxa"/>
          </w:tcPr>
          <w:p w14:paraId="4406A33B" w14:textId="77777777" w:rsidR="005F5D89" w:rsidRPr="00833ADA" w:rsidRDefault="005F5D89" w:rsidP="0025460E">
            <w:pPr>
              <w:rPr>
                <w:rFonts w:asciiTheme="minorHAnsi" w:hAnsiTheme="minorHAnsi"/>
              </w:rPr>
            </w:pPr>
            <w:r w:rsidRPr="00833ADA">
              <w:rPr>
                <w:rFonts w:asciiTheme="minorHAnsi" w:hAnsiTheme="minorHAnsi"/>
              </w:rPr>
              <w:t>2 February 2018</w:t>
            </w:r>
          </w:p>
        </w:tc>
        <w:tc>
          <w:tcPr>
            <w:tcW w:w="2453" w:type="dxa"/>
          </w:tcPr>
          <w:p w14:paraId="4DB0F8D5" w14:textId="77777777" w:rsidR="005F5D89" w:rsidRDefault="005F5D89" w:rsidP="0025460E">
            <w:pPr>
              <w:rPr>
                <w:rFonts w:asciiTheme="minorHAnsi" w:hAnsiTheme="minorHAnsi"/>
              </w:rPr>
            </w:pPr>
            <w:r>
              <w:rPr>
                <w:rFonts w:asciiTheme="minorHAnsi" w:hAnsiTheme="minorHAnsi"/>
              </w:rPr>
              <w:t>Rydges Adelaide</w:t>
            </w:r>
          </w:p>
          <w:p w14:paraId="1946DA86" w14:textId="77777777" w:rsidR="005F5D89" w:rsidRPr="00833ADA" w:rsidRDefault="005F5D89" w:rsidP="0025460E">
            <w:pPr>
              <w:rPr>
                <w:rFonts w:asciiTheme="minorHAnsi" w:hAnsiTheme="minorHAnsi"/>
              </w:rPr>
            </w:pPr>
            <w:r>
              <w:rPr>
                <w:rFonts w:asciiTheme="minorHAnsi" w:hAnsiTheme="minorHAnsi"/>
              </w:rPr>
              <w:t>1 South Terrace Adelaide</w:t>
            </w:r>
          </w:p>
        </w:tc>
        <w:tc>
          <w:tcPr>
            <w:tcW w:w="2656" w:type="dxa"/>
          </w:tcPr>
          <w:p w14:paraId="4E3A03AC" w14:textId="77777777" w:rsidR="005F5D89" w:rsidRDefault="005F5D89" w:rsidP="0025460E">
            <w:pPr>
              <w:rPr>
                <w:rFonts w:asciiTheme="minorHAnsi" w:hAnsiTheme="minorHAnsi"/>
              </w:rPr>
            </w:pPr>
            <w:r>
              <w:rPr>
                <w:rFonts w:asciiTheme="minorHAnsi" w:hAnsiTheme="minorHAnsi"/>
              </w:rPr>
              <w:t>10.00 – 12.30pm</w:t>
            </w:r>
          </w:p>
          <w:p w14:paraId="22ABB1C8" w14:textId="77777777" w:rsidR="005F5D89" w:rsidRPr="00833ADA" w:rsidRDefault="005F5D89" w:rsidP="0025460E">
            <w:pPr>
              <w:rPr>
                <w:rFonts w:asciiTheme="minorHAnsi" w:hAnsiTheme="minorHAnsi"/>
              </w:rPr>
            </w:pPr>
          </w:p>
        </w:tc>
        <w:tc>
          <w:tcPr>
            <w:tcW w:w="2905" w:type="dxa"/>
          </w:tcPr>
          <w:p w14:paraId="2FD00665" w14:textId="77777777" w:rsidR="005F5D89" w:rsidRDefault="005F5D89" w:rsidP="0025460E">
            <w:pPr>
              <w:rPr>
                <w:rFonts w:asciiTheme="minorHAnsi" w:hAnsiTheme="minorHAnsi"/>
              </w:rPr>
            </w:pPr>
            <w:r>
              <w:rPr>
                <w:rFonts w:asciiTheme="minorHAnsi" w:hAnsiTheme="minorHAnsi"/>
              </w:rPr>
              <w:t>By 29 January to:</w:t>
            </w:r>
          </w:p>
          <w:p w14:paraId="5A922822" w14:textId="77777777" w:rsidR="005F5D89" w:rsidRDefault="00CC0693" w:rsidP="0025460E">
            <w:pPr>
              <w:rPr>
                <w:rFonts w:asciiTheme="minorHAnsi" w:hAnsiTheme="minorHAnsi"/>
              </w:rPr>
            </w:pPr>
            <w:hyperlink r:id="rId14" w:history="1">
              <w:r w:rsidR="005F5D89" w:rsidRPr="007B5CC5">
                <w:rPr>
                  <w:rStyle w:val="Hyperlink"/>
                  <w:rFonts w:asciiTheme="minorHAnsi" w:hAnsiTheme="minorHAnsi"/>
                </w:rPr>
                <w:t>frontofpack@health.gov.au</w:t>
              </w:r>
            </w:hyperlink>
          </w:p>
        </w:tc>
      </w:tr>
      <w:tr w:rsidR="005F5D89" w14:paraId="569704B3" w14:textId="77777777" w:rsidTr="0025460E">
        <w:trPr>
          <w:cantSplit/>
          <w:trHeight w:val="1257"/>
        </w:trPr>
        <w:tc>
          <w:tcPr>
            <w:tcW w:w="1948" w:type="dxa"/>
          </w:tcPr>
          <w:p w14:paraId="76A91D27" w14:textId="77777777" w:rsidR="005F5D89" w:rsidRPr="00833ADA" w:rsidRDefault="005F5D89" w:rsidP="0025460E">
            <w:pPr>
              <w:rPr>
                <w:rFonts w:asciiTheme="minorHAnsi" w:hAnsiTheme="minorHAnsi"/>
              </w:rPr>
            </w:pPr>
            <w:r w:rsidRPr="00833ADA">
              <w:rPr>
                <w:rFonts w:asciiTheme="minorHAnsi" w:hAnsiTheme="minorHAnsi"/>
              </w:rPr>
              <w:t>7 February 2018</w:t>
            </w:r>
          </w:p>
        </w:tc>
        <w:tc>
          <w:tcPr>
            <w:tcW w:w="2453" w:type="dxa"/>
          </w:tcPr>
          <w:p w14:paraId="50D049C4" w14:textId="77777777" w:rsidR="005F5D89" w:rsidRDefault="005F5D89" w:rsidP="0025460E">
            <w:pPr>
              <w:rPr>
                <w:rFonts w:asciiTheme="minorHAnsi" w:hAnsiTheme="minorHAnsi"/>
              </w:rPr>
            </w:pPr>
            <w:r>
              <w:rPr>
                <w:rFonts w:asciiTheme="minorHAnsi" w:hAnsiTheme="minorHAnsi"/>
              </w:rPr>
              <w:t>SMC Conference and Function Centre</w:t>
            </w:r>
          </w:p>
          <w:p w14:paraId="61AAD3EB" w14:textId="77777777" w:rsidR="005F5D89" w:rsidRPr="00833ADA" w:rsidRDefault="005F5D89" w:rsidP="0025460E">
            <w:pPr>
              <w:rPr>
                <w:rFonts w:asciiTheme="minorHAnsi" w:hAnsiTheme="minorHAnsi"/>
              </w:rPr>
            </w:pPr>
            <w:r>
              <w:rPr>
                <w:rFonts w:asciiTheme="minorHAnsi" w:hAnsiTheme="minorHAnsi"/>
              </w:rPr>
              <w:t xml:space="preserve">66 Goulburn Street </w:t>
            </w:r>
            <w:r w:rsidRPr="00833ADA">
              <w:rPr>
                <w:rFonts w:asciiTheme="minorHAnsi" w:hAnsiTheme="minorHAnsi"/>
              </w:rPr>
              <w:t>Sydney</w:t>
            </w:r>
          </w:p>
        </w:tc>
        <w:tc>
          <w:tcPr>
            <w:tcW w:w="2656" w:type="dxa"/>
          </w:tcPr>
          <w:p w14:paraId="7190D7E7" w14:textId="77777777" w:rsidR="005F5D89" w:rsidRDefault="005F5D89" w:rsidP="0025460E">
            <w:pPr>
              <w:rPr>
                <w:rFonts w:asciiTheme="minorHAnsi" w:hAnsiTheme="minorHAnsi"/>
              </w:rPr>
            </w:pPr>
            <w:r>
              <w:rPr>
                <w:rFonts w:asciiTheme="minorHAnsi" w:hAnsiTheme="minorHAnsi"/>
              </w:rPr>
              <w:t>Consumer and public health: 10.00 – 12.30pm</w:t>
            </w:r>
          </w:p>
          <w:p w14:paraId="5CB7AA95" w14:textId="77777777" w:rsidR="005F5D89" w:rsidRDefault="005F5D89" w:rsidP="0025460E">
            <w:pPr>
              <w:rPr>
                <w:rFonts w:asciiTheme="minorHAnsi" w:hAnsiTheme="minorHAnsi"/>
              </w:rPr>
            </w:pPr>
          </w:p>
          <w:p w14:paraId="0D18051A" w14:textId="77777777" w:rsidR="005F5D89" w:rsidRPr="00833ADA" w:rsidRDefault="005F5D89" w:rsidP="0025460E">
            <w:pPr>
              <w:rPr>
                <w:rFonts w:asciiTheme="minorHAnsi" w:hAnsiTheme="minorHAnsi"/>
              </w:rPr>
            </w:pPr>
            <w:r>
              <w:rPr>
                <w:rFonts w:asciiTheme="minorHAnsi" w:hAnsiTheme="minorHAnsi"/>
              </w:rPr>
              <w:t>Industry: 1.30 – 4.00pm</w:t>
            </w:r>
          </w:p>
        </w:tc>
        <w:tc>
          <w:tcPr>
            <w:tcW w:w="2905" w:type="dxa"/>
          </w:tcPr>
          <w:p w14:paraId="6D886A4B" w14:textId="77777777" w:rsidR="005F5D89" w:rsidRDefault="005F5D89" w:rsidP="0025460E">
            <w:pPr>
              <w:rPr>
                <w:rFonts w:asciiTheme="minorHAnsi" w:hAnsiTheme="minorHAnsi"/>
              </w:rPr>
            </w:pPr>
            <w:r>
              <w:rPr>
                <w:rFonts w:asciiTheme="minorHAnsi" w:hAnsiTheme="minorHAnsi"/>
              </w:rPr>
              <w:t>By 1 February to:</w:t>
            </w:r>
          </w:p>
          <w:p w14:paraId="2562B3C3" w14:textId="77777777" w:rsidR="005F5D89" w:rsidRPr="00833ADA" w:rsidRDefault="00CC0693" w:rsidP="0025460E">
            <w:pPr>
              <w:rPr>
                <w:rFonts w:asciiTheme="minorHAnsi" w:hAnsiTheme="minorHAnsi"/>
              </w:rPr>
            </w:pPr>
            <w:hyperlink r:id="rId15" w:history="1">
              <w:r w:rsidR="005F5D89" w:rsidRPr="007B5CC5">
                <w:rPr>
                  <w:rStyle w:val="Hyperlink"/>
                  <w:rFonts w:asciiTheme="minorHAnsi" w:hAnsiTheme="minorHAnsi"/>
                </w:rPr>
                <w:t>frontofpack@health.gov.au</w:t>
              </w:r>
            </w:hyperlink>
          </w:p>
        </w:tc>
      </w:tr>
      <w:tr w:rsidR="005F5D89" w14:paraId="0ACC49AE" w14:textId="77777777" w:rsidTr="0025460E">
        <w:trPr>
          <w:cantSplit/>
          <w:trHeight w:val="1257"/>
        </w:trPr>
        <w:tc>
          <w:tcPr>
            <w:tcW w:w="1948" w:type="dxa"/>
          </w:tcPr>
          <w:p w14:paraId="7A9C1E17" w14:textId="77777777" w:rsidR="005F5D89" w:rsidRPr="00833ADA" w:rsidRDefault="005F5D89" w:rsidP="0025460E">
            <w:pPr>
              <w:rPr>
                <w:rFonts w:asciiTheme="minorHAnsi" w:hAnsiTheme="minorHAnsi"/>
              </w:rPr>
            </w:pPr>
            <w:r w:rsidRPr="00833ADA">
              <w:rPr>
                <w:rFonts w:asciiTheme="minorHAnsi" w:hAnsiTheme="minorHAnsi"/>
              </w:rPr>
              <w:t>21 February 2018</w:t>
            </w:r>
          </w:p>
        </w:tc>
        <w:tc>
          <w:tcPr>
            <w:tcW w:w="2453" w:type="dxa"/>
          </w:tcPr>
          <w:p w14:paraId="4534E91D" w14:textId="77777777" w:rsidR="00AC55CB" w:rsidRDefault="00AC55CB" w:rsidP="0025460E">
            <w:pPr>
              <w:rPr>
                <w:rFonts w:asciiTheme="minorHAnsi" w:hAnsiTheme="minorHAnsi"/>
              </w:rPr>
            </w:pPr>
            <w:r>
              <w:rPr>
                <w:rFonts w:asciiTheme="minorHAnsi" w:hAnsiTheme="minorHAnsi"/>
              </w:rPr>
              <w:t>Jasper Hotel</w:t>
            </w:r>
          </w:p>
          <w:p w14:paraId="3D9AF56C" w14:textId="587939B3" w:rsidR="00AC55CB" w:rsidRDefault="00AC55CB" w:rsidP="0025460E">
            <w:pPr>
              <w:rPr>
                <w:rFonts w:asciiTheme="minorHAnsi" w:hAnsiTheme="minorHAnsi"/>
              </w:rPr>
            </w:pPr>
            <w:r>
              <w:rPr>
                <w:rFonts w:asciiTheme="minorHAnsi" w:hAnsiTheme="minorHAnsi"/>
              </w:rPr>
              <w:t>489 Elizabeth Street</w:t>
            </w:r>
          </w:p>
          <w:p w14:paraId="4A22F34C" w14:textId="77777777" w:rsidR="005F5D89" w:rsidRPr="00833ADA" w:rsidRDefault="005F5D89" w:rsidP="0025460E">
            <w:pPr>
              <w:rPr>
                <w:rFonts w:asciiTheme="minorHAnsi" w:hAnsiTheme="minorHAnsi"/>
              </w:rPr>
            </w:pPr>
            <w:r w:rsidRPr="00833ADA">
              <w:rPr>
                <w:rFonts w:asciiTheme="minorHAnsi" w:hAnsiTheme="minorHAnsi"/>
              </w:rPr>
              <w:t>Melbourne</w:t>
            </w:r>
          </w:p>
        </w:tc>
        <w:tc>
          <w:tcPr>
            <w:tcW w:w="2656" w:type="dxa"/>
          </w:tcPr>
          <w:p w14:paraId="39DC984E" w14:textId="77777777" w:rsidR="005F5D89" w:rsidRDefault="005F5D89" w:rsidP="0025460E">
            <w:pPr>
              <w:rPr>
                <w:rFonts w:asciiTheme="minorHAnsi" w:hAnsiTheme="minorHAnsi"/>
              </w:rPr>
            </w:pPr>
            <w:r>
              <w:rPr>
                <w:rFonts w:asciiTheme="minorHAnsi" w:hAnsiTheme="minorHAnsi"/>
              </w:rPr>
              <w:t>Consumer and public health: 10.00 – 12.30pm</w:t>
            </w:r>
          </w:p>
          <w:p w14:paraId="5ECBBF2D" w14:textId="77777777" w:rsidR="005F5D89" w:rsidRDefault="005F5D89" w:rsidP="0025460E">
            <w:pPr>
              <w:rPr>
                <w:rFonts w:asciiTheme="minorHAnsi" w:hAnsiTheme="minorHAnsi"/>
              </w:rPr>
            </w:pPr>
          </w:p>
          <w:p w14:paraId="49720F31" w14:textId="77777777" w:rsidR="005F5D89" w:rsidRPr="00833ADA" w:rsidRDefault="005F5D89" w:rsidP="0025460E">
            <w:pPr>
              <w:rPr>
                <w:rFonts w:asciiTheme="minorHAnsi" w:hAnsiTheme="minorHAnsi"/>
              </w:rPr>
            </w:pPr>
            <w:r>
              <w:rPr>
                <w:rFonts w:asciiTheme="minorHAnsi" w:hAnsiTheme="minorHAnsi"/>
              </w:rPr>
              <w:t>Industry: 1.30 – 4.00pm</w:t>
            </w:r>
          </w:p>
        </w:tc>
        <w:tc>
          <w:tcPr>
            <w:tcW w:w="2905" w:type="dxa"/>
          </w:tcPr>
          <w:p w14:paraId="37BDAF95" w14:textId="77777777" w:rsidR="005F5D89" w:rsidRDefault="005F5D89" w:rsidP="0025460E">
            <w:pPr>
              <w:rPr>
                <w:rFonts w:asciiTheme="minorHAnsi" w:hAnsiTheme="minorHAnsi"/>
              </w:rPr>
            </w:pPr>
            <w:r>
              <w:rPr>
                <w:rFonts w:asciiTheme="minorHAnsi" w:hAnsiTheme="minorHAnsi"/>
              </w:rPr>
              <w:t>By 15 February to:</w:t>
            </w:r>
          </w:p>
          <w:p w14:paraId="0305A65F" w14:textId="77777777" w:rsidR="005F5D89" w:rsidRPr="00833ADA" w:rsidRDefault="00CC0693" w:rsidP="0025460E">
            <w:pPr>
              <w:rPr>
                <w:rFonts w:asciiTheme="minorHAnsi" w:hAnsiTheme="minorHAnsi"/>
              </w:rPr>
            </w:pPr>
            <w:hyperlink r:id="rId16" w:history="1">
              <w:r w:rsidR="005F5D89" w:rsidRPr="007B5CC5">
                <w:rPr>
                  <w:rStyle w:val="Hyperlink"/>
                  <w:rFonts w:asciiTheme="minorHAnsi" w:hAnsiTheme="minorHAnsi"/>
                </w:rPr>
                <w:t>frontofpack@health.gov.au</w:t>
              </w:r>
            </w:hyperlink>
          </w:p>
        </w:tc>
      </w:tr>
      <w:tr w:rsidR="005F5D89" w14:paraId="0F452985" w14:textId="77777777" w:rsidTr="0025460E">
        <w:trPr>
          <w:cantSplit/>
        </w:trPr>
        <w:tc>
          <w:tcPr>
            <w:tcW w:w="1948" w:type="dxa"/>
          </w:tcPr>
          <w:p w14:paraId="5A335069" w14:textId="3D0AD64C" w:rsidR="005F5D89" w:rsidRPr="00833ADA" w:rsidRDefault="00D35306" w:rsidP="00D35306">
            <w:pPr>
              <w:rPr>
                <w:rFonts w:asciiTheme="minorHAnsi" w:hAnsiTheme="minorHAnsi"/>
              </w:rPr>
            </w:pPr>
            <w:r>
              <w:rPr>
                <w:rFonts w:asciiTheme="minorHAnsi" w:hAnsiTheme="minorHAnsi"/>
              </w:rPr>
              <w:t>1</w:t>
            </w:r>
            <w:r w:rsidR="005F5D89" w:rsidRPr="00833ADA">
              <w:rPr>
                <w:rFonts w:asciiTheme="minorHAnsi" w:hAnsiTheme="minorHAnsi"/>
              </w:rPr>
              <w:t xml:space="preserve"> March 2018</w:t>
            </w:r>
          </w:p>
        </w:tc>
        <w:tc>
          <w:tcPr>
            <w:tcW w:w="2453" w:type="dxa"/>
          </w:tcPr>
          <w:p w14:paraId="16121576" w14:textId="64790391" w:rsidR="005F5D89" w:rsidRPr="00833ADA" w:rsidRDefault="00ED5F90" w:rsidP="00D35306">
            <w:pPr>
              <w:rPr>
                <w:rFonts w:asciiTheme="minorHAnsi" w:hAnsiTheme="minorHAnsi"/>
              </w:rPr>
            </w:pPr>
            <w:r>
              <w:rPr>
                <w:rFonts w:asciiTheme="minorHAnsi" w:hAnsiTheme="minorHAnsi"/>
              </w:rPr>
              <w:t>66 on Ernest, 66 </w:t>
            </w:r>
            <w:r w:rsidR="00D35306" w:rsidRPr="00D35306">
              <w:rPr>
                <w:rFonts w:asciiTheme="minorHAnsi" w:hAnsiTheme="minorHAnsi"/>
              </w:rPr>
              <w:t>Ernest Street, South Brisbane</w:t>
            </w:r>
          </w:p>
        </w:tc>
        <w:tc>
          <w:tcPr>
            <w:tcW w:w="2656" w:type="dxa"/>
          </w:tcPr>
          <w:p w14:paraId="4ECE0E22" w14:textId="175FEC98" w:rsidR="005F5D89" w:rsidRPr="00833ADA" w:rsidRDefault="00D35306" w:rsidP="00D35306">
            <w:pPr>
              <w:rPr>
                <w:rFonts w:asciiTheme="minorHAnsi" w:hAnsiTheme="minorHAnsi"/>
              </w:rPr>
            </w:pPr>
            <w:r>
              <w:rPr>
                <w:rFonts w:asciiTheme="minorHAnsi" w:hAnsiTheme="minorHAnsi"/>
              </w:rPr>
              <w:t>2</w:t>
            </w:r>
            <w:r w:rsidR="005F5D89">
              <w:rPr>
                <w:rFonts w:asciiTheme="minorHAnsi" w:hAnsiTheme="minorHAnsi"/>
              </w:rPr>
              <w:t xml:space="preserve">.00 – </w:t>
            </w:r>
            <w:r>
              <w:rPr>
                <w:rFonts w:asciiTheme="minorHAnsi" w:hAnsiTheme="minorHAnsi"/>
              </w:rPr>
              <w:t>4</w:t>
            </w:r>
            <w:r w:rsidR="005F5D89">
              <w:rPr>
                <w:rFonts w:asciiTheme="minorHAnsi" w:hAnsiTheme="minorHAnsi"/>
              </w:rPr>
              <w:t>.30pm</w:t>
            </w:r>
          </w:p>
        </w:tc>
        <w:tc>
          <w:tcPr>
            <w:tcW w:w="2905" w:type="dxa"/>
          </w:tcPr>
          <w:p w14:paraId="52010604" w14:textId="77777777" w:rsidR="005F5D89" w:rsidRDefault="005F5D89" w:rsidP="0025460E">
            <w:pPr>
              <w:rPr>
                <w:rFonts w:asciiTheme="minorHAnsi" w:hAnsiTheme="minorHAnsi"/>
              </w:rPr>
            </w:pPr>
            <w:r>
              <w:rPr>
                <w:rFonts w:asciiTheme="minorHAnsi" w:hAnsiTheme="minorHAnsi"/>
              </w:rPr>
              <w:t>By 26 February to:</w:t>
            </w:r>
          </w:p>
          <w:p w14:paraId="0C50B53A" w14:textId="77777777" w:rsidR="005F5D89" w:rsidRPr="00833ADA" w:rsidRDefault="00CC0693" w:rsidP="0025460E">
            <w:pPr>
              <w:rPr>
                <w:rFonts w:asciiTheme="minorHAnsi" w:hAnsiTheme="minorHAnsi"/>
              </w:rPr>
            </w:pPr>
            <w:hyperlink r:id="rId17" w:history="1">
              <w:r w:rsidR="005F5D89" w:rsidRPr="007B5CC5">
                <w:rPr>
                  <w:rStyle w:val="Hyperlink"/>
                  <w:rFonts w:asciiTheme="minorHAnsi" w:hAnsiTheme="minorHAnsi"/>
                </w:rPr>
                <w:t>frontofpack@health.gov.au</w:t>
              </w:r>
            </w:hyperlink>
          </w:p>
        </w:tc>
      </w:tr>
      <w:tr w:rsidR="005F5D89" w14:paraId="3DFF41C2" w14:textId="77777777" w:rsidTr="0025460E">
        <w:trPr>
          <w:cantSplit/>
        </w:trPr>
        <w:tc>
          <w:tcPr>
            <w:tcW w:w="1948" w:type="dxa"/>
          </w:tcPr>
          <w:p w14:paraId="6B5696AD" w14:textId="77777777" w:rsidR="005F5D89" w:rsidRPr="00833ADA" w:rsidRDefault="005F5D89" w:rsidP="0025460E">
            <w:pPr>
              <w:rPr>
                <w:rFonts w:asciiTheme="minorHAnsi" w:hAnsiTheme="minorHAnsi"/>
              </w:rPr>
            </w:pPr>
            <w:r w:rsidRPr="00833ADA">
              <w:rPr>
                <w:rFonts w:asciiTheme="minorHAnsi" w:hAnsiTheme="minorHAnsi"/>
              </w:rPr>
              <w:t>8 March 2018</w:t>
            </w:r>
          </w:p>
        </w:tc>
        <w:tc>
          <w:tcPr>
            <w:tcW w:w="2453" w:type="dxa"/>
          </w:tcPr>
          <w:p w14:paraId="73DF4FFF" w14:textId="77777777" w:rsidR="005F5D89" w:rsidRDefault="005F5D89" w:rsidP="0025460E">
            <w:pPr>
              <w:rPr>
                <w:rFonts w:asciiTheme="minorHAnsi" w:hAnsiTheme="minorHAnsi"/>
              </w:rPr>
            </w:pPr>
            <w:r w:rsidRPr="00367741">
              <w:rPr>
                <w:rFonts w:asciiTheme="minorHAnsi" w:hAnsiTheme="minorHAnsi"/>
              </w:rPr>
              <w:t>Venue TBA</w:t>
            </w:r>
          </w:p>
          <w:p w14:paraId="590CF23B" w14:textId="77777777" w:rsidR="005F5D89" w:rsidRPr="00833ADA" w:rsidRDefault="005F5D89" w:rsidP="0025460E">
            <w:pPr>
              <w:rPr>
                <w:rFonts w:asciiTheme="minorHAnsi" w:hAnsiTheme="minorHAnsi"/>
              </w:rPr>
            </w:pPr>
            <w:r w:rsidRPr="00833ADA">
              <w:rPr>
                <w:rFonts w:asciiTheme="minorHAnsi" w:hAnsiTheme="minorHAnsi"/>
              </w:rPr>
              <w:t>Auckland</w:t>
            </w:r>
          </w:p>
        </w:tc>
        <w:tc>
          <w:tcPr>
            <w:tcW w:w="2656" w:type="dxa"/>
          </w:tcPr>
          <w:p w14:paraId="60B5A05E" w14:textId="77777777" w:rsidR="005F5D89" w:rsidRPr="00833ADA" w:rsidRDefault="005F5D89" w:rsidP="0025460E">
            <w:pPr>
              <w:rPr>
                <w:rFonts w:asciiTheme="minorHAnsi" w:hAnsiTheme="minorHAnsi"/>
              </w:rPr>
            </w:pPr>
            <w:r>
              <w:rPr>
                <w:rFonts w:asciiTheme="minorHAnsi" w:hAnsiTheme="minorHAnsi"/>
              </w:rPr>
              <w:t>10.00 – 12.30pm</w:t>
            </w:r>
          </w:p>
        </w:tc>
        <w:tc>
          <w:tcPr>
            <w:tcW w:w="2905" w:type="dxa"/>
          </w:tcPr>
          <w:p w14:paraId="32D6154F" w14:textId="77777777" w:rsidR="005F5D89" w:rsidRDefault="005F5D89" w:rsidP="0025460E">
            <w:pPr>
              <w:rPr>
                <w:rFonts w:asciiTheme="minorHAnsi" w:hAnsiTheme="minorHAnsi"/>
              </w:rPr>
            </w:pPr>
            <w:r>
              <w:rPr>
                <w:rFonts w:asciiTheme="minorHAnsi" w:hAnsiTheme="minorHAnsi"/>
              </w:rPr>
              <w:t>By 2 March</w:t>
            </w:r>
            <w:r w:rsidRPr="00B12B57">
              <w:rPr>
                <w:rFonts w:asciiTheme="minorHAnsi" w:hAnsiTheme="minorHAnsi"/>
              </w:rPr>
              <w:t xml:space="preserve"> </w:t>
            </w:r>
            <w:r>
              <w:rPr>
                <w:rFonts w:asciiTheme="minorHAnsi" w:hAnsiTheme="minorHAnsi"/>
              </w:rPr>
              <w:t>to:</w:t>
            </w:r>
          </w:p>
          <w:p w14:paraId="59FC4566" w14:textId="77777777" w:rsidR="005F5D89" w:rsidRPr="006B43A4" w:rsidRDefault="00CC0693" w:rsidP="0025460E">
            <w:pPr>
              <w:rPr>
                <w:rFonts w:asciiTheme="minorHAnsi" w:eastAsia="Times New Roman" w:hAnsiTheme="minorHAnsi"/>
              </w:rPr>
            </w:pPr>
            <w:hyperlink r:id="rId18" w:history="1">
              <w:r w:rsidR="005F5D89" w:rsidRPr="006B43A4">
                <w:rPr>
                  <w:rFonts w:asciiTheme="minorHAnsi" w:eastAsia="Times New Roman" w:hAnsiTheme="minorHAnsi"/>
                  <w:color w:val="800080"/>
                  <w:u w:val="single"/>
                </w:rPr>
                <w:t>info@mpi.govt.nz</w:t>
              </w:r>
            </w:hyperlink>
          </w:p>
        </w:tc>
      </w:tr>
      <w:tr w:rsidR="005F5D89" w14:paraId="0EB710F8" w14:textId="77777777" w:rsidTr="0025460E">
        <w:trPr>
          <w:cantSplit/>
        </w:trPr>
        <w:tc>
          <w:tcPr>
            <w:tcW w:w="1948" w:type="dxa"/>
          </w:tcPr>
          <w:p w14:paraId="048A71F1" w14:textId="77777777" w:rsidR="005F5D89" w:rsidRPr="00833ADA" w:rsidRDefault="005F5D89" w:rsidP="0025460E">
            <w:pPr>
              <w:rPr>
                <w:rFonts w:asciiTheme="minorHAnsi" w:hAnsiTheme="minorHAnsi"/>
              </w:rPr>
            </w:pPr>
            <w:r w:rsidRPr="00833ADA">
              <w:rPr>
                <w:rFonts w:asciiTheme="minorHAnsi" w:hAnsiTheme="minorHAnsi"/>
              </w:rPr>
              <w:t>19 March 2018</w:t>
            </w:r>
          </w:p>
        </w:tc>
        <w:tc>
          <w:tcPr>
            <w:tcW w:w="2453" w:type="dxa"/>
          </w:tcPr>
          <w:p w14:paraId="50991C95" w14:textId="6D086C95" w:rsidR="005F5D89" w:rsidRPr="00367741" w:rsidRDefault="000533E8" w:rsidP="000533E8">
            <w:pPr>
              <w:rPr>
                <w:rFonts w:asciiTheme="minorHAnsi" w:hAnsiTheme="minorHAnsi"/>
              </w:rPr>
            </w:pPr>
            <w:r>
              <w:rPr>
                <w:rFonts w:asciiTheme="minorHAnsi" w:hAnsiTheme="minorHAnsi"/>
              </w:rPr>
              <w:t>Metro Hotel Perth, 61 </w:t>
            </w:r>
            <w:r w:rsidRPr="000533E8">
              <w:rPr>
                <w:rFonts w:asciiTheme="minorHAnsi" w:hAnsiTheme="minorHAnsi"/>
              </w:rPr>
              <w:t xml:space="preserve">Canning </w:t>
            </w:r>
            <w:r>
              <w:rPr>
                <w:rFonts w:asciiTheme="minorHAnsi" w:hAnsiTheme="minorHAnsi"/>
              </w:rPr>
              <w:t>Highway</w:t>
            </w:r>
            <w:r w:rsidRPr="000533E8">
              <w:rPr>
                <w:rFonts w:asciiTheme="minorHAnsi" w:hAnsiTheme="minorHAnsi"/>
              </w:rPr>
              <w:t>, South Perth</w:t>
            </w:r>
          </w:p>
        </w:tc>
        <w:tc>
          <w:tcPr>
            <w:tcW w:w="2656" w:type="dxa"/>
          </w:tcPr>
          <w:p w14:paraId="1CEA72EC" w14:textId="77777777" w:rsidR="005F5D89" w:rsidRPr="00833ADA" w:rsidRDefault="005F5D89" w:rsidP="0025460E">
            <w:pPr>
              <w:rPr>
                <w:rFonts w:asciiTheme="minorHAnsi" w:hAnsiTheme="minorHAnsi"/>
              </w:rPr>
            </w:pPr>
            <w:r>
              <w:rPr>
                <w:rFonts w:asciiTheme="minorHAnsi" w:hAnsiTheme="minorHAnsi"/>
              </w:rPr>
              <w:t>10.00 – 12.30pm</w:t>
            </w:r>
          </w:p>
        </w:tc>
        <w:tc>
          <w:tcPr>
            <w:tcW w:w="2905" w:type="dxa"/>
          </w:tcPr>
          <w:p w14:paraId="694785B3" w14:textId="77777777" w:rsidR="005F5D89" w:rsidRDefault="005F5D89" w:rsidP="0025460E">
            <w:pPr>
              <w:rPr>
                <w:rFonts w:asciiTheme="minorHAnsi" w:hAnsiTheme="minorHAnsi"/>
              </w:rPr>
            </w:pPr>
            <w:r>
              <w:rPr>
                <w:rFonts w:asciiTheme="minorHAnsi" w:hAnsiTheme="minorHAnsi"/>
              </w:rPr>
              <w:t>By 13 March to:</w:t>
            </w:r>
          </w:p>
          <w:p w14:paraId="77E1062E" w14:textId="77777777" w:rsidR="005F5D89" w:rsidRPr="00833ADA" w:rsidRDefault="00CC0693" w:rsidP="0025460E">
            <w:pPr>
              <w:rPr>
                <w:rFonts w:asciiTheme="minorHAnsi" w:hAnsiTheme="minorHAnsi"/>
              </w:rPr>
            </w:pPr>
            <w:hyperlink r:id="rId19" w:history="1">
              <w:r w:rsidR="005F5D89" w:rsidRPr="007B5CC5">
                <w:rPr>
                  <w:rStyle w:val="Hyperlink"/>
                  <w:rFonts w:asciiTheme="minorHAnsi" w:hAnsiTheme="minorHAnsi"/>
                </w:rPr>
                <w:t>frontofpack@health.gov.au</w:t>
              </w:r>
            </w:hyperlink>
          </w:p>
        </w:tc>
      </w:tr>
      <w:tr w:rsidR="005F5D89" w14:paraId="621D6FD7" w14:textId="77777777" w:rsidTr="0025460E">
        <w:trPr>
          <w:cantSplit/>
          <w:trHeight w:val="685"/>
        </w:trPr>
        <w:tc>
          <w:tcPr>
            <w:tcW w:w="1948" w:type="dxa"/>
          </w:tcPr>
          <w:p w14:paraId="2012B01F" w14:textId="77777777" w:rsidR="005F5D89" w:rsidRPr="00833ADA" w:rsidRDefault="005F5D89" w:rsidP="0025460E">
            <w:pPr>
              <w:rPr>
                <w:rFonts w:asciiTheme="minorHAnsi" w:hAnsiTheme="minorHAnsi"/>
              </w:rPr>
            </w:pPr>
            <w:r w:rsidRPr="00833ADA">
              <w:rPr>
                <w:rFonts w:asciiTheme="minorHAnsi" w:hAnsiTheme="minorHAnsi"/>
              </w:rPr>
              <w:t>12 April 2018</w:t>
            </w:r>
          </w:p>
        </w:tc>
        <w:tc>
          <w:tcPr>
            <w:tcW w:w="2453" w:type="dxa"/>
          </w:tcPr>
          <w:p w14:paraId="07FB4751" w14:textId="16E93485" w:rsidR="005F5D89" w:rsidRDefault="00CE383B" w:rsidP="0025460E">
            <w:pPr>
              <w:rPr>
                <w:rFonts w:asciiTheme="minorHAnsi" w:hAnsiTheme="minorHAnsi"/>
              </w:rPr>
            </w:pPr>
            <w:r>
              <w:rPr>
                <w:rFonts w:asciiTheme="minorHAnsi" w:hAnsiTheme="minorHAnsi"/>
              </w:rPr>
              <w:t>Hellenic Club</w:t>
            </w:r>
          </w:p>
          <w:p w14:paraId="6913FDF6" w14:textId="77777777" w:rsidR="005F5D89" w:rsidRDefault="00CE383B" w:rsidP="00BE085F">
            <w:pPr>
              <w:rPr>
                <w:rFonts w:asciiTheme="minorHAnsi" w:hAnsiTheme="minorHAnsi"/>
              </w:rPr>
            </w:pPr>
            <w:r>
              <w:rPr>
                <w:rFonts w:asciiTheme="minorHAnsi" w:hAnsiTheme="minorHAnsi"/>
              </w:rPr>
              <w:t>Matilda Street</w:t>
            </w:r>
            <w:r w:rsidR="00BE085F">
              <w:rPr>
                <w:rFonts w:asciiTheme="minorHAnsi" w:hAnsiTheme="minorHAnsi"/>
              </w:rPr>
              <w:t xml:space="preserve">, </w:t>
            </w:r>
            <w:r>
              <w:rPr>
                <w:rFonts w:asciiTheme="minorHAnsi" w:hAnsiTheme="minorHAnsi"/>
              </w:rPr>
              <w:t>Phillip</w:t>
            </w:r>
          </w:p>
          <w:p w14:paraId="4DEBAECA" w14:textId="352A2E0E" w:rsidR="00BE085F" w:rsidRPr="00367741" w:rsidRDefault="00BE085F" w:rsidP="00BE085F">
            <w:pPr>
              <w:rPr>
                <w:rFonts w:asciiTheme="minorHAnsi" w:hAnsiTheme="minorHAnsi"/>
              </w:rPr>
            </w:pPr>
            <w:r>
              <w:rPr>
                <w:rFonts w:asciiTheme="minorHAnsi" w:hAnsiTheme="minorHAnsi"/>
              </w:rPr>
              <w:t>Canberra</w:t>
            </w:r>
          </w:p>
        </w:tc>
        <w:tc>
          <w:tcPr>
            <w:tcW w:w="2656" w:type="dxa"/>
          </w:tcPr>
          <w:p w14:paraId="659D5658" w14:textId="77777777" w:rsidR="005F5D89" w:rsidRPr="00833ADA" w:rsidRDefault="005F5D89" w:rsidP="0025460E">
            <w:pPr>
              <w:rPr>
                <w:rFonts w:asciiTheme="minorHAnsi" w:hAnsiTheme="minorHAnsi"/>
              </w:rPr>
            </w:pPr>
            <w:r>
              <w:rPr>
                <w:rFonts w:asciiTheme="minorHAnsi" w:hAnsiTheme="minorHAnsi"/>
              </w:rPr>
              <w:t>10.00 – 12.30pm</w:t>
            </w:r>
          </w:p>
          <w:p w14:paraId="60065B70" w14:textId="77777777" w:rsidR="005F5D89" w:rsidRPr="00833ADA" w:rsidRDefault="005F5D89" w:rsidP="0025460E">
            <w:pPr>
              <w:rPr>
                <w:rFonts w:asciiTheme="minorHAnsi" w:hAnsiTheme="minorHAnsi"/>
              </w:rPr>
            </w:pPr>
          </w:p>
        </w:tc>
        <w:tc>
          <w:tcPr>
            <w:tcW w:w="2905" w:type="dxa"/>
          </w:tcPr>
          <w:p w14:paraId="6EEEBFFC" w14:textId="77777777" w:rsidR="005F5D89" w:rsidRDefault="005F5D89" w:rsidP="0025460E">
            <w:pPr>
              <w:rPr>
                <w:rFonts w:asciiTheme="minorHAnsi" w:hAnsiTheme="minorHAnsi"/>
              </w:rPr>
            </w:pPr>
            <w:r>
              <w:rPr>
                <w:rFonts w:asciiTheme="minorHAnsi" w:hAnsiTheme="minorHAnsi"/>
              </w:rPr>
              <w:t>By 6 April to:</w:t>
            </w:r>
          </w:p>
          <w:p w14:paraId="584820C1" w14:textId="77777777" w:rsidR="005F5D89" w:rsidRPr="00833ADA" w:rsidRDefault="00CC0693" w:rsidP="0025460E">
            <w:pPr>
              <w:rPr>
                <w:rFonts w:asciiTheme="minorHAnsi" w:hAnsiTheme="minorHAnsi"/>
              </w:rPr>
            </w:pPr>
            <w:hyperlink r:id="rId20" w:history="1">
              <w:r w:rsidR="005F5D89" w:rsidRPr="007B5CC5">
                <w:rPr>
                  <w:rStyle w:val="Hyperlink"/>
                  <w:rFonts w:asciiTheme="minorHAnsi" w:hAnsiTheme="minorHAnsi"/>
                </w:rPr>
                <w:t>frontofpack@health.gov.au</w:t>
              </w:r>
            </w:hyperlink>
          </w:p>
        </w:tc>
      </w:tr>
    </w:tbl>
    <w:p w14:paraId="1E58823E" w14:textId="0779CCEB" w:rsidR="005F5D89" w:rsidRDefault="005F5D89" w:rsidP="005F5D89">
      <w:pPr>
        <w:rPr>
          <w:rFonts w:asciiTheme="minorHAnsi" w:hAnsiTheme="minorHAnsi"/>
        </w:rPr>
      </w:pPr>
    </w:p>
    <w:p w14:paraId="44895705" w14:textId="77777777" w:rsidR="005F5D89" w:rsidRPr="003320E4" w:rsidRDefault="005F5D89" w:rsidP="003320E4">
      <w:pPr>
        <w:pStyle w:val="mpcheading3"/>
      </w:pPr>
      <w:bookmarkStart w:id="81" w:name="_Toc503802329"/>
      <w:bookmarkStart w:id="82" w:name="_Toc503804543"/>
      <w:r w:rsidRPr="003320E4">
        <w:t>Focus of forums</w:t>
      </w:r>
      <w:bookmarkEnd w:id="81"/>
      <w:bookmarkEnd w:id="82"/>
      <w:r w:rsidRPr="003320E4">
        <w:t xml:space="preserve"> </w:t>
      </w:r>
    </w:p>
    <w:p w14:paraId="63DC3421" w14:textId="77777777" w:rsidR="005F5D89" w:rsidRPr="002803E0" w:rsidRDefault="005F5D89" w:rsidP="005F5D89">
      <w:pPr>
        <w:rPr>
          <w:rFonts w:asciiTheme="minorHAnsi" w:hAnsiTheme="minorHAnsi"/>
        </w:rPr>
      </w:pPr>
      <w:r w:rsidRPr="002803E0">
        <w:rPr>
          <w:rFonts w:asciiTheme="minorHAnsi" w:hAnsiTheme="minorHAnsi"/>
        </w:rPr>
        <w:t xml:space="preserve">At each forum, we propose to discuss: </w:t>
      </w:r>
    </w:p>
    <w:p w14:paraId="11C8C39D" w14:textId="7DA0D3DE" w:rsidR="005F5D89" w:rsidRPr="002803E0" w:rsidRDefault="005F5D89" w:rsidP="005F5D89">
      <w:pPr>
        <w:pStyle w:val="mpcNormal"/>
        <w:numPr>
          <w:ilvl w:val="0"/>
          <w:numId w:val="23"/>
        </w:numPr>
        <w:spacing w:after="0"/>
        <w:ind w:left="357" w:hanging="357"/>
      </w:pPr>
      <w:r w:rsidRPr="002803E0">
        <w:t>th</w:t>
      </w:r>
      <w:r w:rsidR="00155072">
        <w:t>e main outcomes of consultation</w:t>
      </w:r>
      <w:r w:rsidRPr="002803E0">
        <w:t xml:space="preserve"> to date</w:t>
      </w:r>
    </w:p>
    <w:p w14:paraId="5E05078B" w14:textId="77777777" w:rsidR="005F5D89" w:rsidRPr="002803E0" w:rsidRDefault="005F5D89" w:rsidP="005F5D89">
      <w:pPr>
        <w:pStyle w:val="mpcNormal"/>
        <w:numPr>
          <w:ilvl w:val="0"/>
          <w:numId w:val="23"/>
        </w:numPr>
        <w:spacing w:after="0"/>
        <w:ind w:left="357" w:hanging="357"/>
      </w:pPr>
      <w:r w:rsidRPr="002803E0">
        <w:t>the principles informing the Review (as discussed in Chapter 3)</w:t>
      </w:r>
    </w:p>
    <w:p w14:paraId="7E484031" w14:textId="77777777" w:rsidR="005F5D89" w:rsidRPr="002803E0" w:rsidRDefault="005F5D89" w:rsidP="005F5D89">
      <w:pPr>
        <w:pStyle w:val="mpcNormal"/>
        <w:numPr>
          <w:ilvl w:val="0"/>
          <w:numId w:val="23"/>
        </w:numPr>
        <w:spacing w:after="0"/>
        <w:ind w:left="357" w:hanging="357"/>
      </w:pPr>
      <w:r w:rsidRPr="002803E0">
        <w:t>options for improving uptake of the HSR</w:t>
      </w:r>
    </w:p>
    <w:p w14:paraId="2CFF9FB6" w14:textId="02103D84" w:rsidR="002803E0" w:rsidRPr="002803E0" w:rsidRDefault="002803E0" w:rsidP="005F5D89">
      <w:pPr>
        <w:pStyle w:val="mpcNormal"/>
        <w:numPr>
          <w:ilvl w:val="0"/>
          <w:numId w:val="23"/>
        </w:numPr>
        <w:spacing w:after="0"/>
        <w:ind w:left="357" w:hanging="357"/>
      </w:pPr>
      <w:r w:rsidRPr="002803E0">
        <w:t xml:space="preserve">the issues described in Chapter 4 with a focus on clearly articulating the underlying problems </w:t>
      </w:r>
    </w:p>
    <w:p w14:paraId="30CBF2F8" w14:textId="1A302AE5" w:rsidR="005F5D89" w:rsidRPr="002803E0" w:rsidRDefault="005F5D89" w:rsidP="005F5D89">
      <w:pPr>
        <w:pStyle w:val="mpcNormal"/>
        <w:numPr>
          <w:ilvl w:val="0"/>
          <w:numId w:val="23"/>
        </w:numPr>
        <w:spacing w:after="0"/>
        <w:ind w:left="357" w:hanging="357"/>
      </w:pPr>
      <w:r w:rsidRPr="002803E0">
        <w:t xml:space="preserve">the governance of the HSR </w:t>
      </w:r>
      <w:r w:rsidR="007E7033">
        <w:t>system, and</w:t>
      </w:r>
    </w:p>
    <w:p w14:paraId="2C1344EB" w14:textId="77777777" w:rsidR="005F5D89" w:rsidRPr="002803E0" w:rsidRDefault="005F5D89" w:rsidP="005F5D89">
      <w:pPr>
        <w:pStyle w:val="mpcNormal"/>
        <w:numPr>
          <w:ilvl w:val="0"/>
          <w:numId w:val="23"/>
        </w:numPr>
      </w:pPr>
      <w:r w:rsidRPr="002803E0">
        <w:t xml:space="preserve">next steps (including for further consultation). </w:t>
      </w:r>
    </w:p>
    <w:p w14:paraId="7A47BE50" w14:textId="77777777" w:rsidR="005F5D89" w:rsidRDefault="005F5D89" w:rsidP="005F5D89">
      <w:pPr>
        <w:pStyle w:val="mpcNormal"/>
      </w:pPr>
      <w:r>
        <w:t>Forum participants will also have the opportunity to raise any other issues relevant to the Review.</w:t>
      </w:r>
    </w:p>
    <w:p w14:paraId="2D5D0630" w14:textId="28DA54FD" w:rsidR="005F5D89" w:rsidRPr="00EE31EE" w:rsidRDefault="005F5D89" w:rsidP="007E7033">
      <w:pPr>
        <w:pStyle w:val="mpcNormal"/>
        <w:keepNext/>
        <w:spacing w:after="0"/>
      </w:pPr>
      <w:r w:rsidRPr="00EE31EE">
        <w:lastRenderedPageBreak/>
        <w:t>It is important to note that in many cases modelling undertaken by the TAG will best inform the preferred option</w:t>
      </w:r>
      <w:r>
        <w:t xml:space="preserve"> for addressing a particular issue. At the time of the f</w:t>
      </w:r>
      <w:r w:rsidRPr="00EE31EE">
        <w:t xml:space="preserve">orums, this modelling </w:t>
      </w:r>
      <w:r w:rsidR="002803E0">
        <w:t xml:space="preserve">will </w:t>
      </w:r>
      <w:r w:rsidRPr="00EE31EE">
        <w:t>not be available. However, we are ke</w:t>
      </w:r>
      <w:r>
        <w:t>en to ensure that through the f</w:t>
      </w:r>
      <w:r w:rsidRPr="00EE31EE">
        <w:t>orums we:</w:t>
      </w:r>
    </w:p>
    <w:p w14:paraId="64C3347B" w14:textId="77777777" w:rsidR="005F5D89" w:rsidRDefault="005F5D89" w:rsidP="007E7033">
      <w:pPr>
        <w:pStyle w:val="mpcNormal"/>
        <w:keepNext/>
        <w:numPr>
          <w:ilvl w:val="0"/>
          <w:numId w:val="23"/>
        </w:numPr>
        <w:spacing w:after="0"/>
        <w:ind w:left="357" w:hanging="357"/>
      </w:pPr>
      <w:r>
        <w:t>clearly define the issues</w:t>
      </w:r>
      <w:r w:rsidRPr="00EE31EE">
        <w:t xml:space="preserve"> that stakeholders wish to address</w:t>
      </w:r>
      <w:r>
        <w:t xml:space="preserve"> and the</w:t>
      </w:r>
      <w:r w:rsidRPr="008010DA">
        <w:t xml:space="preserve"> </w:t>
      </w:r>
      <w:r>
        <w:t xml:space="preserve">relative priorities of different issues </w:t>
      </w:r>
    </w:p>
    <w:p w14:paraId="2FC132BE" w14:textId="77777777" w:rsidR="005F5D89" w:rsidRDefault="005F5D89" w:rsidP="005F5D89">
      <w:pPr>
        <w:pStyle w:val="mpcNormal"/>
        <w:numPr>
          <w:ilvl w:val="0"/>
          <w:numId w:val="23"/>
        </w:numPr>
        <w:spacing w:after="0"/>
        <w:ind w:left="357" w:hanging="357"/>
      </w:pPr>
      <w:r w:rsidRPr="00EE31EE">
        <w:t xml:space="preserve">properly </w:t>
      </w:r>
      <w:r>
        <w:t>explore</w:t>
      </w:r>
      <w:r w:rsidRPr="00EE31EE">
        <w:t xml:space="preserve"> the outcomes </w:t>
      </w:r>
      <w:r>
        <w:t>stakeholders wish to see (or to avoid)</w:t>
      </w:r>
    </w:p>
    <w:p w14:paraId="21C4779F" w14:textId="77777777" w:rsidR="005F5D89" w:rsidRDefault="005F5D89" w:rsidP="005F5D89">
      <w:pPr>
        <w:pStyle w:val="mpcNormal"/>
        <w:numPr>
          <w:ilvl w:val="0"/>
          <w:numId w:val="23"/>
        </w:numPr>
        <w:spacing w:after="0"/>
        <w:ind w:left="357" w:hanging="357"/>
      </w:pPr>
      <w:r>
        <w:t>identify some of</w:t>
      </w:r>
      <w:r w:rsidRPr="00EE31EE">
        <w:t xml:space="preserve"> the possible options for addressing identified </w:t>
      </w:r>
      <w:r>
        <w:t>problems, and</w:t>
      </w:r>
    </w:p>
    <w:p w14:paraId="092DC503" w14:textId="77777777" w:rsidR="005F5D89" w:rsidRDefault="005F5D89" w:rsidP="005F5D89">
      <w:pPr>
        <w:pStyle w:val="mpcNormal"/>
        <w:numPr>
          <w:ilvl w:val="0"/>
          <w:numId w:val="23"/>
        </w:numPr>
        <w:spacing w:after="0"/>
        <w:ind w:left="357" w:hanging="357"/>
      </w:pPr>
      <w:r>
        <w:t>develop a</w:t>
      </w:r>
      <w:r w:rsidRPr="00EE31EE">
        <w:t xml:space="preserve"> common </w:t>
      </w:r>
      <w:r>
        <w:t>understanding</w:t>
      </w:r>
      <w:r w:rsidRPr="00EE31EE">
        <w:t xml:space="preserve"> of some of the complexities, potential knock</w:t>
      </w:r>
      <w:r>
        <w:t xml:space="preserve"> </w:t>
      </w:r>
      <w:r w:rsidRPr="00EE31EE">
        <w:t xml:space="preserve">on effects </w:t>
      </w:r>
      <w:r>
        <w:t xml:space="preserve">and matters that will need to be </w:t>
      </w:r>
      <w:r w:rsidRPr="00EE31EE">
        <w:t>considered in determining a preferred approach</w:t>
      </w:r>
      <w:r>
        <w:t xml:space="preserve"> (including where principles will need to be considered and compromises made between competing objectives).</w:t>
      </w:r>
    </w:p>
    <w:p w14:paraId="3BEBCB0C" w14:textId="77777777" w:rsidR="005F5D89" w:rsidRPr="00090E7A" w:rsidRDefault="005F5D89" w:rsidP="005F5D89">
      <w:pPr>
        <w:pStyle w:val="mpcNormal"/>
        <w:spacing w:after="0"/>
      </w:pPr>
    </w:p>
    <w:p w14:paraId="5FD965B9" w14:textId="77777777" w:rsidR="005F5D89" w:rsidRPr="003320E4" w:rsidRDefault="005F5D89" w:rsidP="003320E4">
      <w:pPr>
        <w:pStyle w:val="mpcheading3"/>
      </w:pPr>
      <w:bookmarkStart w:id="83" w:name="_Toc503802330"/>
      <w:bookmarkStart w:id="84" w:name="_Toc503804544"/>
      <w:r w:rsidRPr="003320E4">
        <w:t>Approach to forums</w:t>
      </w:r>
      <w:bookmarkEnd w:id="83"/>
      <w:bookmarkEnd w:id="84"/>
      <w:r w:rsidRPr="003320E4">
        <w:t xml:space="preserve"> </w:t>
      </w:r>
    </w:p>
    <w:p w14:paraId="3220464C" w14:textId="77777777" w:rsidR="005F5D89" w:rsidRDefault="005F5D89" w:rsidP="005F5D89">
      <w:pPr>
        <w:pStyle w:val="mpcNormal"/>
        <w:spacing w:after="0"/>
      </w:pPr>
      <w:r>
        <w:t>We are aware that stakeholders are polarised on a number of issues and that discussion around food can be emotive. We will invite forum participants to:</w:t>
      </w:r>
    </w:p>
    <w:p w14:paraId="1B358E27" w14:textId="77777777" w:rsidR="005F5D89" w:rsidRDefault="005F5D89" w:rsidP="005F5D89">
      <w:pPr>
        <w:pStyle w:val="mpcNormal"/>
        <w:numPr>
          <w:ilvl w:val="0"/>
          <w:numId w:val="23"/>
        </w:numPr>
        <w:spacing w:after="0"/>
        <w:ind w:left="357" w:hanging="357"/>
      </w:pPr>
      <w:r>
        <w:t>be r</w:t>
      </w:r>
      <w:r w:rsidRPr="00DE3725">
        <w:t>espectful</w:t>
      </w:r>
      <w:r>
        <w:t xml:space="preserve"> at all times </w:t>
      </w:r>
      <w:r w:rsidRPr="00DE3725">
        <w:t xml:space="preserve"> </w:t>
      </w:r>
    </w:p>
    <w:p w14:paraId="709B3F03" w14:textId="77777777" w:rsidR="005F5D89" w:rsidRDefault="005F5D89" w:rsidP="005F5D89">
      <w:pPr>
        <w:pStyle w:val="mpcNormal"/>
        <w:numPr>
          <w:ilvl w:val="0"/>
          <w:numId w:val="23"/>
        </w:numPr>
        <w:spacing w:after="0"/>
        <w:ind w:left="357" w:hanging="357"/>
      </w:pPr>
      <w:r>
        <w:t>help in identifying solutions to problems, and</w:t>
      </w:r>
    </w:p>
    <w:p w14:paraId="0ECD55EC" w14:textId="77777777" w:rsidR="005F5D89" w:rsidRDefault="005F5D89" w:rsidP="005F5D89">
      <w:pPr>
        <w:pStyle w:val="mpcNormal"/>
        <w:numPr>
          <w:ilvl w:val="0"/>
          <w:numId w:val="23"/>
        </w:numPr>
        <w:spacing w:after="0"/>
        <w:ind w:left="357" w:hanging="357"/>
      </w:pPr>
      <w:r>
        <w:t xml:space="preserve">consider a wide range of options including options that might be most likely to lead to </w:t>
      </w:r>
      <w:r w:rsidRPr="001618EE">
        <w:t>agreement, consensus or a model that best meets the needs of a majority of stakeholders.</w:t>
      </w:r>
    </w:p>
    <w:p w14:paraId="7665EDB6" w14:textId="77777777" w:rsidR="005F5D89" w:rsidRPr="001618EE" w:rsidRDefault="005F5D89" w:rsidP="005F5D89">
      <w:pPr>
        <w:pStyle w:val="mpcNormal"/>
        <w:spacing w:after="0"/>
        <w:ind w:left="357"/>
      </w:pPr>
    </w:p>
    <w:p w14:paraId="3F5D5B0D" w14:textId="77777777" w:rsidR="005F5D89" w:rsidRPr="001618EE" w:rsidRDefault="005F5D89" w:rsidP="005F5D89">
      <w:pPr>
        <w:spacing w:after="240"/>
        <w:rPr>
          <w:rFonts w:asciiTheme="minorHAnsi" w:hAnsiTheme="minorHAnsi"/>
        </w:rPr>
      </w:pPr>
      <w:r>
        <w:rPr>
          <w:rFonts w:asciiTheme="minorHAnsi" w:hAnsiTheme="minorHAnsi"/>
        </w:rPr>
        <w:t xml:space="preserve">Two forums will be hosted in both </w:t>
      </w:r>
      <w:r w:rsidRPr="001618EE">
        <w:rPr>
          <w:rFonts w:asciiTheme="minorHAnsi" w:hAnsiTheme="minorHAnsi"/>
        </w:rPr>
        <w:t xml:space="preserve">Sydney and </w:t>
      </w:r>
      <w:r>
        <w:rPr>
          <w:rFonts w:asciiTheme="minorHAnsi" w:hAnsiTheme="minorHAnsi"/>
        </w:rPr>
        <w:t>Melbourne to accommodate the anticipated number of participants. While these sessions will present the same content, consumer and public health groups are encouraged to attend the morning session and industry stakeholders are encouraged to attend the afternoon session. As numbers will be limited for each of the sessions, we encourage stakeholders to attend one session only. In all other locations, one forum will be held (combining consumer, public health and industry stakeholders).</w:t>
      </w:r>
    </w:p>
    <w:p w14:paraId="7B7AC5FB" w14:textId="77777777" w:rsidR="005F5D89" w:rsidRDefault="005F5D89" w:rsidP="005F5D89">
      <w:pPr>
        <w:pStyle w:val="mpcheading2"/>
        <w:keepNext/>
      </w:pPr>
      <w:bookmarkStart w:id="85" w:name="_Toc503880629"/>
      <w:r>
        <w:t>Consultation on Discussion Papers</w:t>
      </w:r>
      <w:bookmarkEnd w:id="85"/>
      <w:r>
        <w:t xml:space="preserve"> </w:t>
      </w:r>
    </w:p>
    <w:p w14:paraId="300A1A3B" w14:textId="77777777" w:rsidR="005F5D89" w:rsidRDefault="005F5D89" w:rsidP="005F5D89">
      <w:pPr>
        <w:pStyle w:val="mpcNormal"/>
        <w:spacing w:after="0"/>
      </w:pPr>
      <w:r>
        <w:t>As outlined in Chapter 3, it is proposed that three discussion papers will be released over the next six months:</w:t>
      </w:r>
    </w:p>
    <w:p w14:paraId="0E9D2094" w14:textId="77777777" w:rsidR="005F5D89" w:rsidRPr="000B6562" w:rsidRDefault="005F5D89" w:rsidP="005F5D89">
      <w:pPr>
        <w:pStyle w:val="ListParagraph"/>
        <w:numPr>
          <w:ilvl w:val="0"/>
          <w:numId w:val="16"/>
        </w:numPr>
        <w:spacing w:after="240"/>
      </w:pPr>
      <w:r>
        <w:t>a discussion paper on the ‘a</w:t>
      </w:r>
      <w:r w:rsidRPr="000B6562">
        <w:t>s prepared</w:t>
      </w:r>
      <w:r>
        <w:t>’ issue (being progressed by the HSRAC in advance of the Review)</w:t>
      </w:r>
      <w:r w:rsidRPr="000B6562">
        <w:t xml:space="preserve"> – by March</w:t>
      </w:r>
      <w:r>
        <w:t xml:space="preserve"> 2018, and</w:t>
      </w:r>
    </w:p>
    <w:p w14:paraId="3CF78AC2" w14:textId="3BBBDD58" w:rsidR="005F5D89" w:rsidRPr="00090E7A" w:rsidRDefault="005F5D89" w:rsidP="005F5D89">
      <w:pPr>
        <w:pStyle w:val="ListParagraph"/>
        <w:numPr>
          <w:ilvl w:val="0"/>
          <w:numId w:val="16"/>
        </w:numPr>
        <w:spacing w:after="240"/>
      </w:pPr>
      <w:r>
        <w:t>discussion papers identifying the key issues against each of the remaining five themes – b</w:t>
      </w:r>
      <w:r w:rsidRPr="000B6562">
        <w:t xml:space="preserve">y </w:t>
      </w:r>
      <w:r>
        <w:t>May</w:t>
      </w:r>
      <w:r w:rsidR="00ED4B92">
        <w:t> </w:t>
      </w:r>
      <w:r w:rsidRPr="000B6562">
        <w:t>2018</w:t>
      </w:r>
      <w:r>
        <w:t xml:space="preserve"> and by July 2018.</w:t>
      </w:r>
    </w:p>
    <w:p w14:paraId="7F9308C4" w14:textId="77777777" w:rsidR="005F5D89" w:rsidRDefault="005F5D89" w:rsidP="005F5D89">
      <w:pPr>
        <w:spacing w:after="240"/>
        <w:rPr>
          <w:rFonts w:asciiTheme="minorHAnsi" w:hAnsiTheme="minorHAnsi"/>
        </w:rPr>
      </w:pPr>
      <w:r>
        <w:rPr>
          <w:rFonts w:asciiTheme="minorHAnsi" w:hAnsiTheme="minorHAnsi"/>
        </w:rPr>
        <w:t xml:space="preserve">The way that issues will be grouped (in the second and third discussion papers) will depend on the outcomes of modelling by the TAG, the availability of relevant data and the outcomes of consultation through the forums (held in February – April 2018). </w:t>
      </w:r>
    </w:p>
    <w:p w14:paraId="46C454AB" w14:textId="77777777" w:rsidR="005F5D89" w:rsidRDefault="005F5D89" w:rsidP="005F5D89">
      <w:pPr>
        <w:spacing w:after="240"/>
        <w:rPr>
          <w:rFonts w:asciiTheme="minorHAnsi" w:hAnsiTheme="minorHAnsi"/>
        </w:rPr>
      </w:pPr>
      <w:r>
        <w:rPr>
          <w:rFonts w:asciiTheme="minorHAnsi" w:hAnsiTheme="minorHAnsi"/>
        </w:rPr>
        <w:t>There will be a minimum six-week period of consultation on each discussion paper (noting that each discussion paper will cover a range of issues).</w:t>
      </w:r>
    </w:p>
    <w:p w14:paraId="74F0FB8F" w14:textId="280383F2" w:rsidR="005F5D89" w:rsidRPr="00090E7A" w:rsidRDefault="005F5D89" w:rsidP="005F5D89">
      <w:pPr>
        <w:spacing w:after="240"/>
        <w:rPr>
          <w:rFonts w:asciiTheme="minorHAnsi" w:hAnsiTheme="minorHAnsi"/>
        </w:rPr>
      </w:pPr>
      <w:r>
        <w:rPr>
          <w:rFonts w:asciiTheme="minorHAnsi" w:hAnsiTheme="minorHAnsi"/>
        </w:rPr>
        <w:t>It is likel</w:t>
      </w:r>
      <w:r w:rsidR="00155072">
        <w:rPr>
          <w:rFonts w:asciiTheme="minorHAnsi" w:hAnsiTheme="minorHAnsi"/>
        </w:rPr>
        <w:t>y that there will be</w:t>
      </w:r>
      <w:r>
        <w:rPr>
          <w:rFonts w:asciiTheme="minorHAnsi" w:hAnsiTheme="minorHAnsi"/>
        </w:rPr>
        <w:t xml:space="preserve"> workshops, possibly held in July</w:t>
      </w:r>
      <w:r w:rsidR="00155072">
        <w:rPr>
          <w:rFonts w:asciiTheme="minorHAnsi" w:hAnsiTheme="minorHAnsi"/>
        </w:rPr>
        <w:t>/August</w:t>
      </w:r>
      <w:r>
        <w:rPr>
          <w:rFonts w:asciiTheme="minorHAnsi" w:hAnsiTheme="minorHAnsi"/>
        </w:rPr>
        <w:t>, to discuss the issues raised in each of the sets of discussion papers.</w:t>
      </w:r>
    </w:p>
    <w:p w14:paraId="5BEF9C2D" w14:textId="77777777" w:rsidR="005F5D89" w:rsidRPr="00497F25" w:rsidRDefault="005F5D89" w:rsidP="007E7033">
      <w:pPr>
        <w:pStyle w:val="mpcheading2"/>
        <w:keepNext/>
      </w:pPr>
      <w:bookmarkStart w:id="86" w:name="_Toc503880630"/>
      <w:r>
        <w:lastRenderedPageBreak/>
        <w:t>Consultation on draft Review Report</w:t>
      </w:r>
      <w:bookmarkEnd w:id="86"/>
      <w:r>
        <w:t xml:space="preserve"> </w:t>
      </w:r>
    </w:p>
    <w:p w14:paraId="124754AD" w14:textId="77777777" w:rsidR="005F5D89" w:rsidRPr="002A2447" w:rsidRDefault="005F5D89" w:rsidP="007E7033">
      <w:pPr>
        <w:keepNext/>
        <w:spacing w:after="240"/>
        <w:rPr>
          <w:rFonts w:asciiTheme="minorHAnsi" w:hAnsiTheme="minorHAnsi"/>
        </w:rPr>
      </w:pPr>
      <w:r>
        <w:rPr>
          <w:rFonts w:asciiTheme="minorHAnsi" w:hAnsiTheme="minorHAnsi"/>
        </w:rPr>
        <w:t>Subject to</w:t>
      </w:r>
      <w:r w:rsidRPr="00E21EA7">
        <w:rPr>
          <w:rFonts w:asciiTheme="minorHAnsi" w:hAnsiTheme="minorHAnsi"/>
        </w:rPr>
        <w:t xml:space="preserve"> the availability of data (to end June 2018) and the</w:t>
      </w:r>
      <w:r>
        <w:rPr>
          <w:rFonts w:asciiTheme="minorHAnsi" w:hAnsiTheme="minorHAnsi"/>
        </w:rPr>
        <w:t xml:space="preserve"> identification</w:t>
      </w:r>
      <w:r w:rsidRPr="00E21EA7">
        <w:rPr>
          <w:rFonts w:asciiTheme="minorHAnsi" w:hAnsiTheme="minorHAnsi"/>
        </w:rPr>
        <w:t xml:space="preserve"> of viable options/p</w:t>
      </w:r>
      <w:r>
        <w:rPr>
          <w:rFonts w:asciiTheme="minorHAnsi" w:hAnsiTheme="minorHAnsi"/>
        </w:rPr>
        <w:t>referred solutions for key issues</w:t>
      </w:r>
      <w:r w:rsidRPr="00E21EA7">
        <w:rPr>
          <w:rFonts w:asciiTheme="minorHAnsi" w:hAnsiTheme="minorHAnsi"/>
        </w:rPr>
        <w:t xml:space="preserve"> identified</w:t>
      </w:r>
      <w:r>
        <w:rPr>
          <w:rFonts w:asciiTheme="minorHAnsi" w:hAnsiTheme="minorHAnsi"/>
        </w:rPr>
        <w:t xml:space="preserve"> through the R</w:t>
      </w:r>
      <w:r w:rsidRPr="00E21EA7">
        <w:rPr>
          <w:rFonts w:asciiTheme="minorHAnsi" w:hAnsiTheme="minorHAnsi"/>
        </w:rPr>
        <w:t>evi</w:t>
      </w:r>
      <w:r>
        <w:rPr>
          <w:rFonts w:asciiTheme="minorHAnsi" w:hAnsiTheme="minorHAnsi"/>
        </w:rPr>
        <w:t>e</w:t>
      </w:r>
      <w:r w:rsidRPr="00E21EA7">
        <w:rPr>
          <w:rFonts w:asciiTheme="minorHAnsi" w:hAnsiTheme="minorHAnsi"/>
        </w:rPr>
        <w:t>w, it is proposed</w:t>
      </w:r>
      <w:r>
        <w:rPr>
          <w:rFonts w:asciiTheme="minorHAnsi" w:hAnsiTheme="minorHAnsi"/>
        </w:rPr>
        <w:t xml:space="preserve"> that a draft of the </w:t>
      </w:r>
      <w:r w:rsidRPr="00E21EA7">
        <w:rPr>
          <w:rFonts w:asciiTheme="minorHAnsi" w:hAnsiTheme="minorHAnsi"/>
        </w:rPr>
        <w:t xml:space="preserve">Review </w:t>
      </w:r>
      <w:r>
        <w:rPr>
          <w:rFonts w:asciiTheme="minorHAnsi" w:hAnsiTheme="minorHAnsi"/>
        </w:rPr>
        <w:t>Report</w:t>
      </w:r>
      <w:r w:rsidRPr="00E21EA7">
        <w:rPr>
          <w:rFonts w:asciiTheme="minorHAnsi" w:hAnsiTheme="minorHAnsi"/>
        </w:rPr>
        <w:t xml:space="preserve"> will</w:t>
      </w:r>
      <w:r>
        <w:rPr>
          <w:rFonts w:asciiTheme="minorHAnsi" w:hAnsiTheme="minorHAnsi"/>
        </w:rPr>
        <w:t xml:space="preserve"> be made available</w:t>
      </w:r>
      <w:r w:rsidRPr="00E21EA7">
        <w:rPr>
          <w:rFonts w:asciiTheme="minorHAnsi" w:hAnsiTheme="minorHAnsi"/>
        </w:rPr>
        <w:t xml:space="preserve"> for public comment in the first quarter of 2019</w:t>
      </w:r>
      <w:r>
        <w:rPr>
          <w:rFonts w:asciiTheme="minorHAnsi" w:hAnsiTheme="minorHAnsi"/>
        </w:rPr>
        <w:t xml:space="preserve"> (for at least six weeks)</w:t>
      </w:r>
      <w:r w:rsidRPr="00E21EA7">
        <w:rPr>
          <w:rFonts w:asciiTheme="minorHAnsi" w:hAnsiTheme="minorHAnsi"/>
        </w:rPr>
        <w:t>.</w:t>
      </w:r>
    </w:p>
    <w:p w14:paraId="55881AA8" w14:textId="02474A24" w:rsidR="005F5D89" w:rsidRDefault="005F5D89" w:rsidP="005F5D89">
      <w:pPr>
        <w:spacing w:after="240"/>
        <w:rPr>
          <w:rFonts w:asciiTheme="minorHAnsi" w:hAnsiTheme="minorHAnsi"/>
        </w:rPr>
      </w:pPr>
      <w:r>
        <w:rPr>
          <w:rFonts w:asciiTheme="minorHAnsi" w:hAnsiTheme="minorHAnsi"/>
        </w:rPr>
        <w:t xml:space="preserve">Following consideration of feedback on the Review Report, the Report will be finalised and provided to the </w:t>
      </w:r>
      <w:r w:rsidRPr="00BC71F5">
        <w:rPr>
          <w:rFonts w:asciiTheme="minorHAnsi" w:hAnsiTheme="minorHAnsi"/>
        </w:rPr>
        <w:t xml:space="preserve">Forum </w:t>
      </w:r>
      <w:r>
        <w:rPr>
          <w:rFonts w:asciiTheme="minorHAnsi" w:hAnsiTheme="minorHAnsi"/>
        </w:rPr>
        <w:t>(through</w:t>
      </w:r>
      <w:r w:rsidR="00155072">
        <w:rPr>
          <w:rFonts w:asciiTheme="minorHAnsi" w:hAnsiTheme="minorHAnsi"/>
        </w:rPr>
        <w:t xml:space="preserve"> the HSRAC and the FRSC) in </w:t>
      </w:r>
      <w:r>
        <w:rPr>
          <w:rFonts w:asciiTheme="minorHAnsi" w:hAnsiTheme="minorHAnsi"/>
        </w:rPr>
        <w:t xml:space="preserve">2019. </w:t>
      </w:r>
    </w:p>
    <w:p w14:paraId="5F3B88B9" w14:textId="77777777" w:rsidR="009B572A" w:rsidRDefault="009B572A" w:rsidP="00BD13C2">
      <w:pPr>
        <w:pStyle w:val="mpcNormal"/>
      </w:pPr>
    </w:p>
    <w:sectPr w:rsidR="009B572A" w:rsidSect="00381925">
      <w:pgSz w:w="11900" w:h="16840"/>
      <w:pgMar w:top="1304" w:right="1077" w:bottom="130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806E8" w14:textId="77777777" w:rsidR="00A15A28" w:rsidRDefault="00A15A28">
      <w:r>
        <w:separator/>
      </w:r>
    </w:p>
  </w:endnote>
  <w:endnote w:type="continuationSeparator" w:id="0">
    <w:p w14:paraId="34C53CF3" w14:textId="77777777" w:rsidR="00A15A28" w:rsidRDefault="00A1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3C5C7" w14:textId="77777777" w:rsidR="00C677A7" w:rsidRPr="0003409A" w:rsidRDefault="00C677A7" w:rsidP="00381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5AA3" w14:textId="36CF77BA" w:rsidR="00C677A7" w:rsidRPr="0046489D" w:rsidRDefault="00C677A7" w:rsidP="000F14BB">
    <w:pPr>
      <w:pStyle w:val="Footer"/>
      <w:pBdr>
        <w:top w:val="single" w:sz="4" w:space="1" w:color="auto"/>
      </w:pBdr>
      <w:tabs>
        <w:tab w:val="right" w:pos="8832"/>
      </w:tabs>
      <w:ind w:right="-99"/>
      <w:rPr>
        <w:color w:val="000000" w:themeColor="text1"/>
        <w:sz w:val="20"/>
        <w:szCs w:val="20"/>
      </w:rPr>
    </w:pPr>
    <w:r>
      <w:rPr>
        <w:color w:val="000000" w:themeColor="text1"/>
        <w:sz w:val="20"/>
        <w:szCs w:val="20"/>
      </w:rPr>
      <w:t>Five Year Review of the HSR system – Navigation Paper</w:t>
    </w:r>
    <w:r>
      <w:rPr>
        <w:color w:val="000000" w:themeColor="text1"/>
        <w:sz w:val="20"/>
        <w:szCs w:val="20"/>
      </w:rPr>
      <w:tab/>
    </w:r>
    <w:r>
      <w:rPr>
        <w:color w:val="000000" w:themeColor="text1"/>
        <w:sz w:val="20"/>
        <w:szCs w:val="20"/>
      </w:rPr>
      <w:tab/>
    </w:r>
    <w:r w:rsidRPr="0046489D">
      <w:rPr>
        <w:rStyle w:val="PageNumber"/>
        <w:color w:val="000000" w:themeColor="text1"/>
        <w:sz w:val="20"/>
        <w:szCs w:val="20"/>
      </w:rPr>
      <w:t xml:space="preserve">Page </w:t>
    </w:r>
    <w:r w:rsidRPr="0046489D">
      <w:rPr>
        <w:rStyle w:val="PageNumber"/>
        <w:color w:val="000000" w:themeColor="text1"/>
        <w:sz w:val="20"/>
        <w:szCs w:val="20"/>
      </w:rPr>
      <w:fldChar w:fldCharType="begin"/>
    </w:r>
    <w:r w:rsidRPr="0046489D">
      <w:rPr>
        <w:rStyle w:val="PageNumber"/>
        <w:color w:val="000000" w:themeColor="text1"/>
        <w:sz w:val="20"/>
        <w:szCs w:val="20"/>
      </w:rPr>
      <w:instrText xml:space="preserve"> PAGE  \* MERGEFORMAT </w:instrText>
    </w:r>
    <w:r w:rsidRPr="0046489D">
      <w:rPr>
        <w:rStyle w:val="PageNumber"/>
        <w:color w:val="000000" w:themeColor="text1"/>
        <w:sz w:val="20"/>
        <w:szCs w:val="20"/>
      </w:rPr>
      <w:fldChar w:fldCharType="separate"/>
    </w:r>
    <w:r w:rsidR="00CC0693">
      <w:rPr>
        <w:rStyle w:val="PageNumber"/>
        <w:noProof/>
        <w:color w:val="000000" w:themeColor="text1"/>
        <w:sz w:val="20"/>
        <w:szCs w:val="20"/>
      </w:rPr>
      <w:t>3</w:t>
    </w:r>
    <w:r w:rsidRPr="0046489D">
      <w:rPr>
        <w:rStyle w:val="PageNumber"/>
        <w:color w:val="000000" w:themeColor="text1"/>
        <w:sz w:val="20"/>
        <w:szCs w:val="20"/>
      </w:rPr>
      <w:fldChar w:fldCharType="end"/>
    </w:r>
    <w:r w:rsidRPr="0046489D">
      <w:rPr>
        <w:rStyle w:val="PageNumber"/>
        <w:color w:val="000000" w:themeColor="text1"/>
        <w:sz w:val="20"/>
        <w:szCs w:val="20"/>
      </w:rPr>
      <w:t xml:space="preserve"> of </w:t>
    </w:r>
    <w:r w:rsidRPr="0046489D">
      <w:rPr>
        <w:rStyle w:val="PageNumber"/>
        <w:color w:val="000000" w:themeColor="text1"/>
        <w:sz w:val="20"/>
        <w:szCs w:val="20"/>
      </w:rPr>
      <w:fldChar w:fldCharType="begin"/>
    </w:r>
    <w:r w:rsidRPr="0046489D">
      <w:rPr>
        <w:rStyle w:val="PageNumber"/>
        <w:color w:val="000000" w:themeColor="text1"/>
        <w:sz w:val="20"/>
        <w:szCs w:val="20"/>
      </w:rPr>
      <w:instrText xml:space="preserve"> NUMPAGES  \* MERGEFORMAT </w:instrText>
    </w:r>
    <w:r w:rsidRPr="0046489D">
      <w:rPr>
        <w:rStyle w:val="PageNumber"/>
        <w:color w:val="000000" w:themeColor="text1"/>
        <w:sz w:val="20"/>
        <w:szCs w:val="20"/>
      </w:rPr>
      <w:fldChar w:fldCharType="separate"/>
    </w:r>
    <w:r w:rsidR="00CC0693">
      <w:rPr>
        <w:rStyle w:val="PageNumber"/>
        <w:noProof/>
        <w:color w:val="000000" w:themeColor="text1"/>
        <w:sz w:val="20"/>
        <w:szCs w:val="20"/>
      </w:rPr>
      <w:t>32</w:t>
    </w:r>
    <w:r w:rsidRPr="0046489D">
      <w:rPr>
        <w:rStyle w:val="PageNumber"/>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15249" w14:textId="77777777" w:rsidR="00A15A28" w:rsidRDefault="00A15A28">
      <w:r>
        <w:separator/>
      </w:r>
    </w:p>
  </w:footnote>
  <w:footnote w:type="continuationSeparator" w:id="0">
    <w:p w14:paraId="29F3176D" w14:textId="77777777" w:rsidR="00A15A28" w:rsidRDefault="00A15A28">
      <w:r>
        <w:continuationSeparator/>
      </w:r>
    </w:p>
  </w:footnote>
  <w:footnote w:id="1">
    <w:p w14:paraId="2CEC7435" w14:textId="77777777" w:rsidR="00C677A7" w:rsidRPr="00640D1B" w:rsidRDefault="00C677A7" w:rsidP="00641BF7">
      <w:pPr>
        <w:pStyle w:val="FootnoteText"/>
        <w:rPr>
          <w:lang w:val="en-AU"/>
        </w:rPr>
      </w:pPr>
      <w:r w:rsidRPr="00DF5EA8">
        <w:rPr>
          <w:rStyle w:val="FootnoteReference"/>
          <w:rFonts w:asciiTheme="minorHAnsi" w:hAnsiTheme="minorHAnsi"/>
          <w:sz w:val="20"/>
          <w:szCs w:val="20"/>
        </w:rPr>
        <w:footnoteRef/>
      </w:r>
      <w:r w:rsidRPr="00DF5EA8">
        <w:rPr>
          <w:rFonts w:asciiTheme="minorHAnsi" w:hAnsiTheme="minorHAnsi"/>
          <w:sz w:val="20"/>
          <w:szCs w:val="20"/>
        </w:rPr>
        <w:t xml:space="preserve"> </w:t>
      </w:r>
      <w:r w:rsidRPr="00DF5EA8">
        <w:rPr>
          <w:rFonts w:asciiTheme="minorHAnsi" w:hAnsiTheme="minorHAnsi"/>
          <w:sz w:val="20"/>
          <w:szCs w:val="20"/>
          <w:lang w:val="en-AU"/>
        </w:rPr>
        <w:t xml:space="preserve">New Zealand data is drawn from: </w:t>
      </w:r>
      <w:r w:rsidRPr="00DF5EA8">
        <w:rPr>
          <w:rFonts w:asciiTheme="minorHAnsi" w:hAnsiTheme="minorHAnsi" w:cs="ArialMT"/>
          <w:i/>
          <w:sz w:val="20"/>
          <w:szCs w:val="20"/>
          <w:shd w:val="clear" w:color="auto" w:fill="FFFFFF"/>
        </w:rPr>
        <w:t>2016 Health Star Rating Monitoring and Evaluation Year One Follow-up Research Report,</w:t>
      </w:r>
      <w:r w:rsidRPr="00DF5EA8">
        <w:rPr>
          <w:rFonts w:asciiTheme="minorHAnsi" w:hAnsiTheme="minorHAnsi" w:cs="ArialMT"/>
          <w:sz w:val="20"/>
          <w:szCs w:val="20"/>
          <w:shd w:val="clear" w:color="auto" w:fill="FFFFFF"/>
        </w:rPr>
        <w:t xml:space="preserve"> Health Promotion Agency, January 2017 and Australian data is drawn from: </w:t>
      </w:r>
      <w:r w:rsidRPr="00DF5EA8">
        <w:rPr>
          <w:rFonts w:asciiTheme="minorHAnsi" w:hAnsiTheme="minorHAnsi" w:cs="Arial"/>
          <w:i/>
          <w:sz w:val="20"/>
          <w:szCs w:val="20"/>
          <w:lang w:eastAsia="en-US"/>
        </w:rPr>
        <w:t>Report on the monitoring of the implementation of the Health Star Rating system: Area of Enquiry 2 – Consumer awareness and ability to use the Health Star Rating system correctly</w:t>
      </w:r>
      <w:r w:rsidRPr="00DF5EA8">
        <w:rPr>
          <w:rFonts w:asciiTheme="minorHAnsi" w:hAnsiTheme="minorHAnsi" w:cs="Arial"/>
          <w:sz w:val="20"/>
          <w:szCs w:val="20"/>
          <w:lang w:eastAsia="en-US"/>
        </w:rPr>
        <w:t>, National Heart Foundation, August 2017</w:t>
      </w:r>
      <w:r>
        <w:rPr>
          <w:lang w:val="en-AU"/>
        </w:rPr>
        <w:t xml:space="preserve"> </w:t>
      </w:r>
    </w:p>
  </w:footnote>
  <w:footnote w:id="2">
    <w:p w14:paraId="7A1020DC" w14:textId="2D025C2B" w:rsidR="00C677A7" w:rsidRPr="00DF5EA8" w:rsidRDefault="00C677A7" w:rsidP="00F753EF">
      <w:pPr>
        <w:pStyle w:val="NormalWeb"/>
        <w:spacing w:before="0" w:beforeAutospacing="0" w:after="0" w:afterAutospacing="0"/>
        <w:rPr>
          <w:rFonts w:asciiTheme="minorHAnsi" w:hAnsiTheme="minorHAnsi"/>
          <w:sz w:val="20"/>
          <w:szCs w:val="20"/>
        </w:rPr>
      </w:pPr>
      <w:r w:rsidRPr="00DF5EA8">
        <w:rPr>
          <w:rStyle w:val="FootnoteReference"/>
          <w:rFonts w:asciiTheme="minorHAnsi" w:hAnsiTheme="minorHAnsi"/>
          <w:sz w:val="20"/>
          <w:szCs w:val="20"/>
        </w:rPr>
        <w:footnoteRef/>
      </w:r>
      <w:r w:rsidRPr="00DF5EA8">
        <w:rPr>
          <w:rFonts w:asciiTheme="minorHAnsi" w:hAnsiTheme="minorHAnsi"/>
          <w:sz w:val="20"/>
          <w:szCs w:val="20"/>
        </w:rPr>
        <w:t xml:space="preserve"> </w:t>
      </w:r>
      <w:r w:rsidRPr="00DF5EA8">
        <w:rPr>
          <w:rFonts w:asciiTheme="minorHAnsi" w:hAnsiTheme="minorHAnsi" w:cs="ArialMT"/>
          <w:i/>
          <w:sz w:val="20"/>
          <w:szCs w:val="20"/>
          <w:shd w:val="clear" w:color="auto" w:fill="FFFFFF"/>
        </w:rPr>
        <w:t>2016 Health Star Rating Monitoring and Evaluation Year One Follow-up Research Report,</w:t>
      </w:r>
      <w:r w:rsidRPr="00DF5EA8">
        <w:rPr>
          <w:rFonts w:asciiTheme="minorHAnsi" w:hAnsiTheme="minorHAnsi" w:cs="ArialMT"/>
          <w:sz w:val="20"/>
          <w:szCs w:val="20"/>
          <w:shd w:val="clear" w:color="auto" w:fill="FFFFFF"/>
        </w:rPr>
        <w:t xml:space="preserve"> Health Promotion Agency, January 2017 </w:t>
      </w:r>
    </w:p>
  </w:footnote>
  <w:footnote w:id="3">
    <w:p w14:paraId="1F472489" w14:textId="0425D07F" w:rsidR="00C677A7" w:rsidRPr="00DF5EA8" w:rsidRDefault="00C677A7" w:rsidP="00F62597">
      <w:pPr>
        <w:widowControl w:val="0"/>
        <w:autoSpaceDE w:val="0"/>
        <w:autoSpaceDN w:val="0"/>
        <w:adjustRightInd w:val="0"/>
        <w:rPr>
          <w:rFonts w:asciiTheme="minorHAnsi" w:hAnsiTheme="minorHAnsi" w:cs="Times"/>
          <w:color w:val="000000"/>
          <w:sz w:val="20"/>
          <w:szCs w:val="20"/>
          <w:lang w:eastAsia="en-US"/>
        </w:rPr>
      </w:pPr>
      <w:r w:rsidRPr="00DF5EA8">
        <w:rPr>
          <w:rStyle w:val="FootnoteReference"/>
          <w:rFonts w:asciiTheme="minorHAnsi" w:hAnsiTheme="minorHAnsi"/>
          <w:sz w:val="20"/>
          <w:szCs w:val="20"/>
        </w:rPr>
        <w:footnoteRef/>
      </w:r>
      <w:r w:rsidRPr="00DF5EA8">
        <w:rPr>
          <w:rFonts w:asciiTheme="minorHAnsi" w:hAnsiTheme="minorHAnsi"/>
          <w:sz w:val="20"/>
          <w:szCs w:val="20"/>
        </w:rPr>
        <w:t xml:space="preserve"> </w:t>
      </w:r>
      <w:r w:rsidRPr="00DF5EA8">
        <w:rPr>
          <w:rFonts w:asciiTheme="minorHAnsi" w:hAnsiTheme="minorHAnsi" w:cs="Arial"/>
          <w:i/>
          <w:sz w:val="20"/>
          <w:szCs w:val="20"/>
          <w:lang w:eastAsia="en-US"/>
        </w:rPr>
        <w:t>Report on the monitoring of the implementation of the Health Star Rating system: Area of Enquiry 2 – Consumer awareness and ability to use the Health Star Rating system correctly</w:t>
      </w:r>
      <w:r w:rsidRPr="00DF5EA8">
        <w:rPr>
          <w:rFonts w:asciiTheme="minorHAnsi" w:hAnsiTheme="minorHAnsi" w:cs="Arial"/>
          <w:sz w:val="20"/>
          <w:szCs w:val="20"/>
          <w:lang w:eastAsia="en-US"/>
        </w:rPr>
        <w:t>, National Heart Foundation, August 2017</w:t>
      </w:r>
    </w:p>
  </w:footnote>
  <w:footnote w:id="4">
    <w:p w14:paraId="231FE003" w14:textId="040E17BD" w:rsidR="00C677A7" w:rsidRPr="0082411C" w:rsidRDefault="00C677A7">
      <w:pPr>
        <w:pStyle w:val="FootnoteText"/>
        <w:rPr>
          <w:lang w:val="en-AU"/>
        </w:rPr>
      </w:pPr>
      <w:r>
        <w:rPr>
          <w:rStyle w:val="FootnoteReference"/>
        </w:rPr>
        <w:footnoteRef/>
      </w:r>
      <w:r>
        <w:t xml:space="preserve"> </w:t>
      </w:r>
      <w:r w:rsidRPr="00DF5EA8">
        <w:rPr>
          <w:rFonts w:asciiTheme="minorHAnsi" w:hAnsiTheme="minorHAnsi" w:cs="ArialMT"/>
          <w:i/>
          <w:sz w:val="20"/>
          <w:szCs w:val="20"/>
          <w:shd w:val="clear" w:color="auto" w:fill="FFFFFF"/>
        </w:rPr>
        <w:t>2016 Health Star Rating Monitoring and Evaluation Year One Follow-up Research Report,</w:t>
      </w:r>
      <w:r w:rsidRPr="00DF5EA8">
        <w:rPr>
          <w:rFonts w:asciiTheme="minorHAnsi" w:hAnsiTheme="minorHAnsi" w:cs="ArialMT"/>
          <w:sz w:val="20"/>
          <w:szCs w:val="20"/>
          <w:shd w:val="clear" w:color="auto" w:fill="FFFFFF"/>
        </w:rPr>
        <w:t xml:space="preserve"> Health Promotion Agency, January 2017</w:t>
      </w:r>
    </w:p>
  </w:footnote>
  <w:footnote w:id="5">
    <w:p w14:paraId="49F2BCE4" w14:textId="0E4ECFFE" w:rsidR="006865B3" w:rsidRPr="006865B3" w:rsidRDefault="006865B3" w:rsidP="006865B3">
      <w:pPr>
        <w:pStyle w:val="FootnoteText"/>
        <w:rPr>
          <w:rFonts w:asciiTheme="minorHAnsi" w:hAnsiTheme="minorHAnsi"/>
          <w:sz w:val="20"/>
          <w:szCs w:val="20"/>
          <w:lang w:val="en-AU"/>
        </w:rPr>
      </w:pPr>
      <w:r w:rsidRPr="00C677A7">
        <w:rPr>
          <w:rStyle w:val="FootnoteReference"/>
          <w:rFonts w:asciiTheme="minorHAnsi" w:hAnsiTheme="minorHAnsi"/>
          <w:sz w:val="20"/>
          <w:szCs w:val="20"/>
        </w:rPr>
        <w:footnoteRef/>
      </w:r>
      <w:r w:rsidRPr="00C677A7">
        <w:rPr>
          <w:rFonts w:asciiTheme="minorHAnsi" w:hAnsiTheme="minorHAnsi"/>
          <w:sz w:val="20"/>
          <w:szCs w:val="20"/>
        </w:rPr>
        <w:t xml:space="preserve"> </w:t>
      </w:r>
      <w:r>
        <w:rPr>
          <w:rFonts w:asciiTheme="minorHAnsi" w:hAnsiTheme="minorHAnsi"/>
          <w:sz w:val="20"/>
          <w:szCs w:val="20"/>
          <w:lang w:val="en-AU"/>
        </w:rPr>
        <w:t>Uptake wa</w:t>
      </w:r>
      <w:r w:rsidRPr="006865B3">
        <w:rPr>
          <w:rFonts w:asciiTheme="minorHAnsi" w:hAnsiTheme="minorHAnsi"/>
          <w:sz w:val="20"/>
          <w:szCs w:val="20"/>
          <w:lang w:val="en-AU"/>
        </w:rPr>
        <w:t>s assessed using the retail food database FoodTrack</w:t>
      </w:r>
      <w:r w:rsidRPr="00400DE8">
        <w:rPr>
          <w:rFonts w:asciiTheme="minorHAnsi" w:hAnsiTheme="minorHAnsi"/>
          <w:sz w:val="20"/>
          <w:szCs w:val="20"/>
          <w:vertAlign w:val="superscript"/>
          <w:lang w:val="en-AU"/>
        </w:rPr>
        <w:t>TM</w:t>
      </w:r>
      <w:r w:rsidRPr="006865B3">
        <w:rPr>
          <w:rFonts w:asciiTheme="minorHAnsi" w:hAnsiTheme="minorHAnsi"/>
          <w:sz w:val="20"/>
          <w:szCs w:val="20"/>
          <w:lang w:val="en-AU"/>
        </w:rPr>
        <w:t>. FoodTrack</w:t>
      </w:r>
      <w:r w:rsidRPr="00400DE8">
        <w:rPr>
          <w:rFonts w:asciiTheme="minorHAnsi" w:hAnsiTheme="minorHAnsi"/>
          <w:sz w:val="20"/>
          <w:szCs w:val="20"/>
          <w:vertAlign w:val="superscript"/>
          <w:lang w:val="en-AU"/>
        </w:rPr>
        <w:t>TM</w:t>
      </w:r>
      <w:r w:rsidRPr="006865B3">
        <w:rPr>
          <w:rFonts w:asciiTheme="minorHAnsi" w:hAnsiTheme="minorHAnsi"/>
          <w:sz w:val="20"/>
          <w:szCs w:val="20"/>
          <w:lang w:val="en-AU"/>
        </w:rPr>
        <w:t xml:space="preserve"> data is collected annually on a rolling schedule. </w:t>
      </w:r>
    </w:p>
  </w:footnote>
  <w:footnote w:id="6">
    <w:p w14:paraId="072458E6" w14:textId="63A8788B" w:rsidR="006865B3" w:rsidRPr="006865B3" w:rsidRDefault="006865B3" w:rsidP="006865B3">
      <w:pPr>
        <w:pStyle w:val="FootnoteText"/>
        <w:rPr>
          <w:rFonts w:asciiTheme="minorHAnsi" w:hAnsiTheme="minorHAnsi"/>
          <w:sz w:val="20"/>
          <w:szCs w:val="20"/>
          <w:lang w:val="en-AU"/>
        </w:rPr>
      </w:pPr>
      <w:r w:rsidRPr="006865B3">
        <w:rPr>
          <w:rFonts w:asciiTheme="minorHAnsi" w:hAnsiTheme="minorHAnsi"/>
          <w:sz w:val="20"/>
          <w:szCs w:val="20"/>
          <w:vertAlign w:val="superscript"/>
          <w:lang w:val="en-AU"/>
        </w:rPr>
        <w:footnoteRef/>
      </w:r>
      <w:r w:rsidRPr="006865B3">
        <w:rPr>
          <w:rFonts w:asciiTheme="minorHAnsi" w:hAnsiTheme="minorHAnsi"/>
          <w:sz w:val="20"/>
          <w:szCs w:val="20"/>
          <w:lang w:val="en-AU"/>
        </w:rPr>
        <w:t xml:space="preserve"> Uptake was assessed using the retail food database Nutritrack. Nutritrack data is collected in the first quarter of each year. Uptake of the HSR in New Zealand is limited to only those products displaying the Health Star Rating graphic (i.e. display of the energy icon only is excluded).</w:t>
      </w:r>
    </w:p>
  </w:footnote>
  <w:footnote w:id="7">
    <w:p w14:paraId="417FF6C2" w14:textId="6CCF1BAF" w:rsidR="00C677A7" w:rsidRPr="00C36A79" w:rsidRDefault="00C677A7" w:rsidP="00C36A79">
      <w:pPr>
        <w:rPr>
          <w:rFonts w:asciiTheme="minorHAnsi" w:hAnsiTheme="minorHAnsi"/>
          <w:sz w:val="20"/>
          <w:szCs w:val="20"/>
        </w:rPr>
      </w:pPr>
      <w:r w:rsidRPr="00C36A79">
        <w:rPr>
          <w:rStyle w:val="FootnoteReference"/>
          <w:rFonts w:asciiTheme="minorHAnsi" w:hAnsiTheme="minorHAnsi"/>
          <w:sz w:val="20"/>
          <w:szCs w:val="20"/>
        </w:rPr>
        <w:footnoteRef/>
      </w:r>
      <w:r w:rsidRPr="00C36A79">
        <w:rPr>
          <w:rFonts w:asciiTheme="minorHAnsi" w:hAnsiTheme="minorHAnsi"/>
          <w:sz w:val="20"/>
          <w:szCs w:val="20"/>
        </w:rPr>
        <w:t xml:space="preserve"> </w:t>
      </w:r>
      <w:r w:rsidRPr="00C36A79">
        <w:rPr>
          <w:rFonts w:asciiTheme="minorHAnsi" w:hAnsiTheme="minorHAnsi"/>
          <w:sz w:val="20"/>
          <w:szCs w:val="20"/>
          <w:lang w:val="en-AU"/>
        </w:rPr>
        <w:t>See ‘About Health Star Ratings’ on the Health Star Rating website (</w:t>
      </w:r>
      <w:hyperlink r:id="rId1" w:history="1">
        <w:r w:rsidR="00C36A79" w:rsidRPr="00C36A79">
          <w:rPr>
            <w:rStyle w:val="Hyperlink"/>
            <w:rFonts w:asciiTheme="minorHAnsi" w:hAnsiTheme="minorHAnsi"/>
            <w:sz w:val="20"/>
            <w:szCs w:val="20"/>
          </w:rPr>
          <w:t>Health Star Rating system</w:t>
        </w:r>
      </w:hyperlink>
      <w:r w:rsidRPr="00C36A79">
        <w:rPr>
          <w:rFonts w:asciiTheme="minorHAnsi" w:hAnsiTheme="minorHAnsi"/>
          <w:sz w:val="20"/>
          <w:szCs w:val="20"/>
          <w:lang w:val="en-AU"/>
        </w:rPr>
        <w:t>)</w:t>
      </w:r>
      <w:r w:rsidR="00384B5D">
        <w:rPr>
          <w:rFonts w:asciiTheme="minorHAnsi" w:hAnsiTheme="minorHAnsi"/>
          <w:sz w:val="20"/>
          <w:szCs w:val="20"/>
          <w:lang w:val="en-AU"/>
        </w:rPr>
        <w:t>.</w:t>
      </w:r>
    </w:p>
  </w:footnote>
  <w:footnote w:id="8">
    <w:p w14:paraId="605DA82F" w14:textId="77777777" w:rsidR="00C677A7" w:rsidRPr="00F52EDB" w:rsidRDefault="00C677A7" w:rsidP="004D5270">
      <w:pPr>
        <w:pStyle w:val="mpcNormal"/>
        <w:spacing w:after="0"/>
        <w:rPr>
          <w:sz w:val="20"/>
          <w:szCs w:val="20"/>
        </w:rPr>
      </w:pPr>
      <w:r w:rsidRPr="00F52EDB">
        <w:rPr>
          <w:rStyle w:val="FootnoteReference"/>
          <w:sz w:val="20"/>
          <w:szCs w:val="20"/>
        </w:rPr>
        <w:footnoteRef/>
      </w:r>
      <w:r w:rsidRPr="00F52EDB">
        <w:rPr>
          <w:sz w:val="20"/>
          <w:szCs w:val="20"/>
        </w:rPr>
        <w:t xml:space="preserve"> Discussion paper for face to face consultation September/October 2017 – </w:t>
      </w:r>
      <w:r w:rsidRPr="00F52EDB">
        <w:rPr>
          <w:i/>
          <w:sz w:val="20"/>
          <w:szCs w:val="20"/>
        </w:rPr>
        <w:t>The form of the</w:t>
      </w:r>
      <w:r w:rsidRPr="00F52EDB">
        <w:rPr>
          <w:rFonts w:cs="Times New Roman"/>
          <w:i/>
          <w:sz w:val="20"/>
          <w:szCs w:val="20"/>
        </w:rPr>
        <w:t xml:space="preserve"> food (‘as prepared’) rules for the Health Star Rating (HSR) system</w:t>
      </w:r>
    </w:p>
  </w:footnote>
  <w:footnote w:id="9">
    <w:p w14:paraId="2082008B" w14:textId="77777777" w:rsidR="00C677A7" w:rsidRPr="00CB532D" w:rsidRDefault="00C677A7" w:rsidP="00CB532D">
      <w:pPr>
        <w:rPr>
          <w:rFonts w:asciiTheme="minorHAnsi" w:eastAsia="Times New Roman" w:hAnsiTheme="minorHAnsi"/>
          <w:sz w:val="20"/>
          <w:szCs w:val="20"/>
        </w:rPr>
      </w:pPr>
      <w:r w:rsidRPr="00CB532D">
        <w:rPr>
          <w:rStyle w:val="FootnoteReference"/>
          <w:rFonts w:asciiTheme="minorHAnsi" w:hAnsiTheme="minorHAnsi"/>
          <w:sz w:val="20"/>
          <w:szCs w:val="20"/>
        </w:rPr>
        <w:footnoteRef/>
      </w:r>
      <w:r w:rsidRPr="00CB532D">
        <w:rPr>
          <w:rFonts w:asciiTheme="minorHAnsi" w:hAnsiTheme="minorHAnsi"/>
          <w:sz w:val="20"/>
          <w:szCs w:val="20"/>
        </w:rPr>
        <w:t xml:space="preserve"> </w:t>
      </w:r>
      <w:r w:rsidRPr="00CB532D">
        <w:rPr>
          <w:rFonts w:asciiTheme="minorHAnsi" w:eastAsia="Times New Roman" w:hAnsiTheme="minorHAnsi" w:cs="ArialMT"/>
          <w:color w:val="000000"/>
          <w:sz w:val="20"/>
          <w:szCs w:val="20"/>
        </w:rPr>
        <w:t>Boylan, S., Mihrshahi, S., Sugar Intake and Health outcomes: A Rapid Evidence Review. Prepared for the Centre for Population Health, NSW Ministry of Health. Sydney; Physical Activity, Nutrition and obesity Research Group, August 2015 </w:t>
      </w:r>
    </w:p>
    <w:p w14:paraId="2D85A7FF" w14:textId="0FDD5BD2" w:rsidR="00C677A7" w:rsidRPr="00CB532D" w:rsidRDefault="00C677A7">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C00C" w14:textId="77777777" w:rsidR="00C677A7" w:rsidRDefault="00C677A7" w:rsidP="00381925">
    <w:pPr>
      <w:pStyle w:val="Header"/>
      <w:jc w:val="right"/>
      <w:rPr>
        <w:rFonts w:ascii="Cambria" w:hAnsi="Cambria"/>
        <w:b/>
        <w:sz w:val="20"/>
        <w:szCs w:val="20"/>
      </w:rPr>
    </w:pPr>
    <w:r>
      <w:rPr>
        <w:rFonts w:ascii="Cambria" w:hAnsi="Cambria"/>
        <w:b/>
        <w:noProof/>
        <w:sz w:val="20"/>
        <w:szCs w:val="20"/>
        <w:lang w:eastAsia="en-AU"/>
      </w:rPr>
      <w:drawing>
        <wp:inline distT="0" distB="0" distL="0" distR="0" wp14:anchorId="1AB4B257" wp14:editId="717F5D64">
          <wp:extent cx="1454468" cy="255793"/>
          <wp:effectExtent l="0" t="0" r="0" b="0"/>
          <wp:docPr id="2" name="Picture 2" descr="mpconsul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pc-logo grey green.jpg"/>
                  <pic:cNvPicPr/>
                </pic:nvPicPr>
                <pic:blipFill>
                  <a:blip r:embed="rId1">
                    <a:extLst>
                      <a:ext uri="{28A0092B-C50C-407E-A947-70E740481C1C}">
                        <a14:useLocalDpi xmlns:a14="http://schemas.microsoft.com/office/drawing/2010/main" val="0"/>
                      </a:ext>
                    </a:extLst>
                  </a:blip>
                  <a:stretch>
                    <a:fillRect/>
                  </a:stretch>
                </pic:blipFill>
                <pic:spPr>
                  <a:xfrm>
                    <a:off x="0" y="0"/>
                    <a:ext cx="1530715" cy="269202"/>
                  </a:xfrm>
                  <a:prstGeom prst="rect">
                    <a:avLst/>
                  </a:prstGeom>
                </pic:spPr>
              </pic:pic>
            </a:graphicData>
          </a:graphic>
        </wp:inline>
      </w:drawing>
    </w:r>
  </w:p>
  <w:p w14:paraId="00164DA0" w14:textId="77777777" w:rsidR="00C677A7" w:rsidRPr="002C2A25" w:rsidRDefault="00C677A7" w:rsidP="00381925">
    <w:pPr>
      <w:pStyle w:val="Header"/>
      <w:rPr>
        <w:rFonts w:ascii="Cambria" w:hAnsi="Cambria"/>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2A1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F207E8A"/>
    <w:lvl w:ilvl="0">
      <w:start w:val="1"/>
      <w:numFmt w:val="decimal"/>
      <w:lvlText w:val="%1."/>
      <w:lvlJc w:val="left"/>
      <w:pPr>
        <w:tabs>
          <w:tab w:val="num" w:pos="1492"/>
        </w:tabs>
        <w:ind w:left="1492" w:hanging="360"/>
      </w:pPr>
    </w:lvl>
  </w:abstractNum>
  <w:abstractNum w:abstractNumId="2">
    <w:nsid w:val="FFFFFF7D"/>
    <w:multiLevelType w:val="singleLevel"/>
    <w:tmpl w:val="EF064E26"/>
    <w:lvl w:ilvl="0">
      <w:start w:val="1"/>
      <w:numFmt w:val="decimal"/>
      <w:lvlText w:val="%1."/>
      <w:lvlJc w:val="left"/>
      <w:pPr>
        <w:tabs>
          <w:tab w:val="num" w:pos="1209"/>
        </w:tabs>
        <w:ind w:left="1209" w:hanging="360"/>
      </w:pPr>
    </w:lvl>
  </w:abstractNum>
  <w:abstractNum w:abstractNumId="3">
    <w:nsid w:val="FFFFFF7E"/>
    <w:multiLevelType w:val="singleLevel"/>
    <w:tmpl w:val="6B2AA9F0"/>
    <w:lvl w:ilvl="0">
      <w:start w:val="1"/>
      <w:numFmt w:val="decimal"/>
      <w:lvlText w:val="%1."/>
      <w:lvlJc w:val="left"/>
      <w:pPr>
        <w:tabs>
          <w:tab w:val="num" w:pos="926"/>
        </w:tabs>
        <w:ind w:left="926" w:hanging="360"/>
      </w:pPr>
    </w:lvl>
  </w:abstractNum>
  <w:abstractNum w:abstractNumId="4">
    <w:nsid w:val="FFFFFF7F"/>
    <w:multiLevelType w:val="singleLevel"/>
    <w:tmpl w:val="F376A8DA"/>
    <w:lvl w:ilvl="0">
      <w:start w:val="1"/>
      <w:numFmt w:val="decimal"/>
      <w:lvlText w:val="%1."/>
      <w:lvlJc w:val="left"/>
      <w:pPr>
        <w:tabs>
          <w:tab w:val="num" w:pos="643"/>
        </w:tabs>
        <w:ind w:left="643" w:hanging="360"/>
      </w:pPr>
    </w:lvl>
  </w:abstractNum>
  <w:abstractNum w:abstractNumId="5">
    <w:nsid w:val="FFFFFF80"/>
    <w:multiLevelType w:val="singleLevel"/>
    <w:tmpl w:val="89CCD70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40CD6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2D6D4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E25E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5DC374A"/>
    <w:lvl w:ilvl="0">
      <w:start w:val="1"/>
      <w:numFmt w:val="decimal"/>
      <w:lvlText w:val="%1."/>
      <w:lvlJc w:val="left"/>
      <w:pPr>
        <w:tabs>
          <w:tab w:val="num" w:pos="360"/>
        </w:tabs>
        <w:ind w:left="360" w:hanging="360"/>
      </w:pPr>
    </w:lvl>
  </w:abstractNum>
  <w:abstractNum w:abstractNumId="10">
    <w:nsid w:val="FFFFFF89"/>
    <w:multiLevelType w:val="singleLevel"/>
    <w:tmpl w:val="1E0E3EC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4F8863C0"/>
    <w:lvl w:ilvl="0" w:tplc="08090001">
      <w:start w:val="1"/>
      <w:numFmt w:val="bullet"/>
      <w:pStyle w:val="mpcbullets1"/>
      <w:lvlText w:val=""/>
      <w:lvlJc w:val="left"/>
      <w:pPr>
        <w:ind w:left="360" w:hanging="360"/>
      </w:pPr>
      <w:rPr>
        <w:rFonts w:ascii="Symbol" w:hAnsi="Symbol" w:hint="default"/>
      </w:rPr>
    </w:lvl>
    <w:lvl w:ilvl="1" w:tplc="0809000B">
      <w:start w:val="1"/>
      <w:numFmt w:val="bullet"/>
      <w:lvlText w:val=""/>
      <w:lvlJc w:val="left"/>
      <w:pPr>
        <w:ind w:left="360" w:hanging="360"/>
      </w:pPr>
      <w:rPr>
        <w:rFonts w:ascii="Wingdings" w:hAnsi="Wingdings" w:hint="default"/>
      </w:rPr>
    </w:lvl>
    <w:lvl w:ilvl="2" w:tplc="0809000B">
      <w:start w:val="1"/>
      <w:numFmt w:val="bullet"/>
      <w:lvlText w:val=""/>
      <w:lvlJc w:val="left"/>
      <w:pPr>
        <w:ind w:left="360" w:hanging="360"/>
      </w:pPr>
      <w:rPr>
        <w:rFonts w:ascii="Wingdings" w:hAnsi="Wingdings" w:hint="default"/>
      </w:rPr>
    </w:lvl>
    <w:lvl w:ilvl="3" w:tplc="0809000B">
      <w:start w:val="1"/>
      <w:numFmt w:val="bullet"/>
      <w:lvlText w:val=""/>
      <w:lvlJc w:val="left"/>
      <w:pPr>
        <w:ind w:left="360" w:hanging="360"/>
      </w:pPr>
      <w:rPr>
        <w:rFonts w:ascii="Wingdings" w:hAnsi="Wingding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9D47A0"/>
    <w:multiLevelType w:val="hybridMultilevel"/>
    <w:tmpl w:val="0BD071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2A051F5"/>
    <w:multiLevelType w:val="hybridMultilevel"/>
    <w:tmpl w:val="E16226B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43A60F5"/>
    <w:multiLevelType w:val="hybridMultilevel"/>
    <w:tmpl w:val="CBCA8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B414E6"/>
    <w:multiLevelType w:val="hybridMultilevel"/>
    <w:tmpl w:val="C7801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5DF6DD3"/>
    <w:multiLevelType w:val="hybridMultilevel"/>
    <w:tmpl w:val="25A468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8485AD5"/>
    <w:multiLevelType w:val="hybridMultilevel"/>
    <w:tmpl w:val="E9D672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095248C6"/>
    <w:multiLevelType w:val="hybridMultilevel"/>
    <w:tmpl w:val="80A25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B5E3B03"/>
    <w:multiLevelType w:val="hybridMultilevel"/>
    <w:tmpl w:val="3C74A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0D356CF3"/>
    <w:multiLevelType w:val="hybridMultilevel"/>
    <w:tmpl w:val="095EA4EE"/>
    <w:lvl w:ilvl="0" w:tplc="CEE82A64">
      <w:start w:val="1"/>
      <w:numFmt w:val="decimal"/>
      <w:pStyle w:val="mpc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60F009C"/>
    <w:multiLevelType w:val="hybridMultilevel"/>
    <w:tmpl w:val="FA8A2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A0C6C81"/>
    <w:multiLevelType w:val="multilevel"/>
    <w:tmpl w:val="765AC0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1DD10397"/>
    <w:multiLevelType w:val="hybridMultilevel"/>
    <w:tmpl w:val="BF3039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E4C04F5"/>
    <w:multiLevelType w:val="hybridMultilevel"/>
    <w:tmpl w:val="A4E46068"/>
    <w:lvl w:ilvl="0" w:tplc="9F1C9E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3A535D2"/>
    <w:multiLevelType w:val="hybridMultilevel"/>
    <w:tmpl w:val="68B454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5794A21"/>
    <w:multiLevelType w:val="hybridMultilevel"/>
    <w:tmpl w:val="77E63990"/>
    <w:lvl w:ilvl="0" w:tplc="A894CE00">
      <w:start w:val="1"/>
      <w:numFmt w:val="bullet"/>
      <w:pStyle w:val="mpcbullets2"/>
      <w:lvlText w:val="-"/>
      <w:lvlJc w:val="left"/>
      <w:pPr>
        <w:ind w:left="720" w:hanging="360"/>
      </w:pPr>
      <w:rPr>
        <w:rFonts w:ascii="Courier New" w:hAnsi="Courier New" w:hint="default"/>
      </w:rPr>
    </w:lvl>
    <w:lvl w:ilvl="1" w:tplc="07A6BE4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412592"/>
    <w:multiLevelType w:val="hybridMultilevel"/>
    <w:tmpl w:val="1E18C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E197F97"/>
    <w:multiLevelType w:val="hybridMultilevel"/>
    <w:tmpl w:val="392A7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EFC05EC"/>
    <w:multiLevelType w:val="hybridMultilevel"/>
    <w:tmpl w:val="A9BE4E58"/>
    <w:lvl w:ilvl="0" w:tplc="DA882E0A">
      <w:start w:val="1"/>
      <w:numFmt w:val="lowerLetter"/>
      <w:pStyle w:val="mpcnumberedlist2"/>
      <w:lvlText w:val="%1."/>
      <w:lvlJc w:val="left"/>
      <w:pPr>
        <w:ind w:left="717" w:hanging="360"/>
      </w:pPr>
      <w:rPr>
        <w:rFonts w:hint="default"/>
      </w:rPr>
    </w:lvl>
    <w:lvl w:ilvl="1" w:tplc="74789970">
      <w:start w:val="1"/>
      <w:numFmt w:val="bullet"/>
      <w:lvlText w:val=""/>
      <w:lvlJc w:val="left"/>
      <w:pPr>
        <w:ind w:left="1437" w:hanging="360"/>
      </w:pPr>
      <w:rPr>
        <w:rFonts w:ascii="Symbol" w:hAnsi="Symbo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0">
    <w:nsid w:val="3F3D5075"/>
    <w:multiLevelType w:val="hybridMultilevel"/>
    <w:tmpl w:val="80C47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72C2B52"/>
    <w:multiLevelType w:val="hybridMultilevel"/>
    <w:tmpl w:val="68B454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503F91"/>
    <w:multiLevelType w:val="hybridMultilevel"/>
    <w:tmpl w:val="A4D03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50B557B"/>
    <w:multiLevelType w:val="hybridMultilevel"/>
    <w:tmpl w:val="50BA61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9FB4393"/>
    <w:multiLevelType w:val="hybridMultilevel"/>
    <w:tmpl w:val="4A04F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C0166AF"/>
    <w:multiLevelType w:val="hybridMultilevel"/>
    <w:tmpl w:val="1D6E8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E9F3D92"/>
    <w:multiLevelType w:val="hybridMultilevel"/>
    <w:tmpl w:val="9252B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2407E25"/>
    <w:multiLevelType w:val="hybridMultilevel"/>
    <w:tmpl w:val="645A4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2AE088F"/>
    <w:multiLevelType w:val="hybridMultilevel"/>
    <w:tmpl w:val="36D635B2"/>
    <w:lvl w:ilvl="0" w:tplc="AE56BEE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CB377E"/>
    <w:multiLevelType w:val="hybridMultilevel"/>
    <w:tmpl w:val="26BAFD7A"/>
    <w:lvl w:ilvl="0" w:tplc="C324E256">
      <w:start w:val="1"/>
      <w:numFmt w:val="bullet"/>
      <w:pStyle w:val="mpcbullets3"/>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82E7DED"/>
    <w:multiLevelType w:val="hybridMultilevel"/>
    <w:tmpl w:val="9A22A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CD14DA1"/>
    <w:multiLevelType w:val="hybridMultilevel"/>
    <w:tmpl w:val="AF04A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EDA7634"/>
    <w:multiLevelType w:val="hybridMultilevel"/>
    <w:tmpl w:val="0D14169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4A6A9C"/>
    <w:multiLevelType w:val="hybridMultilevel"/>
    <w:tmpl w:val="765AC0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538377E"/>
    <w:multiLevelType w:val="hybridMultilevel"/>
    <w:tmpl w:val="2F4E2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87A25BF"/>
    <w:multiLevelType w:val="hybridMultilevel"/>
    <w:tmpl w:val="4AFE7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39"/>
  </w:num>
  <w:num w:numId="4">
    <w:abstractNumId w:val="26"/>
  </w:num>
  <w:num w:numId="5">
    <w:abstractNumId w:val="29"/>
  </w:num>
  <w:num w:numId="6">
    <w:abstractNumId w:val="34"/>
  </w:num>
  <w:num w:numId="7">
    <w:abstractNumId w:val="37"/>
  </w:num>
  <w:num w:numId="8">
    <w:abstractNumId w:val="28"/>
  </w:num>
  <w:num w:numId="9">
    <w:abstractNumId w:val="43"/>
  </w:num>
  <w:num w:numId="10">
    <w:abstractNumId w:val="21"/>
  </w:num>
  <w:num w:numId="11">
    <w:abstractNumId w:val="45"/>
  </w:num>
  <w:num w:numId="12">
    <w:abstractNumId w:val="18"/>
  </w:num>
  <w:num w:numId="13">
    <w:abstractNumId w:val="19"/>
  </w:num>
  <w:num w:numId="14">
    <w:abstractNumId w:val="40"/>
  </w:num>
  <w:num w:numId="15">
    <w:abstractNumId w:val="35"/>
  </w:num>
  <w:num w:numId="16">
    <w:abstractNumId w:val="32"/>
  </w:num>
  <w:num w:numId="17">
    <w:abstractNumId w:val="27"/>
  </w:num>
  <w:num w:numId="18">
    <w:abstractNumId w:val="30"/>
  </w:num>
  <w:num w:numId="19">
    <w:abstractNumId w:val="44"/>
  </w:num>
  <w:num w:numId="20">
    <w:abstractNumId w:val="15"/>
  </w:num>
  <w:num w:numId="21">
    <w:abstractNumId w:val="41"/>
  </w:num>
  <w:num w:numId="22">
    <w:abstractNumId w:val="17"/>
  </w:num>
  <w:num w:numId="23">
    <w:abstractNumId w:val="33"/>
  </w:num>
  <w:num w:numId="24">
    <w:abstractNumId w:val="38"/>
  </w:num>
  <w:num w:numId="25">
    <w:abstractNumId w:val="23"/>
  </w:num>
  <w:num w:numId="26">
    <w:abstractNumId w:val="14"/>
  </w:num>
  <w:num w:numId="27">
    <w:abstractNumId w:val="36"/>
  </w:num>
  <w:num w:numId="28">
    <w:abstractNumId w:val="31"/>
  </w:num>
  <w:num w:numId="29">
    <w:abstractNumId w:val="25"/>
  </w:num>
  <w:num w:numId="30">
    <w:abstractNumId w:val="13"/>
  </w:num>
  <w:num w:numId="31">
    <w:abstractNumId w:val="12"/>
  </w:num>
  <w:num w:numId="32">
    <w:abstractNumId w:val="42"/>
  </w:num>
  <w:num w:numId="33">
    <w:abstractNumId w:val="16"/>
  </w:num>
  <w:num w:numId="34">
    <w:abstractNumId w:val="24"/>
  </w:num>
  <w:num w:numId="35">
    <w:abstractNumId w:val="0"/>
  </w:num>
  <w:num w:numId="36">
    <w:abstractNumId w:val="1"/>
  </w:num>
  <w:num w:numId="37">
    <w:abstractNumId w:val="2"/>
  </w:num>
  <w:num w:numId="38">
    <w:abstractNumId w:val="3"/>
  </w:num>
  <w:num w:numId="39">
    <w:abstractNumId w:val="4"/>
  </w:num>
  <w:num w:numId="40">
    <w:abstractNumId w:val="9"/>
  </w:num>
  <w:num w:numId="41">
    <w:abstractNumId w:val="5"/>
  </w:num>
  <w:num w:numId="42">
    <w:abstractNumId w:val="6"/>
  </w:num>
  <w:num w:numId="43">
    <w:abstractNumId w:val="7"/>
  </w:num>
  <w:num w:numId="44">
    <w:abstractNumId w:val="8"/>
  </w:num>
  <w:num w:numId="45">
    <w:abstractNumId w:val="10"/>
  </w:num>
  <w:num w:numId="46">
    <w:abstractNumId w:val="26"/>
  </w:num>
  <w:num w:numId="47">
    <w:abstractNumId w:val="26"/>
  </w:num>
  <w:num w:numId="48">
    <w:abstractNumId w:val="22"/>
  </w:num>
  <w:num w:numId="49">
    <w:abstractNumId w:val="11"/>
  </w:num>
  <w:num w:numId="50">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131078" w:nlCheck="1" w:checkStyle="1"/>
  <w:activeWritingStyle w:appName="MSWord" w:lang="en-GB"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B3"/>
    <w:rsid w:val="000004A4"/>
    <w:rsid w:val="00000987"/>
    <w:rsid w:val="0000174D"/>
    <w:rsid w:val="00001BA8"/>
    <w:rsid w:val="0000264B"/>
    <w:rsid w:val="00003222"/>
    <w:rsid w:val="00003D8C"/>
    <w:rsid w:val="00004C64"/>
    <w:rsid w:val="00011A4B"/>
    <w:rsid w:val="00011EA3"/>
    <w:rsid w:val="0001298F"/>
    <w:rsid w:val="00012F0D"/>
    <w:rsid w:val="0001360B"/>
    <w:rsid w:val="00013A1B"/>
    <w:rsid w:val="00014731"/>
    <w:rsid w:val="0002021C"/>
    <w:rsid w:val="0002036A"/>
    <w:rsid w:val="000205FB"/>
    <w:rsid w:val="00020C9C"/>
    <w:rsid w:val="00021933"/>
    <w:rsid w:val="00021975"/>
    <w:rsid w:val="0002224C"/>
    <w:rsid w:val="000229EF"/>
    <w:rsid w:val="00023334"/>
    <w:rsid w:val="000234E7"/>
    <w:rsid w:val="00025032"/>
    <w:rsid w:val="000300D0"/>
    <w:rsid w:val="000307DC"/>
    <w:rsid w:val="00030D3B"/>
    <w:rsid w:val="000315E8"/>
    <w:rsid w:val="00031B91"/>
    <w:rsid w:val="000329B3"/>
    <w:rsid w:val="00032E03"/>
    <w:rsid w:val="00033E71"/>
    <w:rsid w:val="00037EC7"/>
    <w:rsid w:val="00042895"/>
    <w:rsid w:val="00043F74"/>
    <w:rsid w:val="000454A6"/>
    <w:rsid w:val="00045945"/>
    <w:rsid w:val="00045FBA"/>
    <w:rsid w:val="000460B6"/>
    <w:rsid w:val="00046572"/>
    <w:rsid w:val="0004684A"/>
    <w:rsid w:val="00046D88"/>
    <w:rsid w:val="00051D64"/>
    <w:rsid w:val="00052F37"/>
    <w:rsid w:val="000533E8"/>
    <w:rsid w:val="0005370B"/>
    <w:rsid w:val="000543E8"/>
    <w:rsid w:val="00057888"/>
    <w:rsid w:val="00061C18"/>
    <w:rsid w:val="000627E0"/>
    <w:rsid w:val="000641E2"/>
    <w:rsid w:val="000651DD"/>
    <w:rsid w:val="00065CC5"/>
    <w:rsid w:val="00067256"/>
    <w:rsid w:val="00071D92"/>
    <w:rsid w:val="0007242F"/>
    <w:rsid w:val="00073915"/>
    <w:rsid w:val="00074093"/>
    <w:rsid w:val="0007485A"/>
    <w:rsid w:val="00076050"/>
    <w:rsid w:val="000762BE"/>
    <w:rsid w:val="00080637"/>
    <w:rsid w:val="00080B09"/>
    <w:rsid w:val="0008142A"/>
    <w:rsid w:val="00081635"/>
    <w:rsid w:val="00081D5B"/>
    <w:rsid w:val="00085115"/>
    <w:rsid w:val="000901D4"/>
    <w:rsid w:val="0009050F"/>
    <w:rsid w:val="00090D4A"/>
    <w:rsid w:val="00090E7A"/>
    <w:rsid w:val="00091183"/>
    <w:rsid w:val="00093DF1"/>
    <w:rsid w:val="000946EA"/>
    <w:rsid w:val="000963DB"/>
    <w:rsid w:val="000A09A2"/>
    <w:rsid w:val="000A0A2C"/>
    <w:rsid w:val="000A0BEF"/>
    <w:rsid w:val="000A2B0C"/>
    <w:rsid w:val="000A4E64"/>
    <w:rsid w:val="000A6E66"/>
    <w:rsid w:val="000B5BD2"/>
    <w:rsid w:val="000B6562"/>
    <w:rsid w:val="000B7440"/>
    <w:rsid w:val="000C0515"/>
    <w:rsid w:val="000C0A32"/>
    <w:rsid w:val="000C0F41"/>
    <w:rsid w:val="000C19B5"/>
    <w:rsid w:val="000C1F8D"/>
    <w:rsid w:val="000C206E"/>
    <w:rsid w:val="000C3B0A"/>
    <w:rsid w:val="000C4D3E"/>
    <w:rsid w:val="000C52C9"/>
    <w:rsid w:val="000C5965"/>
    <w:rsid w:val="000C620E"/>
    <w:rsid w:val="000C6A70"/>
    <w:rsid w:val="000D06D0"/>
    <w:rsid w:val="000D07EB"/>
    <w:rsid w:val="000D0B8F"/>
    <w:rsid w:val="000D1BF4"/>
    <w:rsid w:val="000D2140"/>
    <w:rsid w:val="000D3EBE"/>
    <w:rsid w:val="000D4C7D"/>
    <w:rsid w:val="000D575F"/>
    <w:rsid w:val="000D6F7F"/>
    <w:rsid w:val="000D70FC"/>
    <w:rsid w:val="000E1388"/>
    <w:rsid w:val="000E4AEF"/>
    <w:rsid w:val="000E6BA6"/>
    <w:rsid w:val="000E70F0"/>
    <w:rsid w:val="000E772E"/>
    <w:rsid w:val="000E7A63"/>
    <w:rsid w:val="000F0B14"/>
    <w:rsid w:val="000F14BB"/>
    <w:rsid w:val="000F25E1"/>
    <w:rsid w:val="000F3620"/>
    <w:rsid w:val="000F4919"/>
    <w:rsid w:val="000F622C"/>
    <w:rsid w:val="000F735A"/>
    <w:rsid w:val="000F73BF"/>
    <w:rsid w:val="00103A41"/>
    <w:rsid w:val="00105290"/>
    <w:rsid w:val="0011085C"/>
    <w:rsid w:val="00113E19"/>
    <w:rsid w:val="00114A2B"/>
    <w:rsid w:val="00116048"/>
    <w:rsid w:val="00117FAC"/>
    <w:rsid w:val="00120AFB"/>
    <w:rsid w:val="0012100F"/>
    <w:rsid w:val="001220E4"/>
    <w:rsid w:val="00122130"/>
    <w:rsid w:val="001221FD"/>
    <w:rsid w:val="0012301D"/>
    <w:rsid w:val="00125D40"/>
    <w:rsid w:val="00125D90"/>
    <w:rsid w:val="00126DFF"/>
    <w:rsid w:val="00127576"/>
    <w:rsid w:val="00131EB8"/>
    <w:rsid w:val="00133AFC"/>
    <w:rsid w:val="001342D5"/>
    <w:rsid w:val="00134563"/>
    <w:rsid w:val="00135F13"/>
    <w:rsid w:val="001366D8"/>
    <w:rsid w:val="00136DFD"/>
    <w:rsid w:val="00137221"/>
    <w:rsid w:val="00137597"/>
    <w:rsid w:val="001375A8"/>
    <w:rsid w:val="00137DA2"/>
    <w:rsid w:val="0014125F"/>
    <w:rsid w:val="00141816"/>
    <w:rsid w:val="00141FD6"/>
    <w:rsid w:val="00146308"/>
    <w:rsid w:val="00146ADB"/>
    <w:rsid w:val="00147E69"/>
    <w:rsid w:val="00150880"/>
    <w:rsid w:val="00150920"/>
    <w:rsid w:val="00150D43"/>
    <w:rsid w:val="00154918"/>
    <w:rsid w:val="00155072"/>
    <w:rsid w:val="001602FF"/>
    <w:rsid w:val="00161049"/>
    <w:rsid w:val="001618EE"/>
    <w:rsid w:val="0016193A"/>
    <w:rsid w:val="001619D0"/>
    <w:rsid w:val="00163F66"/>
    <w:rsid w:val="001645C4"/>
    <w:rsid w:val="00165A41"/>
    <w:rsid w:val="001679B3"/>
    <w:rsid w:val="00167CDA"/>
    <w:rsid w:val="001710CC"/>
    <w:rsid w:val="001712CF"/>
    <w:rsid w:val="00171EE4"/>
    <w:rsid w:val="00172436"/>
    <w:rsid w:val="00174E24"/>
    <w:rsid w:val="00175805"/>
    <w:rsid w:val="001768D4"/>
    <w:rsid w:val="00177FBA"/>
    <w:rsid w:val="001839BA"/>
    <w:rsid w:val="00184821"/>
    <w:rsid w:val="0018578E"/>
    <w:rsid w:val="00186029"/>
    <w:rsid w:val="00186390"/>
    <w:rsid w:val="001870EA"/>
    <w:rsid w:val="00190F11"/>
    <w:rsid w:val="001922D9"/>
    <w:rsid w:val="0019235F"/>
    <w:rsid w:val="001928CA"/>
    <w:rsid w:val="0019413C"/>
    <w:rsid w:val="00196593"/>
    <w:rsid w:val="00196679"/>
    <w:rsid w:val="0019773E"/>
    <w:rsid w:val="00197FD2"/>
    <w:rsid w:val="001A0DC6"/>
    <w:rsid w:val="001A0E9B"/>
    <w:rsid w:val="001A4C00"/>
    <w:rsid w:val="001A72C7"/>
    <w:rsid w:val="001B03FC"/>
    <w:rsid w:val="001B2187"/>
    <w:rsid w:val="001B4308"/>
    <w:rsid w:val="001B4C98"/>
    <w:rsid w:val="001C20C9"/>
    <w:rsid w:val="001C558B"/>
    <w:rsid w:val="001C5E29"/>
    <w:rsid w:val="001C6068"/>
    <w:rsid w:val="001C64D9"/>
    <w:rsid w:val="001C6DB0"/>
    <w:rsid w:val="001D0299"/>
    <w:rsid w:val="001D1589"/>
    <w:rsid w:val="001D2248"/>
    <w:rsid w:val="001D2331"/>
    <w:rsid w:val="001D256E"/>
    <w:rsid w:val="001D28CD"/>
    <w:rsid w:val="001D2C7F"/>
    <w:rsid w:val="001D4465"/>
    <w:rsid w:val="001D554B"/>
    <w:rsid w:val="001D64AF"/>
    <w:rsid w:val="001D7BEA"/>
    <w:rsid w:val="001E1E1A"/>
    <w:rsid w:val="001E2DC1"/>
    <w:rsid w:val="001E34B8"/>
    <w:rsid w:val="001E508C"/>
    <w:rsid w:val="001E6656"/>
    <w:rsid w:val="001E79A7"/>
    <w:rsid w:val="001F18B5"/>
    <w:rsid w:val="001F3153"/>
    <w:rsid w:val="001F39BE"/>
    <w:rsid w:val="001F4BD9"/>
    <w:rsid w:val="001F4DA9"/>
    <w:rsid w:val="001F7522"/>
    <w:rsid w:val="001F7C4B"/>
    <w:rsid w:val="00200502"/>
    <w:rsid w:val="00201CC6"/>
    <w:rsid w:val="00203016"/>
    <w:rsid w:val="00205CE5"/>
    <w:rsid w:val="00206EE7"/>
    <w:rsid w:val="00210F81"/>
    <w:rsid w:val="002130E4"/>
    <w:rsid w:val="00213FFD"/>
    <w:rsid w:val="00214184"/>
    <w:rsid w:val="0021449E"/>
    <w:rsid w:val="002164AA"/>
    <w:rsid w:val="002169BB"/>
    <w:rsid w:val="00217C20"/>
    <w:rsid w:val="0022074E"/>
    <w:rsid w:val="00221792"/>
    <w:rsid w:val="00221B33"/>
    <w:rsid w:val="0022213D"/>
    <w:rsid w:val="002228C9"/>
    <w:rsid w:val="00223361"/>
    <w:rsid w:val="00226FBD"/>
    <w:rsid w:val="0022766C"/>
    <w:rsid w:val="002302F5"/>
    <w:rsid w:val="002309CE"/>
    <w:rsid w:val="00231637"/>
    <w:rsid w:val="002317AA"/>
    <w:rsid w:val="00231A98"/>
    <w:rsid w:val="0023236A"/>
    <w:rsid w:val="0023520B"/>
    <w:rsid w:val="00235639"/>
    <w:rsid w:val="002367EB"/>
    <w:rsid w:val="0023682A"/>
    <w:rsid w:val="00243813"/>
    <w:rsid w:val="00243C8B"/>
    <w:rsid w:val="00243F05"/>
    <w:rsid w:val="00244B8A"/>
    <w:rsid w:val="00245E31"/>
    <w:rsid w:val="002467C3"/>
    <w:rsid w:val="00247967"/>
    <w:rsid w:val="0025012C"/>
    <w:rsid w:val="00252C4A"/>
    <w:rsid w:val="0025460E"/>
    <w:rsid w:val="00255F86"/>
    <w:rsid w:val="00256879"/>
    <w:rsid w:val="00256DD4"/>
    <w:rsid w:val="002572BD"/>
    <w:rsid w:val="002574D1"/>
    <w:rsid w:val="00262565"/>
    <w:rsid w:val="00263896"/>
    <w:rsid w:val="002639D8"/>
    <w:rsid w:val="00263FEE"/>
    <w:rsid w:val="00265618"/>
    <w:rsid w:val="0027189A"/>
    <w:rsid w:val="00271BA6"/>
    <w:rsid w:val="0027394E"/>
    <w:rsid w:val="0027416C"/>
    <w:rsid w:val="002771F1"/>
    <w:rsid w:val="0027770B"/>
    <w:rsid w:val="00277DA3"/>
    <w:rsid w:val="00277DA8"/>
    <w:rsid w:val="00280347"/>
    <w:rsid w:val="002803E0"/>
    <w:rsid w:val="00280C2B"/>
    <w:rsid w:val="00282C95"/>
    <w:rsid w:val="002848CD"/>
    <w:rsid w:val="00284ACA"/>
    <w:rsid w:val="00285AD7"/>
    <w:rsid w:val="002877DD"/>
    <w:rsid w:val="00287EDC"/>
    <w:rsid w:val="00290610"/>
    <w:rsid w:val="00291244"/>
    <w:rsid w:val="00291611"/>
    <w:rsid w:val="00291A10"/>
    <w:rsid w:val="0029284C"/>
    <w:rsid w:val="00294395"/>
    <w:rsid w:val="00295FBF"/>
    <w:rsid w:val="00296F53"/>
    <w:rsid w:val="002A0ED5"/>
    <w:rsid w:val="002A2447"/>
    <w:rsid w:val="002A5144"/>
    <w:rsid w:val="002A6015"/>
    <w:rsid w:val="002A625E"/>
    <w:rsid w:val="002B1FE9"/>
    <w:rsid w:val="002B36BE"/>
    <w:rsid w:val="002B47EC"/>
    <w:rsid w:val="002B574D"/>
    <w:rsid w:val="002B6F9C"/>
    <w:rsid w:val="002B7D70"/>
    <w:rsid w:val="002C024D"/>
    <w:rsid w:val="002C0377"/>
    <w:rsid w:val="002C1E80"/>
    <w:rsid w:val="002C1EBE"/>
    <w:rsid w:val="002C27AD"/>
    <w:rsid w:val="002C2D0C"/>
    <w:rsid w:val="002C3B36"/>
    <w:rsid w:val="002C3F00"/>
    <w:rsid w:val="002C6758"/>
    <w:rsid w:val="002C6CED"/>
    <w:rsid w:val="002C6D67"/>
    <w:rsid w:val="002D0639"/>
    <w:rsid w:val="002D14BA"/>
    <w:rsid w:val="002D4A72"/>
    <w:rsid w:val="002D626E"/>
    <w:rsid w:val="002D6F7A"/>
    <w:rsid w:val="002E01A6"/>
    <w:rsid w:val="002E024A"/>
    <w:rsid w:val="002E19FD"/>
    <w:rsid w:val="002E1A28"/>
    <w:rsid w:val="002E3191"/>
    <w:rsid w:val="002E444F"/>
    <w:rsid w:val="002E5175"/>
    <w:rsid w:val="002E708B"/>
    <w:rsid w:val="002E7A62"/>
    <w:rsid w:val="002F02D1"/>
    <w:rsid w:val="002F0F47"/>
    <w:rsid w:val="002F1B52"/>
    <w:rsid w:val="002F45D1"/>
    <w:rsid w:val="002F48F2"/>
    <w:rsid w:val="002F5B4B"/>
    <w:rsid w:val="00300007"/>
    <w:rsid w:val="00300AAB"/>
    <w:rsid w:val="003018F2"/>
    <w:rsid w:val="00301CF2"/>
    <w:rsid w:val="00304C14"/>
    <w:rsid w:val="00306438"/>
    <w:rsid w:val="003074D6"/>
    <w:rsid w:val="00307BB3"/>
    <w:rsid w:val="00310266"/>
    <w:rsid w:val="0031040E"/>
    <w:rsid w:val="00311065"/>
    <w:rsid w:val="00311495"/>
    <w:rsid w:val="003116BB"/>
    <w:rsid w:val="00311AF9"/>
    <w:rsid w:val="003127EF"/>
    <w:rsid w:val="00312C2D"/>
    <w:rsid w:val="00312E64"/>
    <w:rsid w:val="00313B79"/>
    <w:rsid w:val="00314163"/>
    <w:rsid w:val="0031446C"/>
    <w:rsid w:val="0031449D"/>
    <w:rsid w:val="00314AAD"/>
    <w:rsid w:val="0031520F"/>
    <w:rsid w:val="00316387"/>
    <w:rsid w:val="0031762B"/>
    <w:rsid w:val="003179B0"/>
    <w:rsid w:val="00322FC5"/>
    <w:rsid w:val="00323734"/>
    <w:rsid w:val="00325A26"/>
    <w:rsid w:val="00325F57"/>
    <w:rsid w:val="003263BE"/>
    <w:rsid w:val="003270B6"/>
    <w:rsid w:val="00327A92"/>
    <w:rsid w:val="003320E4"/>
    <w:rsid w:val="00333505"/>
    <w:rsid w:val="00334074"/>
    <w:rsid w:val="00335C92"/>
    <w:rsid w:val="00336D07"/>
    <w:rsid w:val="00340F0A"/>
    <w:rsid w:val="003412A2"/>
    <w:rsid w:val="00341962"/>
    <w:rsid w:val="00341F1A"/>
    <w:rsid w:val="003421D8"/>
    <w:rsid w:val="00342C09"/>
    <w:rsid w:val="00343985"/>
    <w:rsid w:val="00344D8E"/>
    <w:rsid w:val="00344F40"/>
    <w:rsid w:val="003456BC"/>
    <w:rsid w:val="00346B52"/>
    <w:rsid w:val="00346FF7"/>
    <w:rsid w:val="0034737E"/>
    <w:rsid w:val="0034753D"/>
    <w:rsid w:val="00347E8D"/>
    <w:rsid w:val="00351DB1"/>
    <w:rsid w:val="003527B3"/>
    <w:rsid w:val="0035359E"/>
    <w:rsid w:val="003546B3"/>
    <w:rsid w:val="00354EE2"/>
    <w:rsid w:val="00355948"/>
    <w:rsid w:val="00355E98"/>
    <w:rsid w:val="00360C12"/>
    <w:rsid w:val="00361ABB"/>
    <w:rsid w:val="00361FAF"/>
    <w:rsid w:val="00362699"/>
    <w:rsid w:val="00363733"/>
    <w:rsid w:val="003658B0"/>
    <w:rsid w:val="0036733B"/>
    <w:rsid w:val="00367741"/>
    <w:rsid w:val="003726DA"/>
    <w:rsid w:val="00372BA7"/>
    <w:rsid w:val="0037582F"/>
    <w:rsid w:val="0037617D"/>
    <w:rsid w:val="0037661B"/>
    <w:rsid w:val="00380728"/>
    <w:rsid w:val="003813E5"/>
    <w:rsid w:val="00381925"/>
    <w:rsid w:val="00382B1B"/>
    <w:rsid w:val="00382D02"/>
    <w:rsid w:val="00384B5D"/>
    <w:rsid w:val="0039023F"/>
    <w:rsid w:val="003917A5"/>
    <w:rsid w:val="0039226F"/>
    <w:rsid w:val="0039245A"/>
    <w:rsid w:val="00393DC8"/>
    <w:rsid w:val="003945E8"/>
    <w:rsid w:val="00394C5D"/>
    <w:rsid w:val="00395E33"/>
    <w:rsid w:val="00396244"/>
    <w:rsid w:val="003968A6"/>
    <w:rsid w:val="003A0E26"/>
    <w:rsid w:val="003A1BB4"/>
    <w:rsid w:val="003A36AA"/>
    <w:rsid w:val="003A371E"/>
    <w:rsid w:val="003A3DE5"/>
    <w:rsid w:val="003A45C2"/>
    <w:rsid w:val="003A4B24"/>
    <w:rsid w:val="003A54D5"/>
    <w:rsid w:val="003A5EDE"/>
    <w:rsid w:val="003B261F"/>
    <w:rsid w:val="003B2B46"/>
    <w:rsid w:val="003B3C2A"/>
    <w:rsid w:val="003B4753"/>
    <w:rsid w:val="003B4A83"/>
    <w:rsid w:val="003B592E"/>
    <w:rsid w:val="003B6101"/>
    <w:rsid w:val="003B64CD"/>
    <w:rsid w:val="003B68BC"/>
    <w:rsid w:val="003B74EF"/>
    <w:rsid w:val="003B785F"/>
    <w:rsid w:val="003C07F6"/>
    <w:rsid w:val="003C0E86"/>
    <w:rsid w:val="003C1021"/>
    <w:rsid w:val="003C1208"/>
    <w:rsid w:val="003C13D9"/>
    <w:rsid w:val="003C429A"/>
    <w:rsid w:val="003C5120"/>
    <w:rsid w:val="003C60F9"/>
    <w:rsid w:val="003C7BDA"/>
    <w:rsid w:val="003D0CEF"/>
    <w:rsid w:val="003D0E9A"/>
    <w:rsid w:val="003D1FD1"/>
    <w:rsid w:val="003D234C"/>
    <w:rsid w:val="003D33F2"/>
    <w:rsid w:val="003D4A4C"/>
    <w:rsid w:val="003D619C"/>
    <w:rsid w:val="003D69BA"/>
    <w:rsid w:val="003D7819"/>
    <w:rsid w:val="003E019E"/>
    <w:rsid w:val="003E1B28"/>
    <w:rsid w:val="003E1D3B"/>
    <w:rsid w:val="003E31F9"/>
    <w:rsid w:val="003E4233"/>
    <w:rsid w:val="003E4755"/>
    <w:rsid w:val="003E590F"/>
    <w:rsid w:val="003E631A"/>
    <w:rsid w:val="003E6DE8"/>
    <w:rsid w:val="003F0407"/>
    <w:rsid w:val="003F1639"/>
    <w:rsid w:val="003F22C2"/>
    <w:rsid w:val="003F2643"/>
    <w:rsid w:val="003F3880"/>
    <w:rsid w:val="003F3C46"/>
    <w:rsid w:val="003F4E05"/>
    <w:rsid w:val="003F671F"/>
    <w:rsid w:val="003F6D06"/>
    <w:rsid w:val="00400C67"/>
    <w:rsid w:val="00400DE8"/>
    <w:rsid w:val="0040497D"/>
    <w:rsid w:val="004049AC"/>
    <w:rsid w:val="004053D9"/>
    <w:rsid w:val="0040750D"/>
    <w:rsid w:val="00407872"/>
    <w:rsid w:val="00407E97"/>
    <w:rsid w:val="00410584"/>
    <w:rsid w:val="00410C6F"/>
    <w:rsid w:val="00412532"/>
    <w:rsid w:val="004130E0"/>
    <w:rsid w:val="00413199"/>
    <w:rsid w:val="00415198"/>
    <w:rsid w:val="004201B4"/>
    <w:rsid w:val="00420839"/>
    <w:rsid w:val="004208C6"/>
    <w:rsid w:val="0042171F"/>
    <w:rsid w:val="00421BC4"/>
    <w:rsid w:val="004220AD"/>
    <w:rsid w:val="00422243"/>
    <w:rsid w:val="00423EE1"/>
    <w:rsid w:val="004306A0"/>
    <w:rsid w:val="00430AA0"/>
    <w:rsid w:val="00430E20"/>
    <w:rsid w:val="0043178C"/>
    <w:rsid w:val="00431A4F"/>
    <w:rsid w:val="0043204B"/>
    <w:rsid w:val="00433054"/>
    <w:rsid w:val="00433B90"/>
    <w:rsid w:val="00434DCE"/>
    <w:rsid w:val="00434F26"/>
    <w:rsid w:val="004354DC"/>
    <w:rsid w:val="00436F97"/>
    <w:rsid w:val="00437AC4"/>
    <w:rsid w:val="004405A5"/>
    <w:rsid w:val="004454FA"/>
    <w:rsid w:val="00445921"/>
    <w:rsid w:val="0044623C"/>
    <w:rsid w:val="00446245"/>
    <w:rsid w:val="0045148C"/>
    <w:rsid w:val="00452CB4"/>
    <w:rsid w:val="00453D99"/>
    <w:rsid w:val="00454026"/>
    <w:rsid w:val="00455432"/>
    <w:rsid w:val="00455530"/>
    <w:rsid w:val="00456B79"/>
    <w:rsid w:val="00457155"/>
    <w:rsid w:val="00457990"/>
    <w:rsid w:val="00457CC2"/>
    <w:rsid w:val="00460790"/>
    <w:rsid w:val="00460E3A"/>
    <w:rsid w:val="00461107"/>
    <w:rsid w:val="004611D3"/>
    <w:rsid w:val="0046259B"/>
    <w:rsid w:val="00462DF3"/>
    <w:rsid w:val="00464662"/>
    <w:rsid w:val="004653D5"/>
    <w:rsid w:val="004655E5"/>
    <w:rsid w:val="00466036"/>
    <w:rsid w:val="00466279"/>
    <w:rsid w:val="004663A5"/>
    <w:rsid w:val="00466446"/>
    <w:rsid w:val="00470126"/>
    <w:rsid w:val="00472276"/>
    <w:rsid w:val="00474927"/>
    <w:rsid w:val="00475075"/>
    <w:rsid w:val="0047507A"/>
    <w:rsid w:val="00475539"/>
    <w:rsid w:val="004766F1"/>
    <w:rsid w:val="00477092"/>
    <w:rsid w:val="00483D3E"/>
    <w:rsid w:val="00484365"/>
    <w:rsid w:val="00484E15"/>
    <w:rsid w:val="0048723C"/>
    <w:rsid w:val="004911A9"/>
    <w:rsid w:val="00493349"/>
    <w:rsid w:val="00493B31"/>
    <w:rsid w:val="00495541"/>
    <w:rsid w:val="00496839"/>
    <w:rsid w:val="00497CA7"/>
    <w:rsid w:val="00497F25"/>
    <w:rsid w:val="004A006E"/>
    <w:rsid w:val="004A0380"/>
    <w:rsid w:val="004A1635"/>
    <w:rsid w:val="004A1737"/>
    <w:rsid w:val="004A4143"/>
    <w:rsid w:val="004A45E6"/>
    <w:rsid w:val="004A56B3"/>
    <w:rsid w:val="004A70E5"/>
    <w:rsid w:val="004B0C90"/>
    <w:rsid w:val="004B4710"/>
    <w:rsid w:val="004B59A1"/>
    <w:rsid w:val="004B63D8"/>
    <w:rsid w:val="004C0DEA"/>
    <w:rsid w:val="004C2328"/>
    <w:rsid w:val="004C2927"/>
    <w:rsid w:val="004C2C81"/>
    <w:rsid w:val="004C4C55"/>
    <w:rsid w:val="004C5D99"/>
    <w:rsid w:val="004D4B6E"/>
    <w:rsid w:val="004D4BDD"/>
    <w:rsid w:val="004D5270"/>
    <w:rsid w:val="004D5FF0"/>
    <w:rsid w:val="004D6AE5"/>
    <w:rsid w:val="004E109C"/>
    <w:rsid w:val="004E31EB"/>
    <w:rsid w:val="004E3474"/>
    <w:rsid w:val="004E72A2"/>
    <w:rsid w:val="004E7558"/>
    <w:rsid w:val="004E79ED"/>
    <w:rsid w:val="004F0691"/>
    <w:rsid w:val="004F0693"/>
    <w:rsid w:val="004F167A"/>
    <w:rsid w:val="004F20EA"/>
    <w:rsid w:val="004F2E22"/>
    <w:rsid w:val="004F3864"/>
    <w:rsid w:val="004F3D0B"/>
    <w:rsid w:val="004F432D"/>
    <w:rsid w:val="004F442A"/>
    <w:rsid w:val="004F4885"/>
    <w:rsid w:val="004F5B41"/>
    <w:rsid w:val="004F677F"/>
    <w:rsid w:val="004F745E"/>
    <w:rsid w:val="00500116"/>
    <w:rsid w:val="00500A35"/>
    <w:rsid w:val="0050150B"/>
    <w:rsid w:val="00502913"/>
    <w:rsid w:val="0050320D"/>
    <w:rsid w:val="005048DB"/>
    <w:rsid w:val="0050670C"/>
    <w:rsid w:val="00507AF5"/>
    <w:rsid w:val="005101D0"/>
    <w:rsid w:val="005105F1"/>
    <w:rsid w:val="005109B3"/>
    <w:rsid w:val="00511098"/>
    <w:rsid w:val="00511750"/>
    <w:rsid w:val="0051177D"/>
    <w:rsid w:val="00512195"/>
    <w:rsid w:val="0051467C"/>
    <w:rsid w:val="005158D8"/>
    <w:rsid w:val="005162D0"/>
    <w:rsid w:val="005163DA"/>
    <w:rsid w:val="00516876"/>
    <w:rsid w:val="0051693D"/>
    <w:rsid w:val="00520E98"/>
    <w:rsid w:val="00523F1F"/>
    <w:rsid w:val="00531820"/>
    <w:rsid w:val="005322AD"/>
    <w:rsid w:val="00532E46"/>
    <w:rsid w:val="00533A6A"/>
    <w:rsid w:val="0053486E"/>
    <w:rsid w:val="005353E8"/>
    <w:rsid w:val="00535DFD"/>
    <w:rsid w:val="00535F8B"/>
    <w:rsid w:val="0054113D"/>
    <w:rsid w:val="00541C9D"/>
    <w:rsid w:val="00542107"/>
    <w:rsid w:val="0054266B"/>
    <w:rsid w:val="005430C4"/>
    <w:rsid w:val="00543B16"/>
    <w:rsid w:val="005444E9"/>
    <w:rsid w:val="00544A21"/>
    <w:rsid w:val="00544B46"/>
    <w:rsid w:val="0054549A"/>
    <w:rsid w:val="005454D5"/>
    <w:rsid w:val="005457D0"/>
    <w:rsid w:val="00545ACD"/>
    <w:rsid w:val="005473F8"/>
    <w:rsid w:val="00550D90"/>
    <w:rsid w:val="00551869"/>
    <w:rsid w:val="00551891"/>
    <w:rsid w:val="0055404D"/>
    <w:rsid w:val="0055644D"/>
    <w:rsid w:val="00560DA9"/>
    <w:rsid w:val="005624E6"/>
    <w:rsid w:val="00564594"/>
    <w:rsid w:val="00564B15"/>
    <w:rsid w:val="00565C83"/>
    <w:rsid w:val="00565D60"/>
    <w:rsid w:val="00566A4A"/>
    <w:rsid w:val="005711B7"/>
    <w:rsid w:val="00575490"/>
    <w:rsid w:val="0057662D"/>
    <w:rsid w:val="005769D6"/>
    <w:rsid w:val="00576D34"/>
    <w:rsid w:val="00576F9C"/>
    <w:rsid w:val="00577E4D"/>
    <w:rsid w:val="005835F3"/>
    <w:rsid w:val="00584AEE"/>
    <w:rsid w:val="0058541D"/>
    <w:rsid w:val="00586CBE"/>
    <w:rsid w:val="00587F85"/>
    <w:rsid w:val="0059186C"/>
    <w:rsid w:val="00593E2F"/>
    <w:rsid w:val="00594A83"/>
    <w:rsid w:val="005A068D"/>
    <w:rsid w:val="005A0F0B"/>
    <w:rsid w:val="005A10FC"/>
    <w:rsid w:val="005A1A92"/>
    <w:rsid w:val="005A1F8A"/>
    <w:rsid w:val="005A37DE"/>
    <w:rsid w:val="005A4A1C"/>
    <w:rsid w:val="005A5F4C"/>
    <w:rsid w:val="005B0A39"/>
    <w:rsid w:val="005B0C06"/>
    <w:rsid w:val="005B125B"/>
    <w:rsid w:val="005B1D2A"/>
    <w:rsid w:val="005B2D54"/>
    <w:rsid w:val="005B440C"/>
    <w:rsid w:val="005B4662"/>
    <w:rsid w:val="005B4D53"/>
    <w:rsid w:val="005B5EA6"/>
    <w:rsid w:val="005C0522"/>
    <w:rsid w:val="005C167A"/>
    <w:rsid w:val="005C3779"/>
    <w:rsid w:val="005C4638"/>
    <w:rsid w:val="005C56B2"/>
    <w:rsid w:val="005C6473"/>
    <w:rsid w:val="005C74F7"/>
    <w:rsid w:val="005D6323"/>
    <w:rsid w:val="005D6974"/>
    <w:rsid w:val="005E0B6F"/>
    <w:rsid w:val="005E4829"/>
    <w:rsid w:val="005E5472"/>
    <w:rsid w:val="005E5A35"/>
    <w:rsid w:val="005E60EB"/>
    <w:rsid w:val="005E61DE"/>
    <w:rsid w:val="005F0115"/>
    <w:rsid w:val="005F122D"/>
    <w:rsid w:val="005F2732"/>
    <w:rsid w:val="005F27D7"/>
    <w:rsid w:val="005F2AED"/>
    <w:rsid w:val="005F32EC"/>
    <w:rsid w:val="005F45F6"/>
    <w:rsid w:val="005F4620"/>
    <w:rsid w:val="005F5120"/>
    <w:rsid w:val="005F5D89"/>
    <w:rsid w:val="005F6D02"/>
    <w:rsid w:val="00600758"/>
    <w:rsid w:val="0060272D"/>
    <w:rsid w:val="00602ECD"/>
    <w:rsid w:val="006070B8"/>
    <w:rsid w:val="00607979"/>
    <w:rsid w:val="00610743"/>
    <w:rsid w:val="00610F48"/>
    <w:rsid w:val="00612CFE"/>
    <w:rsid w:val="0061522E"/>
    <w:rsid w:val="00616C14"/>
    <w:rsid w:val="00617681"/>
    <w:rsid w:val="00620565"/>
    <w:rsid w:val="00620F15"/>
    <w:rsid w:val="0062145F"/>
    <w:rsid w:val="00621B8D"/>
    <w:rsid w:val="00622DC9"/>
    <w:rsid w:val="00623359"/>
    <w:rsid w:val="00624370"/>
    <w:rsid w:val="0062520B"/>
    <w:rsid w:val="0062725A"/>
    <w:rsid w:val="00627D3B"/>
    <w:rsid w:val="00631637"/>
    <w:rsid w:val="00631CA3"/>
    <w:rsid w:val="00631E7D"/>
    <w:rsid w:val="00632286"/>
    <w:rsid w:val="00634176"/>
    <w:rsid w:val="006348D4"/>
    <w:rsid w:val="00635666"/>
    <w:rsid w:val="00635B03"/>
    <w:rsid w:val="0063666A"/>
    <w:rsid w:val="006376C4"/>
    <w:rsid w:val="00640D1B"/>
    <w:rsid w:val="00641A82"/>
    <w:rsid w:val="00641AC3"/>
    <w:rsid w:val="00641BF7"/>
    <w:rsid w:val="00644F70"/>
    <w:rsid w:val="00647171"/>
    <w:rsid w:val="0064768A"/>
    <w:rsid w:val="00647C9D"/>
    <w:rsid w:val="0065397B"/>
    <w:rsid w:val="00653F91"/>
    <w:rsid w:val="00654E67"/>
    <w:rsid w:val="00654EF5"/>
    <w:rsid w:val="0065797C"/>
    <w:rsid w:val="00657E3C"/>
    <w:rsid w:val="00661C2F"/>
    <w:rsid w:val="006620CB"/>
    <w:rsid w:val="00670D4F"/>
    <w:rsid w:val="0067108F"/>
    <w:rsid w:val="00672F67"/>
    <w:rsid w:val="006735D0"/>
    <w:rsid w:val="00674CD3"/>
    <w:rsid w:val="00675D35"/>
    <w:rsid w:val="006800D8"/>
    <w:rsid w:val="0068065F"/>
    <w:rsid w:val="00680B41"/>
    <w:rsid w:val="00681145"/>
    <w:rsid w:val="00682B9D"/>
    <w:rsid w:val="006830B7"/>
    <w:rsid w:val="00684E04"/>
    <w:rsid w:val="00684E8F"/>
    <w:rsid w:val="00685193"/>
    <w:rsid w:val="006865B3"/>
    <w:rsid w:val="00687453"/>
    <w:rsid w:val="0069300B"/>
    <w:rsid w:val="0069312E"/>
    <w:rsid w:val="006932F9"/>
    <w:rsid w:val="006937B8"/>
    <w:rsid w:val="00694A9E"/>
    <w:rsid w:val="006951D5"/>
    <w:rsid w:val="00697518"/>
    <w:rsid w:val="006A1362"/>
    <w:rsid w:val="006A2A2F"/>
    <w:rsid w:val="006A2E0A"/>
    <w:rsid w:val="006A4348"/>
    <w:rsid w:val="006A52CD"/>
    <w:rsid w:val="006A6368"/>
    <w:rsid w:val="006A64C4"/>
    <w:rsid w:val="006A654A"/>
    <w:rsid w:val="006A7731"/>
    <w:rsid w:val="006B043F"/>
    <w:rsid w:val="006B1024"/>
    <w:rsid w:val="006B1C0B"/>
    <w:rsid w:val="006B1C1A"/>
    <w:rsid w:val="006B2D35"/>
    <w:rsid w:val="006B3B79"/>
    <w:rsid w:val="006B43A4"/>
    <w:rsid w:val="006B509C"/>
    <w:rsid w:val="006B59BE"/>
    <w:rsid w:val="006B65A5"/>
    <w:rsid w:val="006B6D9F"/>
    <w:rsid w:val="006B7E99"/>
    <w:rsid w:val="006C08AB"/>
    <w:rsid w:val="006C268E"/>
    <w:rsid w:val="006C3B97"/>
    <w:rsid w:val="006C53E1"/>
    <w:rsid w:val="006C75EB"/>
    <w:rsid w:val="006C7E33"/>
    <w:rsid w:val="006D04E3"/>
    <w:rsid w:val="006D11B0"/>
    <w:rsid w:val="006D1580"/>
    <w:rsid w:val="006D1CBF"/>
    <w:rsid w:val="006D56B6"/>
    <w:rsid w:val="006D779D"/>
    <w:rsid w:val="006E00E0"/>
    <w:rsid w:val="006E136A"/>
    <w:rsid w:val="006E3E73"/>
    <w:rsid w:val="006E5447"/>
    <w:rsid w:val="006E55EC"/>
    <w:rsid w:val="006E5CB0"/>
    <w:rsid w:val="006F0212"/>
    <w:rsid w:val="006F0DC8"/>
    <w:rsid w:val="006F1D30"/>
    <w:rsid w:val="006F272A"/>
    <w:rsid w:val="006F2B05"/>
    <w:rsid w:val="006F2B22"/>
    <w:rsid w:val="006F2E3F"/>
    <w:rsid w:val="006F31D1"/>
    <w:rsid w:val="006F3C72"/>
    <w:rsid w:val="006F4D30"/>
    <w:rsid w:val="006F6982"/>
    <w:rsid w:val="00701E3D"/>
    <w:rsid w:val="00703A2C"/>
    <w:rsid w:val="00705194"/>
    <w:rsid w:val="0070526E"/>
    <w:rsid w:val="0071060C"/>
    <w:rsid w:val="007110AC"/>
    <w:rsid w:val="00712F44"/>
    <w:rsid w:val="0071420D"/>
    <w:rsid w:val="00714BFF"/>
    <w:rsid w:val="00714E78"/>
    <w:rsid w:val="007206B8"/>
    <w:rsid w:val="00721F08"/>
    <w:rsid w:val="00721FE0"/>
    <w:rsid w:val="007220F4"/>
    <w:rsid w:val="0072245E"/>
    <w:rsid w:val="0072548A"/>
    <w:rsid w:val="00725636"/>
    <w:rsid w:val="007259BA"/>
    <w:rsid w:val="00731C29"/>
    <w:rsid w:val="007320F2"/>
    <w:rsid w:val="00735403"/>
    <w:rsid w:val="00741391"/>
    <w:rsid w:val="007415B8"/>
    <w:rsid w:val="00741B56"/>
    <w:rsid w:val="00742B43"/>
    <w:rsid w:val="0074324A"/>
    <w:rsid w:val="00743376"/>
    <w:rsid w:val="00744BA5"/>
    <w:rsid w:val="00745602"/>
    <w:rsid w:val="00745885"/>
    <w:rsid w:val="00751226"/>
    <w:rsid w:val="00752D09"/>
    <w:rsid w:val="0075320D"/>
    <w:rsid w:val="0075564A"/>
    <w:rsid w:val="00755D0F"/>
    <w:rsid w:val="00757668"/>
    <w:rsid w:val="00757CCA"/>
    <w:rsid w:val="007604F8"/>
    <w:rsid w:val="00760FA3"/>
    <w:rsid w:val="00762274"/>
    <w:rsid w:val="0076278B"/>
    <w:rsid w:val="00762839"/>
    <w:rsid w:val="007637A8"/>
    <w:rsid w:val="00765560"/>
    <w:rsid w:val="00770500"/>
    <w:rsid w:val="00770606"/>
    <w:rsid w:val="0077082D"/>
    <w:rsid w:val="00772EDC"/>
    <w:rsid w:val="00773AC8"/>
    <w:rsid w:val="00775030"/>
    <w:rsid w:val="007769B4"/>
    <w:rsid w:val="00780674"/>
    <w:rsid w:val="007807DC"/>
    <w:rsid w:val="00780C47"/>
    <w:rsid w:val="007814C2"/>
    <w:rsid w:val="007841EF"/>
    <w:rsid w:val="00785549"/>
    <w:rsid w:val="00787626"/>
    <w:rsid w:val="00790D99"/>
    <w:rsid w:val="007917DE"/>
    <w:rsid w:val="00791C3E"/>
    <w:rsid w:val="0079210D"/>
    <w:rsid w:val="00792911"/>
    <w:rsid w:val="0079316D"/>
    <w:rsid w:val="00796371"/>
    <w:rsid w:val="007965BB"/>
    <w:rsid w:val="007965E1"/>
    <w:rsid w:val="007A0827"/>
    <w:rsid w:val="007A3364"/>
    <w:rsid w:val="007A5C7A"/>
    <w:rsid w:val="007B0A07"/>
    <w:rsid w:val="007B153E"/>
    <w:rsid w:val="007B157E"/>
    <w:rsid w:val="007B175C"/>
    <w:rsid w:val="007B179F"/>
    <w:rsid w:val="007B336B"/>
    <w:rsid w:val="007B395B"/>
    <w:rsid w:val="007B4569"/>
    <w:rsid w:val="007B52AE"/>
    <w:rsid w:val="007B587C"/>
    <w:rsid w:val="007B5A64"/>
    <w:rsid w:val="007B6CE6"/>
    <w:rsid w:val="007B7285"/>
    <w:rsid w:val="007C0F8A"/>
    <w:rsid w:val="007C1F51"/>
    <w:rsid w:val="007C265A"/>
    <w:rsid w:val="007C2739"/>
    <w:rsid w:val="007C5A66"/>
    <w:rsid w:val="007C5AEA"/>
    <w:rsid w:val="007C70BD"/>
    <w:rsid w:val="007C7804"/>
    <w:rsid w:val="007C7E67"/>
    <w:rsid w:val="007D00FF"/>
    <w:rsid w:val="007D0BC0"/>
    <w:rsid w:val="007D138E"/>
    <w:rsid w:val="007D1F14"/>
    <w:rsid w:val="007D2F4D"/>
    <w:rsid w:val="007D6D5A"/>
    <w:rsid w:val="007D7C1E"/>
    <w:rsid w:val="007E0C7A"/>
    <w:rsid w:val="007E1AB4"/>
    <w:rsid w:val="007E2038"/>
    <w:rsid w:val="007E2AAC"/>
    <w:rsid w:val="007E574D"/>
    <w:rsid w:val="007E6179"/>
    <w:rsid w:val="007E7033"/>
    <w:rsid w:val="007E7202"/>
    <w:rsid w:val="007F0825"/>
    <w:rsid w:val="007F4A42"/>
    <w:rsid w:val="007F4D39"/>
    <w:rsid w:val="007F6FE7"/>
    <w:rsid w:val="00800994"/>
    <w:rsid w:val="008010DA"/>
    <w:rsid w:val="0080126B"/>
    <w:rsid w:val="008021FA"/>
    <w:rsid w:val="008029D8"/>
    <w:rsid w:val="00803082"/>
    <w:rsid w:val="008062A4"/>
    <w:rsid w:val="00807711"/>
    <w:rsid w:val="00807720"/>
    <w:rsid w:val="008102E6"/>
    <w:rsid w:val="008105DC"/>
    <w:rsid w:val="0081178D"/>
    <w:rsid w:val="00813540"/>
    <w:rsid w:val="00813D0F"/>
    <w:rsid w:val="0081455D"/>
    <w:rsid w:val="00814696"/>
    <w:rsid w:val="00816547"/>
    <w:rsid w:val="0081666F"/>
    <w:rsid w:val="00816D77"/>
    <w:rsid w:val="008174C3"/>
    <w:rsid w:val="008212BE"/>
    <w:rsid w:val="008216B4"/>
    <w:rsid w:val="00822CBA"/>
    <w:rsid w:val="00822EA7"/>
    <w:rsid w:val="0082329B"/>
    <w:rsid w:val="0082411C"/>
    <w:rsid w:val="00824DA5"/>
    <w:rsid w:val="00824E31"/>
    <w:rsid w:val="00824E51"/>
    <w:rsid w:val="00825421"/>
    <w:rsid w:val="00825587"/>
    <w:rsid w:val="00826BF5"/>
    <w:rsid w:val="0082761A"/>
    <w:rsid w:val="00827A25"/>
    <w:rsid w:val="00830E69"/>
    <w:rsid w:val="00831ACF"/>
    <w:rsid w:val="008331B8"/>
    <w:rsid w:val="00833ADA"/>
    <w:rsid w:val="008345A2"/>
    <w:rsid w:val="00835B33"/>
    <w:rsid w:val="00835BDC"/>
    <w:rsid w:val="008409C9"/>
    <w:rsid w:val="00840A83"/>
    <w:rsid w:val="00840AB4"/>
    <w:rsid w:val="00842502"/>
    <w:rsid w:val="00843B48"/>
    <w:rsid w:val="008446F5"/>
    <w:rsid w:val="0084496C"/>
    <w:rsid w:val="0084648C"/>
    <w:rsid w:val="00846842"/>
    <w:rsid w:val="0085166A"/>
    <w:rsid w:val="0085295B"/>
    <w:rsid w:val="008537E3"/>
    <w:rsid w:val="00854476"/>
    <w:rsid w:val="008573A7"/>
    <w:rsid w:val="008601CF"/>
    <w:rsid w:val="008604F3"/>
    <w:rsid w:val="00861DB8"/>
    <w:rsid w:val="00865375"/>
    <w:rsid w:val="0086724E"/>
    <w:rsid w:val="008706FE"/>
    <w:rsid w:val="00870805"/>
    <w:rsid w:val="00870F35"/>
    <w:rsid w:val="00871D96"/>
    <w:rsid w:val="00872D21"/>
    <w:rsid w:val="00873174"/>
    <w:rsid w:val="008734DC"/>
    <w:rsid w:val="008738CC"/>
    <w:rsid w:val="0087671B"/>
    <w:rsid w:val="00880CB8"/>
    <w:rsid w:val="008819ED"/>
    <w:rsid w:val="008837AF"/>
    <w:rsid w:val="008849C5"/>
    <w:rsid w:val="008865A5"/>
    <w:rsid w:val="00886608"/>
    <w:rsid w:val="008877D5"/>
    <w:rsid w:val="008901D1"/>
    <w:rsid w:val="00891D56"/>
    <w:rsid w:val="008938C0"/>
    <w:rsid w:val="008946DB"/>
    <w:rsid w:val="0089553A"/>
    <w:rsid w:val="00896748"/>
    <w:rsid w:val="008A0CFB"/>
    <w:rsid w:val="008A1204"/>
    <w:rsid w:val="008A2968"/>
    <w:rsid w:val="008A2E02"/>
    <w:rsid w:val="008A3F21"/>
    <w:rsid w:val="008A5FA1"/>
    <w:rsid w:val="008A5FAE"/>
    <w:rsid w:val="008A79E8"/>
    <w:rsid w:val="008B2026"/>
    <w:rsid w:val="008B2900"/>
    <w:rsid w:val="008B2DE8"/>
    <w:rsid w:val="008B43DB"/>
    <w:rsid w:val="008B578E"/>
    <w:rsid w:val="008B5B2E"/>
    <w:rsid w:val="008B744B"/>
    <w:rsid w:val="008B7566"/>
    <w:rsid w:val="008C03F1"/>
    <w:rsid w:val="008C0AD5"/>
    <w:rsid w:val="008C2CE4"/>
    <w:rsid w:val="008C2FC5"/>
    <w:rsid w:val="008C75AD"/>
    <w:rsid w:val="008D0A48"/>
    <w:rsid w:val="008D1B59"/>
    <w:rsid w:val="008D1E7B"/>
    <w:rsid w:val="008D2399"/>
    <w:rsid w:val="008D25B4"/>
    <w:rsid w:val="008D73C0"/>
    <w:rsid w:val="008D77F8"/>
    <w:rsid w:val="008E0D96"/>
    <w:rsid w:val="008E104D"/>
    <w:rsid w:val="008E21E9"/>
    <w:rsid w:val="008E3691"/>
    <w:rsid w:val="008E6160"/>
    <w:rsid w:val="008E7268"/>
    <w:rsid w:val="008F0DA5"/>
    <w:rsid w:val="008F1D00"/>
    <w:rsid w:val="008F3646"/>
    <w:rsid w:val="008F4EC6"/>
    <w:rsid w:val="00902A03"/>
    <w:rsid w:val="00903A02"/>
    <w:rsid w:val="00904386"/>
    <w:rsid w:val="00904434"/>
    <w:rsid w:val="009045B6"/>
    <w:rsid w:val="00904CE0"/>
    <w:rsid w:val="0090637F"/>
    <w:rsid w:val="009066C9"/>
    <w:rsid w:val="00907072"/>
    <w:rsid w:val="009072D3"/>
    <w:rsid w:val="00907B45"/>
    <w:rsid w:val="00911D54"/>
    <w:rsid w:val="009122E8"/>
    <w:rsid w:val="009126BA"/>
    <w:rsid w:val="0091497F"/>
    <w:rsid w:val="00914C4A"/>
    <w:rsid w:val="00914E7F"/>
    <w:rsid w:val="00915B43"/>
    <w:rsid w:val="0091695E"/>
    <w:rsid w:val="00916E2D"/>
    <w:rsid w:val="009172EA"/>
    <w:rsid w:val="00917F70"/>
    <w:rsid w:val="009207F4"/>
    <w:rsid w:val="00920EF3"/>
    <w:rsid w:val="00921800"/>
    <w:rsid w:val="009223F8"/>
    <w:rsid w:val="00922AB9"/>
    <w:rsid w:val="0092342E"/>
    <w:rsid w:val="00925647"/>
    <w:rsid w:val="00926C5D"/>
    <w:rsid w:val="00930295"/>
    <w:rsid w:val="009308EE"/>
    <w:rsid w:val="009344AF"/>
    <w:rsid w:val="00935C39"/>
    <w:rsid w:val="009375FD"/>
    <w:rsid w:val="00940B84"/>
    <w:rsid w:val="009435EA"/>
    <w:rsid w:val="00944B90"/>
    <w:rsid w:val="00947157"/>
    <w:rsid w:val="009508F1"/>
    <w:rsid w:val="00951300"/>
    <w:rsid w:val="00951876"/>
    <w:rsid w:val="00952631"/>
    <w:rsid w:val="00952B06"/>
    <w:rsid w:val="00952BD7"/>
    <w:rsid w:val="00953448"/>
    <w:rsid w:val="00953877"/>
    <w:rsid w:val="00953C17"/>
    <w:rsid w:val="0095782D"/>
    <w:rsid w:val="009626E6"/>
    <w:rsid w:val="0096283A"/>
    <w:rsid w:val="0096341E"/>
    <w:rsid w:val="009639EE"/>
    <w:rsid w:val="009674AF"/>
    <w:rsid w:val="009706EE"/>
    <w:rsid w:val="009708F2"/>
    <w:rsid w:val="009719F4"/>
    <w:rsid w:val="00971E38"/>
    <w:rsid w:val="009733D8"/>
    <w:rsid w:val="00974E76"/>
    <w:rsid w:val="0097703A"/>
    <w:rsid w:val="00981FBF"/>
    <w:rsid w:val="00982A16"/>
    <w:rsid w:val="00984CD3"/>
    <w:rsid w:val="00985381"/>
    <w:rsid w:val="00985BEB"/>
    <w:rsid w:val="00985DFA"/>
    <w:rsid w:val="00987D6D"/>
    <w:rsid w:val="00990D50"/>
    <w:rsid w:val="00991D60"/>
    <w:rsid w:val="009920C7"/>
    <w:rsid w:val="00992796"/>
    <w:rsid w:val="00992D17"/>
    <w:rsid w:val="009930AD"/>
    <w:rsid w:val="00993103"/>
    <w:rsid w:val="00993E50"/>
    <w:rsid w:val="0099468A"/>
    <w:rsid w:val="009950A4"/>
    <w:rsid w:val="009959A5"/>
    <w:rsid w:val="00996276"/>
    <w:rsid w:val="009962C6"/>
    <w:rsid w:val="00997E41"/>
    <w:rsid w:val="009A1189"/>
    <w:rsid w:val="009A1C12"/>
    <w:rsid w:val="009A2C45"/>
    <w:rsid w:val="009A3533"/>
    <w:rsid w:val="009A4566"/>
    <w:rsid w:val="009A4C60"/>
    <w:rsid w:val="009A5DE0"/>
    <w:rsid w:val="009A6447"/>
    <w:rsid w:val="009A68F7"/>
    <w:rsid w:val="009A6E7C"/>
    <w:rsid w:val="009B1F90"/>
    <w:rsid w:val="009B4B68"/>
    <w:rsid w:val="009B572A"/>
    <w:rsid w:val="009B688E"/>
    <w:rsid w:val="009B68DB"/>
    <w:rsid w:val="009C3684"/>
    <w:rsid w:val="009C3CCE"/>
    <w:rsid w:val="009C5A6D"/>
    <w:rsid w:val="009C7B07"/>
    <w:rsid w:val="009D05B2"/>
    <w:rsid w:val="009D0978"/>
    <w:rsid w:val="009D0D8E"/>
    <w:rsid w:val="009D174D"/>
    <w:rsid w:val="009D1EDD"/>
    <w:rsid w:val="009D37AB"/>
    <w:rsid w:val="009D4032"/>
    <w:rsid w:val="009D65AB"/>
    <w:rsid w:val="009D7E67"/>
    <w:rsid w:val="009E097C"/>
    <w:rsid w:val="009E0E90"/>
    <w:rsid w:val="009E2477"/>
    <w:rsid w:val="009E256F"/>
    <w:rsid w:val="009E3992"/>
    <w:rsid w:val="009E5638"/>
    <w:rsid w:val="009E65BD"/>
    <w:rsid w:val="009E74E1"/>
    <w:rsid w:val="009F0555"/>
    <w:rsid w:val="009F0663"/>
    <w:rsid w:val="009F0F4F"/>
    <w:rsid w:val="009F2D55"/>
    <w:rsid w:val="009F4188"/>
    <w:rsid w:val="009F4422"/>
    <w:rsid w:val="009F4EE8"/>
    <w:rsid w:val="009F5F1C"/>
    <w:rsid w:val="009F6418"/>
    <w:rsid w:val="009F64CE"/>
    <w:rsid w:val="009F71DD"/>
    <w:rsid w:val="00A016F9"/>
    <w:rsid w:val="00A018BD"/>
    <w:rsid w:val="00A0207E"/>
    <w:rsid w:val="00A043DE"/>
    <w:rsid w:val="00A04AE9"/>
    <w:rsid w:val="00A05223"/>
    <w:rsid w:val="00A074EA"/>
    <w:rsid w:val="00A1001B"/>
    <w:rsid w:val="00A10E31"/>
    <w:rsid w:val="00A12486"/>
    <w:rsid w:val="00A14978"/>
    <w:rsid w:val="00A14FD9"/>
    <w:rsid w:val="00A1509C"/>
    <w:rsid w:val="00A15A28"/>
    <w:rsid w:val="00A15E8A"/>
    <w:rsid w:val="00A1652C"/>
    <w:rsid w:val="00A1685B"/>
    <w:rsid w:val="00A16B20"/>
    <w:rsid w:val="00A20337"/>
    <w:rsid w:val="00A21AB8"/>
    <w:rsid w:val="00A22453"/>
    <w:rsid w:val="00A23C01"/>
    <w:rsid w:val="00A24C7B"/>
    <w:rsid w:val="00A25018"/>
    <w:rsid w:val="00A25C8F"/>
    <w:rsid w:val="00A26523"/>
    <w:rsid w:val="00A269E1"/>
    <w:rsid w:val="00A2712A"/>
    <w:rsid w:val="00A3353C"/>
    <w:rsid w:val="00A335D7"/>
    <w:rsid w:val="00A348B3"/>
    <w:rsid w:val="00A35575"/>
    <w:rsid w:val="00A35A4D"/>
    <w:rsid w:val="00A37782"/>
    <w:rsid w:val="00A42C28"/>
    <w:rsid w:val="00A43E91"/>
    <w:rsid w:val="00A44793"/>
    <w:rsid w:val="00A44EB4"/>
    <w:rsid w:val="00A45B1A"/>
    <w:rsid w:val="00A46020"/>
    <w:rsid w:val="00A468F5"/>
    <w:rsid w:val="00A46CDD"/>
    <w:rsid w:val="00A46DF0"/>
    <w:rsid w:val="00A46F62"/>
    <w:rsid w:val="00A47AD9"/>
    <w:rsid w:val="00A5321D"/>
    <w:rsid w:val="00A546EB"/>
    <w:rsid w:val="00A551CD"/>
    <w:rsid w:val="00A56A28"/>
    <w:rsid w:val="00A56E92"/>
    <w:rsid w:val="00A57B37"/>
    <w:rsid w:val="00A6237D"/>
    <w:rsid w:val="00A702C9"/>
    <w:rsid w:val="00A72909"/>
    <w:rsid w:val="00A743C7"/>
    <w:rsid w:val="00A74C45"/>
    <w:rsid w:val="00A76BF1"/>
    <w:rsid w:val="00A76E1D"/>
    <w:rsid w:val="00A775C4"/>
    <w:rsid w:val="00A778F3"/>
    <w:rsid w:val="00A7794A"/>
    <w:rsid w:val="00A77D9B"/>
    <w:rsid w:val="00A80E5B"/>
    <w:rsid w:val="00A813AC"/>
    <w:rsid w:val="00A81D08"/>
    <w:rsid w:val="00A838CE"/>
    <w:rsid w:val="00A83B27"/>
    <w:rsid w:val="00A86374"/>
    <w:rsid w:val="00A86E46"/>
    <w:rsid w:val="00A871E7"/>
    <w:rsid w:val="00A902A0"/>
    <w:rsid w:val="00A90FC1"/>
    <w:rsid w:val="00A91B63"/>
    <w:rsid w:val="00A93938"/>
    <w:rsid w:val="00A93C6B"/>
    <w:rsid w:val="00A95890"/>
    <w:rsid w:val="00A97009"/>
    <w:rsid w:val="00AA07B9"/>
    <w:rsid w:val="00AA0B4D"/>
    <w:rsid w:val="00AA449E"/>
    <w:rsid w:val="00AA52A6"/>
    <w:rsid w:val="00AA575E"/>
    <w:rsid w:val="00AA6706"/>
    <w:rsid w:val="00AB032D"/>
    <w:rsid w:val="00AB0A69"/>
    <w:rsid w:val="00AB17E8"/>
    <w:rsid w:val="00AB2888"/>
    <w:rsid w:val="00AB45A3"/>
    <w:rsid w:val="00AB4632"/>
    <w:rsid w:val="00AB7867"/>
    <w:rsid w:val="00AC0E98"/>
    <w:rsid w:val="00AC27C1"/>
    <w:rsid w:val="00AC5391"/>
    <w:rsid w:val="00AC55CB"/>
    <w:rsid w:val="00AC5A04"/>
    <w:rsid w:val="00AC6167"/>
    <w:rsid w:val="00AC61B3"/>
    <w:rsid w:val="00AD0654"/>
    <w:rsid w:val="00AD190B"/>
    <w:rsid w:val="00AD253C"/>
    <w:rsid w:val="00AD3DA7"/>
    <w:rsid w:val="00AD4399"/>
    <w:rsid w:val="00AD47F6"/>
    <w:rsid w:val="00AD4D2D"/>
    <w:rsid w:val="00AD50A3"/>
    <w:rsid w:val="00AD54EF"/>
    <w:rsid w:val="00AD72FF"/>
    <w:rsid w:val="00AD773C"/>
    <w:rsid w:val="00AE1763"/>
    <w:rsid w:val="00AE2969"/>
    <w:rsid w:val="00AE2B54"/>
    <w:rsid w:val="00AE3622"/>
    <w:rsid w:val="00AE3BB5"/>
    <w:rsid w:val="00AE5295"/>
    <w:rsid w:val="00AE7960"/>
    <w:rsid w:val="00AE7C9C"/>
    <w:rsid w:val="00AF0C26"/>
    <w:rsid w:val="00AF0C4F"/>
    <w:rsid w:val="00AF64B0"/>
    <w:rsid w:val="00AF7A97"/>
    <w:rsid w:val="00AF7BBE"/>
    <w:rsid w:val="00B0092E"/>
    <w:rsid w:val="00B022CD"/>
    <w:rsid w:val="00B02622"/>
    <w:rsid w:val="00B02693"/>
    <w:rsid w:val="00B036A1"/>
    <w:rsid w:val="00B03F7D"/>
    <w:rsid w:val="00B05789"/>
    <w:rsid w:val="00B078D7"/>
    <w:rsid w:val="00B110E3"/>
    <w:rsid w:val="00B11115"/>
    <w:rsid w:val="00B12A62"/>
    <w:rsid w:val="00B12B57"/>
    <w:rsid w:val="00B1446C"/>
    <w:rsid w:val="00B14491"/>
    <w:rsid w:val="00B15BFD"/>
    <w:rsid w:val="00B15C06"/>
    <w:rsid w:val="00B16C14"/>
    <w:rsid w:val="00B17281"/>
    <w:rsid w:val="00B17F92"/>
    <w:rsid w:val="00B20AD8"/>
    <w:rsid w:val="00B2306C"/>
    <w:rsid w:val="00B230D2"/>
    <w:rsid w:val="00B2367C"/>
    <w:rsid w:val="00B2385C"/>
    <w:rsid w:val="00B23A75"/>
    <w:rsid w:val="00B23C40"/>
    <w:rsid w:val="00B24E61"/>
    <w:rsid w:val="00B25BE2"/>
    <w:rsid w:val="00B27871"/>
    <w:rsid w:val="00B301EA"/>
    <w:rsid w:val="00B3142C"/>
    <w:rsid w:val="00B33819"/>
    <w:rsid w:val="00B338D2"/>
    <w:rsid w:val="00B33EE3"/>
    <w:rsid w:val="00B3586D"/>
    <w:rsid w:val="00B3647B"/>
    <w:rsid w:val="00B3670E"/>
    <w:rsid w:val="00B3675D"/>
    <w:rsid w:val="00B36AB3"/>
    <w:rsid w:val="00B40AF3"/>
    <w:rsid w:val="00B4146A"/>
    <w:rsid w:val="00B43564"/>
    <w:rsid w:val="00B43FBD"/>
    <w:rsid w:val="00B4499E"/>
    <w:rsid w:val="00B44FA2"/>
    <w:rsid w:val="00B45E96"/>
    <w:rsid w:val="00B467A4"/>
    <w:rsid w:val="00B47ABF"/>
    <w:rsid w:val="00B5101E"/>
    <w:rsid w:val="00B52FB2"/>
    <w:rsid w:val="00B54DA4"/>
    <w:rsid w:val="00B5596E"/>
    <w:rsid w:val="00B55F01"/>
    <w:rsid w:val="00B56725"/>
    <w:rsid w:val="00B56FE9"/>
    <w:rsid w:val="00B57096"/>
    <w:rsid w:val="00B61432"/>
    <w:rsid w:val="00B61DCB"/>
    <w:rsid w:val="00B631A9"/>
    <w:rsid w:val="00B6354E"/>
    <w:rsid w:val="00B6382F"/>
    <w:rsid w:val="00B6400C"/>
    <w:rsid w:val="00B640B0"/>
    <w:rsid w:val="00B64C09"/>
    <w:rsid w:val="00B668EE"/>
    <w:rsid w:val="00B70DAA"/>
    <w:rsid w:val="00B738A8"/>
    <w:rsid w:val="00B73D3F"/>
    <w:rsid w:val="00B7607B"/>
    <w:rsid w:val="00B765CF"/>
    <w:rsid w:val="00B76E0D"/>
    <w:rsid w:val="00B76FB3"/>
    <w:rsid w:val="00B770B2"/>
    <w:rsid w:val="00B777E7"/>
    <w:rsid w:val="00B77D47"/>
    <w:rsid w:val="00B8053E"/>
    <w:rsid w:val="00B81069"/>
    <w:rsid w:val="00B81C91"/>
    <w:rsid w:val="00B8219D"/>
    <w:rsid w:val="00B83298"/>
    <w:rsid w:val="00B83345"/>
    <w:rsid w:val="00B839D7"/>
    <w:rsid w:val="00B8447B"/>
    <w:rsid w:val="00B8521D"/>
    <w:rsid w:val="00B86710"/>
    <w:rsid w:val="00B86C8C"/>
    <w:rsid w:val="00B87669"/>
    <w:rsid w:val="00B87DA1"/>
    <w:rsid w:val="00B87DC2"/>
    <w:rsid w:val="00B90450"/>
    <w:rsid w:val="00B9047A"/>
    <w:rsid w:val="00B91462"/>
    <w:rsid w:val="00B92E15"/>
    <w:rsid w:val="00B93693"/>
    <w:rsid w:val="00B93796"/>
    <w:rsid w:val="00B93B7E"/>
    <w:rsid w:val="00B93DD6"/>
    <w:rsid w:val="00B94ABA"/>
    <w:rsid w:val="00B94C4A"/>
    <w:rsid w:val="00B96EE0"/>
    <w:rsid w:val="00B974C2"/>
    <w:rsid w:val="00BA0C84"/>
    <w:rsid w:val="00BA1F5F"/>
    <w:rsid w:val="00BA3453"/>
    <w:rsid w:val="00BA3513"/>
    <w:rsid w:val="00BA358E"/>
    <w:rsid w:val="00BA46DE"/>
    <w:rsid w:val="00BA5880"/>
    <w:rsid w:val="00BA6B5E"/>
    <w:rsid w:val="00BA6E6A"/>
    <w:rsid w:val="00BA71D8"/>
    <w:rsid w:val="00BA7ECF"/>
    <w:rsid w:val="00BB0048"/>
    <w:rsid w:val="00BB0F00"/>
    <w:rsid w:val="00BB0F2A"/>
    <w:rsid w:val="00BB1303"/>
    <w:rsid w:val="00BB2115"/>
    <w:rsid w:val="00BB35C5"/>
    <w:rsid w:val="00BB36DB"/>
    <w:rsid w:val="00BB38DE"/>
    <w:rsid w:val="00BB5AA0"/>
    <w:rsid w:val="00BB6973"/>
    <w:rsid w:val="00BB7A3C"/>
    <w:rsid w:val="00BC0362"/>
    <w:rsid w:val="00BC07D2"/>
    <w:rsid w:val="00BC0E4C"/>
    <w:rsid w:val="00BC1828"/>
    <w:rsid w:val="00BC19B7"/>
    <w:rsid w:val="00BC3FCC"/>
    <w:rsid w:val="00BC680C"/>
    <w:rsid w:val="00BC6A1A"/>
    <w:rsid w:val="00BC71F5"/>
    <w:rsid w:val="00BD01DE"/>
    <w:rsid w:val="00BD13C2"/>
    <w:rsid w:val="00BD219B"/>
    <w:rsid w:val="00BD4367"/>
    <w:rsid w:val="00BD4838"/>
    <w:rsid w:val="00BD6A0D"/>
    <w:rsid w:val="00BD6B92"/>
    <w:rsid w:val="00BD71C4"/>
    <w:rsid w:val="00BE085F"/>
    <w:rsid w:val="00BE0D41"/>
    <w:rsid w:val="00BE132B"/>
    <w:rsid w:val="00BE1A1E"/>
    <w:rsid w:val="00BE2D4C"/>
    <w:rsid w:val="00BE3EAD"/>
    <w:rsid w:val="00BE4E2F"/>
    <w:rsid w:val="00BE54D1"/>
    <w:rsid w:val="00BE5736"/>
    <w:rsid w:val="00BE6EF7"/>
    <w:rsid w:val="00BF0408"/>
    <w:rsid w:val="00BF108A"/>
    <w:rsid w:val="00BF433B"/>
    <w:rsid w:val="00BF4EF2"/>
    <w:rsid w:val="00BF5CB2"/>
    <w:rsid w:val="00BF5E74"/>
    <w:rsid w:val="00C008A6"/>
    <w:rsid w:val="00C00B7E"/>
    <w:rsid w:val="00C01414"/>
    <w:rsid w:val="00C03584"/>
    <w:rsid w:val="00C03D54"/>
    <w:rsid w:val="00C04B02"/>
    <w:rsid w:val="00C05967"/>
    <w:rsid w:val="00C07932"/>
    <w:rsid w:val="00C10136"/>
    <w:rsid w:val="00C116BA"/>
    <w:rsid w:val="00C12251"/>
    <w:rsid w:val="00C13FDC"/>
    <w:rsid w:val="00C14B33"/>
    <w:rsid w:val="00C14DBB"/>
    <w:rsid w:val="00C15EC1"/>
    <w:rsid w:val="00C163A7"/>
    <w:rsid w:val="00C16A8B"/>
    <w:rsid w:val="00C17916"/>
    <w:rsid w:val="00C21441"/>
    <w:rsid w:val="00C226F0"/>
    <w:rsid w:val="00C246A3"/>
    <w:rsid w:val="00C2476B"/>
    <w:rsid w:val="00C2479B"/>
    <w:rsid w:val="00C2501A"/>
    <w:rsid w:val="00C250A8"/>
    <w:rsid w:val="00C2644F"/>
    <w:rsid w:val="00C26974"/>
    <w:rsid w:val="00C306C7"/>
    <w:rsid w:val="00C338AB"/>
    <w:rsid w:val="00C34CB6"/>
    <w:rsid w:val="00C351E5"/>
    <w:rsid w:val="00C364EC"/>
    <w:rsid w:val="00C36A79"/>
    <w:rsid w:val="00C37026"/>
    <w:rsid w:val="00C37596"/>
    <w:rsid w:val="00C37F9F"/>
    <w:rsid w:val="00C402E6"/>
    <w:rsid w:val="00C41380"/>
    <w:rsid w:val="00C41D2B"/>
    <w:rsid w:val="00C42091"/>
    <w:rsid w:val="00C4245D"/>
    <w:rsid w:val="00C43301"/>
    <w:rsid w:val="00C43FC1"/>
    <w:rsid w:val="00C4514E"/>
    <w:rsid w:val="00C5053A"/>
    <w:rsid w:val="00C519A7"/>
    <w:rsid w:val="00C52745"/>
    <w:rsid w:val="00C52AF3"/>
    <w:rsid w:val="00C536BD"/>
    <w:rsid w:val="00C54267"/>
    <w:rsid w:val="00C55163"/>
    <w:rsid w:val="00C55F83"/>
    <w:rsid w:val="00C5766F"/>
    <w:rsid w:val="00C6062A"/>
    <w:rsid w:val="00C6362F"/>
    <w:rsid w:val="00C645EE"/>
    <w:rsid w:val="00C6653E"/>
    <w:rsid w:val="00C66CFF"/>
    <w:rsid w:val="00C677A7"/>
    <w:rsid w:val="00C730E4"/>
    <w:rsid w:val="00C7397C"/>
    <w:rsid w:val="00C73EDE"/>
    <w:rsid w:val="00C74036"/>
    <w:rsid w:val="00C74059"/>
    <w:rsid w:val="00C748E2"/>
    <w:rsid w:val="00C7654A"/>
    <w:rsid w:val="00C765EF"/>
    <w:rsid w:val="00C76A64"/>
    <w:rsid w:val="00C77DB3"/>
    <w:rsid w:val="00C8138B"/>
    <w:rsid w:val="00C82618"/>
    <w:rsid w:val="00C8635E"/>
    <w:rsid w:val="00C87303"/>
    <w:rsid w:val="00C902B6"/>
    <w:rsid w:val="00C91158"/>
    <w:rsid w:val="00C91699"/>
    <w:rsid w:val="00C97095"/>
    <w:rsid w:val="00C97190"/>
    <w:rsid w:val="00C97AF2"/>
    <w:rsid w:val="00C97B3D"/>
    <w:rsid w:val="00CA0215"/>
    <w:rsid w:val="00CA21DC"/>
    <w:rsid w:val="00CA3085"/>
    <w:rsid w:val="00CA35A9"/>
    <w:rsid w:val="00CA40D0"/>
    <w:rsid w:val="00CA436E"/>
    <w:rsid w:val="00CA552E"/>
    <w:rsid w:val="00CA5FFD"/>
    <w:rsid w:val="00CB06F6"/>
    <w:rsid w:val="00CB28F8"/>
    <w:rsid w:val="00CB4C42"/>
    <w:rsid w:val="00CB525A"/>
    <w:rsid w:val="00CB532D"/>
    <w:rsid w:val="00CB64A1"/>
    <w:rsid w:val="00CB6AF9"/>
    <w:rsid w:val="00CB7ABE"/>
    <w:rsid w:val="00CB7DF3"/>
    <w:rsid w:val="00CC0693"/>
    <w:rsid w:val="00CC111C"/>
    <w:rsid w:val="00CC2DCC"/>
    <w:rsid w:val="00CC35F9"/>
    <w:rsid w:val="00CC410F"/>
    <w:rsid w:val="00CC467C"/>
    <w:rsid w:val="00CC46C8"/>
    <w:rsid w:val="00CC4918"/>
    <w:rsid w:val="00CC575A"/>
    <w:rsid w:val="00CC5B48"/>
    <w:rsid w:val="00CD238D"/>
    <w:rsid w:val="00CD311E"/>
    <w:rsid w:val="00CD46CB"/>
    <w:rsid w:val="00CD5D00"/>
    <w:rsid w:val="00CD6113"/>
    <w:rsid w:val="00CE10BA"/>
    <w:rsid w:val="00CE2155"/>
    <w:rsid w:val="00CE27DF"/>
    <w:rsid w:val="00CE3559"/>
    <w:rsid w:val="00CE362C"/>
    <w:rsid w:val="00CE383B"/>
    <w:rsid w:val="00CE3A51"/>
    <w:rsid w:val="00CE3F15"/>
    <w:rsid w:val="00CE54B8"/>
    <w:rsid w:val="00CE660B"/>
    <w:rsid w:val="00CE795D"/>
    <w:rsid w:val="00CF0ACA"/>
    <w:rsid w:val="00CF12AC"/>
    <w:rsid w:val="00CF211B"/>
    <w:rsid w:val="00CF3440"/>
    <w:rsid w:val="00CF4F44"/>
    <w:rsid w:val="00CF5B76"/>
    <w:rsid w:val="00CF5DDF"/>
    <w:rsid w:val="00CF6AB6"/>
    <w:rsid w:val="00CF6C62"/>
    <w:rsid w:val="00CF6F34"/>
    <w:rsid w:val="00CF7CF3"/>
    <w:rsid w:val="00D01568"/>
    <w:rsid w:val="00D016E1"/>
    <w:rsid w:val="00D019A8"/>
    <w:rsid w:val="00D019BE"/>
    <w:rsid w:val="00D02299"/>
    <w:rsid w:val="00D04D33"/>
    <w:rsid w:val="00D0505D"/>
    <w:rsid w:val="00D052C3"/>
    <w:rsid w:val="00D05895"/>
    <w:rsid w:val="00D05C86"/>
    <w:rsid w:val="00D061BB"/>
    <w:rsid w:val="00D108AE"/>
    <w:rsid w:val="00D1123C"/>
    <w:rsid w:val="00D125DE"/>
    <w:rsid w:val="00D144E6"/>
    <w:rsid w:val="00D14F30"/>
    <w:rsid w:val="00D15ADF"/>
    <w:rsid w:val="00D1744E"/>
    <w:rsid w:val="00D20885"/>
    <w:rsid w:val="00D2218E"/>
    <w:rsid w:val="00D25FE3"/>
    <w:rsid w:val="00D26922"/>
    <w:rsid w:val="00D311BA"/>
    <w:rsid w:val="00D33F64"/>
    <w:rsid w:val="00D34C75"/>
    <w:rsid w:val="00D35306"/>
    <w:rsid w:val="00D359AB"/>
    <w:rsid w:val="00D35A6E"/>
    <w:rsid w:val="00D364BF"/>
    <w:rsid w:val="00D36C58"/>
    <w:rsid w:val="00D377EA"/>
    <w:rsid w:val="00D401ED"/>
    <w:rsid w:val="00D41072"/>
    <w:rsid w:val="00D418E2"/>
    <w:rsid w:val="00D41B1E"/>
    <w:rsid w:val="00D433BA"/>
    <w:rsid w:val="00D4404E"/>
    <w:rsid w:val="00D464F2"/>
    <w:rsid w:val="00D46569"/>
    <w:rsid w:val="00D4686A"/>
    <w:rsid w:val="00D46954"/>
    <w:rsid w:val="00D50992"/>
    <w:rsid w:val="00D53E68"/>
    <w:rsid w:val="00D55D58"/>
    <w:rsid w:val="00D5653C"/>
    <w:rsid w:val="00D600C3"/>
    <w:rsid w:val="00D60D82"/>
    <w:rsid w:val="00D61442"/>
    <w:rsid w:val="00D61C5A"/>
    <w:rsid w:val="00D628D8"/>
    <w:rsid w:val="00D62D36"/>
    <w:rsid w:val="00D63270"/>
    <w:rsid w:val="00D632F9"/>
    <w:rsid w:val="00D63309"/>
    <w:rsid w:val="00D646EF"/>
    <w:rsid w:val="00D659C4"/>
    <w:rsid w:val="00D66188"/>
    <w:rsid w:val="00D67ADC"/>
    <w:rsid w:val="00D704BD"/>
    <w:rsid w:val="00D70BB6"/>
    <w:rsid w:val="00D724DE"/>
    <w:rsid w:val="00D73770"/>
    <w:rsid w:val="00D741E2"/>
    <w:rsid w:val="00D74D23"/>
    <w:rsid w:val="00D74F4C"/>
    <w:rsid w:val="00D756F9"/>
    <w:rsid w:val="00D773B9"/>
    <w:rsid w:val="00D80240"/>
    <w:rsid w:val="00D80F04"/>
    <w:rsid w:val="00D8194F"/>
    <w:rsid w:val="00D84321"/>
    <w:rsid w:val="00D8452D"/>
    <w:rsid w:val="00D85DA0"/>
    <w:rsid w:val="00D85EF5"/>
    <w:rsid w:val="00D86227"/>
    <w:rsid w:val="00D8633E"/>
    <w:rsid w:val="00D868F9"/>
    <w:rsid w:val="00D87A17"/>
    <w:rsid w:val="00D87C7B"/>
    <w:rsid w:val="00D87FC7"/>
    <w:rsid w:val="00D90486"/>
    <w:rsid w:val="00D90AFA"/>
    <w:rsid w:val="00D916BB"/>
    <w:rsid w:val="00D91FA2"/>
    <w:rsid w:val="00D92F50"/>
    <w:rsid w:val="00D94640"/>
    <w:rsid w:val="00D9511D"/>
    <w:rsid w:val="00DA1578"/>
    <w:rsid w:val="00DA219B"/>
    <w:rsid w:val="00DA2A1C"/>
    <w:rsid w:val="00DA2D77"/>
    <w:rsid w:val="00DA2EFD"/>
    <w:rsid w:val="00DA4427"/>
    <w:rsid w:val="00DA509F"/>
    <w:rsid w:val="00DA5809"/>
    <w:rsid w:val="00DA5FCF"/>
    <w:rsid w:val="00DA63A7"/>
    <w:rsid w:val="00DA6B48"/>
    <w:rsid w:val="00DA7763"/>
    <w:rsid w:val="00DB1788"/>
    <w:rsid w:val="00DB17D3"/>
    <w:rsid w:val="00DB1E20"/>
    <w:rsid w:val="00DB2863"/>
    <w:rsid w:val="00DB30DF"/>
    <w:rsid w:val="00DB35DB"/>
    <w:rsid w:val="00DB3672"/>
    <w:rsid w:val="00DB3BBD"/>
    <w:rsid w:val="00DB524D"/>
    <w:rsid w:val="00DB5542"/>
    <w:rsid w:val="00DB6F2D"/>
    <w:rsid w:val="00DB7679"/>
    <w:rsid w:val="00DC20D3"/>
    <w:rsid w:val="00DC2DEF"/>
    <w:rsid w:val="00DC35F8"/>
    <w:rsid w:val="00DC3C30"/>
    <w:rsid w:val="00DC47D3"/>
    <w:rsid w:val="00DD02CD"/>
    <w:rsid w:val="00DD0348"/>
    <w:rsid w:val="00DD3E93"/>
    <w:rsid w:val="00DD526B"/>
    <w:rsid w:val="00DD6F35"/>
    <w:rsid w:val="00DE04DD"/>
    <w:rsid w:val="00DE25B4"/>
    <w:rsid w:val="00DE2D19"/>
    <w:rsid w:val="00DE2F5E"/>
    <w:rsid w:val="00DE303A"/>
    <w:rsid w:val="00DE3553"/>
    <w:rsid w:val="00DE3725"/>
    <w:rsid w:val="00DF00F1"/>
    <w:rsid w:val="00DF2966"/>
    <w:rsid w:val="00DF3B91"/>
    <w:rsid w:val="00DF4586"/>
    <w:rsid w:val="00DF5204"/>
    <w:rsid w:val="00DF5B5A"/>
    <w:rsid w:val="00DF5EA8"/>
    <w:rsid w:val="00DF6A62"/>
    <w:rsid w:val="00DF7045"/>
    <w:rsid w:val="00DF7A5B"/>
    <w:rsid w:val="00E01822"/>
    <w:rsid w:val="00E01F02"/>
    <w:rsid w:val="00E02009"/>
    <w:rsid w:val="00E06A8E"/>
    <w:rsid w:val="00E06E2D"/>
    <w:rsid w:val="00E07621"/>
    <w:rsid w:val="00E10B4C"/>
    <w:rsid w:val="00E11625"/>
    <w:rsid w:val="00E1199A"/>
    <w:rsid w:val="00E157DB"/>
    <w:rsid w:val="00E17D62"/>
    <w:rsid w:val="00E17FAB"/>
    <w:rsid w:val="00E20CA2"/>
    <w:rsid w:val="00E21EA7"/>
    <w:rsid w:val="00E22318"/>
    <w:rsid w:val="00E22E4F"/>
    <w:rsid w:val="00E245AE"/>
    <w:rsid w:val="00E2573D"/>
    <w:rsid w:val="00E26FB0"/>
    <w:rsid w:val="00E27D12"/>
    <w:rsid w:val="00E27FEC"/>
    <w:rsid w:val="00E30D49"/>
    <w:rsid w:val="00E3149B"/>
    <w:rsid w:val="00E32A70"/>
    <w:rsid w:val="00E33C9B"/>
    <w:rsid w:val="00E346BE"/>
    <w:rsid w:val="00E347FD"/>
    <w:rsid w:val="00E35286"/>
    <w:rsid w:val="00E35382"/>
    <w:rsid w:val="00E36484"/>
    <w:rsid w:val="00E37BDA"/>
    <w:rsid w:val="00E37D2C"/>
    <w:rsid w:val="00E40A1A"/>
    <w:rsid w:val="00E40D41"/>
    <w:rsid w:val="00E41A88"/>
    <w:rsid w:val="00E4317B"/>
    <w:rsid w:val="00E43D8C"/>
    <w:rsid w:val="00E4407C"/>
    <w:rsid w:val="00E46106"/>
    <w:rsid w:val="00E47895"/>
    <w:rsid w:val="00E5297D"/>
    <w:rsid w:val="00E547DA"/>
    <w:rsid w:val="00E55E8B"/>
    <w:rsid w:val="00E57476"/>
    <w:rsid w:val="00E57B05"/>
    <w:rsid w:val="00E6178F"/>
    <w:rsid w:val="00E61D2D"/>
    <w:rsid w:val="00E63533"/>
    <w:rsid w:val="00E64E68"/>
    <w:rsid w:val="00E65E39"/>
    <w:rsid w:val="00E66DA2"/>
    <w:rsid w:val="00E6779E"/>
    <w:rsid w:val="00E7026C"/>
    <w:rsid w:val="00E709C3"/>
    <w:rsid w:val="00E70AAB"/>
    <w:rsid w:val="00E733EC"/>
    <w:rsid w:val="00E74E4F"/>
    <w:rsid w:val="00E75EFA"/>
    <w:rsid w:val="00E76F4E"/>
    <w:rsid w:val="00E806CB"/>
    <w:rsid w:val="00E81A16"/>
    <w:rsid w:val="00E81D77"/>
    <w:rsid w:val="00E8207D"/>
    <w:rsid w:val="00E932A8"/>
    <w:rsid w:val="00E94036"/>
    <w:rsid w:val="00E95F08"/>
    <w:rsid w:val="00E970C7"/>
    <w:rsid w:val="00E978ED"/>
    <w:rsid w:val="00EA0DD5"/>
    <w:rsid w:val="00EA2106"/>
    <w:rsid w:val="00EA30E7"/>
    <w:rsid w:val="00EA7EC8"/>
    <w:rsid w:val="00EB0F67"/>
    <w:rsid w:val="00EB12DE"/>
    <w:rsid w:val="00EB1892"/>
    <w:rsid w:val="00EB31CE"/>
    <w:rsid w:val="00EB364B"/>
    <w:rsid w:val="00EB3DD1"/>
    <w:rsid w:val="00EB4F3F"/>
    <w:rsid w:val="00EB7EEE"/>
    <w:rsid w:val="00EC1154"/>
    <w:rsid w:val="00EC2CD2"/>
    <w:rsid w:val="00EC3699"/>
    <w:rsid w:val="00EC4594"/>
    <w:rsid w:val="00ED0621"/>
    <w:rsid w:val="00ED07C5"/>
    <w:rsid w:val="00ED1B40"/>
    <w:rsid w:val="00ED288B"/>
    <w:rsid w:val="00ED296F"/>
    <w:rsid w:val="00ED2B53"/>
    <w:rsid w:val="00ED39C5"/>
    <w:rsid w:val="00ED4113"/>
    <w:rsid w:val="00ED4637"/>
    <w:rsid w:val="00ED4B92"/>
    <w:rsid w:val="00ED5167"/>
    <w:rsid w:val="00ED5F90"/>
    <w:rsid w:val="00EE0B5A"/>
    <w:rsid w:val="00EE0C63"/>
    <w:rsid w:val="00EE290E"/>
    <w:rsid w:val="00EE31EE"/>
    <w:rsid w:val="00EE4406"/>
    <w:rsid w:val="00EE7164"/>
    <w:rsid w:val="00EF0482"/>
    <w:rsid w:val="00EF1652"/>
    <w:rsid w:val="00EF3727"/>
    <w:rsid w:val="00EF67E6"/>
    <w:rsid w:val="00EF68AE"/>
    <w:rsid w:val="00EF7632"/>
    <w:rsid w:val="00F0080D"/>
    <w:rsid w:val="00F012D7"/>
    <w:rsid w:val="00F03198"/>
    <w:rsid w:val="00F035C3"/>
    <w:rsid w:val="00F03DF4"/>
    <w:rsid w:val="00F04D50"/>
    <w:rsid w:val="00F055B3"/>
    <w:rsid w:val="00F058EB"/>
    <w:rsid w:val="00F074F9"/>
    <w:rsid w:val="00F07C2D"/>
    <w:rsid w:val="00F120F7"/>
    <w:rsid w:val="00F1220C"/>
    <w:rsid w:val="00F1223B"/>
    <w:rsid w:val="00F13BCF"/>
    <w:rsid w:val="00F146E5"/>
    <w:rsid w:val="00F14A7A"/>
    <w:rsid w:val="00F14F00"/>
    <w:rsid w:val="00F16ED1"/>
    <w:rsid w:val="00F17E9E"/>
    <w:rsid w:val="00F2012B"/>
    <w:rsid w:val="00F204BF"/>
    <w:rsid w:val="00F205D1"/>
    <w:rsid w:val="00F20DC3"/>
    <w:rsid w:val="00F230A4"/>
    <w:rsid w:val="00F231B8"/>
    <w:rsid w:val="00F238C3"/>
    <w:rsid w:val="00F24B62"/>
    <w:rsid w:val="00F24C43"/>
    <w:rsid w:val="00F25CB4"/>
    <w:rsid w:val="00F279A7"/>
    <w:rsid w:val="00F311E8"/>
    <w:rsid w:val="00F31A36"/>
    <w:rsid w:val="00F3259F"/>
    <w:rsid w:val="00F32DC1"/>
    <w:rsid w:val="00F330C1"/>
    <w:rsid w:val="00F33617"/>
    <w:rsid w:val="00F339FF"/>
    <w:rsid w:val="00F34061"/>
    <w:rsid w:val="00F34367"/>
    <w:rsid w:val="00F363D1"/>
    <w:rsid w:val="00F365C7"/>
    <w:rsid w:val="00F37126"/>
    <w:rsid w:val="00F37475"/>
    <w:rsid w:val="00F374BF"/>
    <w:rsid w:val="00F378E3"/>
    <w:rsid w:val="00F40A3A"/>
    <w:rsid w:val="00F4165B"/>
    <w:rsid w:val="00F417ED"/>
    <w:rsid w:val="00F425AF"/>
    <w:rsid w:val="00F43561"/>
    <w:rsid w:val="00F439EF"/>
    <w:rsid w:val="00F43E43"/>
    <w:rsid w:val="00F447B1"/>
    <w:rsid w:val="00F44BDC"/>
    <w:rsid w:val="00F45D3A"/>
    <w:rsid w:val="00F46D6F"/>
    <w:rsid w:val="00F473DF"/>
    <w:rsid w:val="00F502F9"/>
    <w:rsid w:val="00F512CB"/>
    <w:rsid w:val="00F51C0D"/>
    <w:rsid w:val="00F51CA7"/>
    <w:rsid w:val="00F53439"/>
    <w:rsid w:val="00F5568F"/>
    <w:rsid w:val="00F56F75"/>
    <w:rsid w:val="00F576FF"/>
    <w:rsid w:val="00F57862"/>
    <w:rsid w:val="00F6249E"/>
    <w:rsid w:val="00F62597"/>
    <w:rsid w:val="00F62DF5"/>
    <w:rsid w:val="00F638B9"/>
    <w:rsid w:val="00F63977"/>
    <w:rsid w:val="00F63FB9"/>
    <w:rsid w:val="00F6422E"/>
    <w:rsid w:val="00F65413"/>
    <w:rsid w:val="00F67864"/>
    <w:rsid w:val="00F7180D"/>
    <w:rsid w:val="00F71C76"/>
    <w:rsid w:val="00F71EDF"/>
    <w:rsid w:val="00F7280E"/>
    <w:rsid w:val="00F73A89"/>
    <w:rsid w:val="00F73B57"/>
    <w:rsid w:val="00F753EF"/>
    <w:rsid w:val="00F81585"/>
    <w:rsid w:val="00F81895"/>
    <w:rsid w:val="00F81A9E"/>
    <w:rsid w:val="00F83638"/>
    <w:rsid w:val="00F83CC0"/>
    <w:rsid w:val="00F90860"/>
    <w:rsid w:val="00F90A9B"/>
    <w:rsid w:val="00F90E8A"/>
    <w:rsid w:val="00F92223"/>
    <w:rsid w:val="00F954AB"/>
    <w:rsid w:val="00F95E51"/>
    <w:rsid w:val="00F96575"/>
    <w:rsid w:val="00FA0624"/>
    <w:rsid w:val="00FA11B3"/>
    <w:rsid w:val="00FA1EDA"/>
    <w:rsid w:val="00FA4321"/>
    <w:rsid w:val="00FA465B"/>
    <w:rsid w:val="00FA54DC"/>
    <w:rsid w:val="00FA5923"/>
    <w:rsid w:val="00FA7764"/>
    <w:rsid w:val="00FB30C4"/>
    <w:rsid w:val="00FB6D69"/>
    <w:rsid w:val="00FC0104"/>
    <w:rsid w:val="00FC06E4"/>
    <w:rsid w:val="00FC0CBE"/>
    <w:rsid w:val="00FC1E81"/>
    <w:rsid w:val="00FC2FF9"/>
    <w:rsid w:val="00FC3476"/>
    <w:rsid w:val="00FC3D74"/>
    <w:rsid w:val="00FC54C7"/>
    <w:rsid w:val="00FC6887"/>
    <w:rsid w:val="00FC6975"/>
    <w:rsid w:val="00FC73C4"/>
    <w:rsid w:val="00FC7A20"/>
    <w:rsid w:val="00FD1273"/>
    <w:rsid w:val="00FD2311"/>
    <w:rsid w:val="00FD77CC"/>
    <w:rsid w:val="00FE270A"/>
    <w:rsid w:val="00FE2BE9"/>
    <w:rsid w:val="00FE31B9"/>
    <w:rsid w:val="00FE3FDD"/>
    <w:rsid w:val="00FE44B1"/>
    <w:rsid w:val="00FE49EB"/>
    <w:rsid w:val="00FE4BCC"/>
    <w:rsid w:val="00FE4F33"/>
    <w:rsid w:val="00FE5370"/>
    <w:rsid w:val="00FE6838"/>
    <w:rsid w:val="00FF01D1"/>
    <w:rsid w:val="00FF1D9C"/>
    <w:rsid w:val="00FF6925"/>
    <w:rsid w:val="00FF78EE"/>
    <w:rsid w:val="00FF7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C39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4"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C7BDA"/>
    <w:rPr>
      <w:rFonts w:ascii="Times New Roman" w:hAnsi="Times New Roman" w:cs="Times New Roman"/>
      <w:lang w:eastAsia="en-GB"/>
    </w:rPr>
  </w:style>
  <w:style w:type="paragraph" w:styleId="Heading1">
    <w:name w:val="heading 1"/>
    <w:basedOn w:val="Normal"/>
    <w:next w:val="Normal"/>
    <w:link w:val="Heading1Char"/>
    <w:uiPriority w:val="9"/>
    <w:rsid w:val="001220E4"/>
    <w:pPr>
      <w:spacing w:before="1440" w:after="200" w:line="288" w:lineRule="auto"/>
      <w:outlineLvl w:val="0"/>
    </w:pPr>
    <w:rPr>
      <w:rFonts w:ascii="Arial" w:eastAsiaTheme="minorEastAsia" w:hAnsi="Arial" w:cs="Arial"/>
      <w:b/>
      <w:color w:val="FFFFFF" w:themeColor="background1"/>
      <w:sz w:val="96"/>
      <w:szCs w:val="96"/>
      <w:lang w:val="en-US" w:eastAsia="ja-JP"/>
    </w:rPr>
  </w:style>
  <w:style w:type="paragraph" w:styleId="Heading2">
    <w:name w:val="heading 2"/>
    <w:basedOn w:val="Normal"/>
    <w:next w:val="Normal"/>
    <w:link w:val="Heading2Char"/>
    <w:uiPriority w:val="9"/>
    <w:unhideWhenUsed/>
    <w:qFormat/>
    <w:rsid w:val="00C41380"/>
    <w:pPr>
      <w:keepNext/>
      <w:keepLine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4">
    <w:name w:val="heading 4"/>
    <w:basedOn w:val="Normal"/>
    <w:next w:val="Normal"/>
    <w:link w:val="Heading4Char"/>
    <w:uiPriority w:val="9"/>
    <w:unhideWhenUsed/>
    <w:qFormat/>
    <w:rsid w:val="00C677A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380"/>
    <w:pPr>
      <w:tabs>
        <w:tab w:val="center" w:pos="4513"/>
        <w:tab w:val="right" w:pos="9026"/>
      </w:tabs>
    </w:pPr>
    <w:rPr>
      <w:rFonts w:asciiTheme="minorHAnsi" w:hAnsiTheme="minorHAnsi" w:cstheme="minorBidi"/>
      <w:lang w:val="en-AU" w:eastAsia="en-US"/>
    </w:rPr>
  </w:style>
  <w:style w:type="character" w:customStyle="1" w:styleId="HeaderChar">
    <w:name w:val="Header Char"/>
    <w:basedOn w:val="DefaultParagraphFont"/>
    <w:link w:val="Header"/>
    <w:uiPriority w:val="99"/>
    <w:rsid w:val="00C41380"/>
    <w:rPr>
      <w:lang w:val="en-US"/>
    </w:rPr>
  </w:style>
  <w:style w:type="paragraph" w:styleId="Footer">
    <w:name w:val="footer"/>
    <w:basedOn w:val="Normal"/>
    <w:link w:val="FooterChar"/>
    <w:unhideWhenUsed/>
    <w:rsid w:val="00C41380"/>
    <w:pPr>
      <w:tabs>
        <w:tab w:val="center" w:pos="4513"/>
        <w:tab w:val="right" w:pos="9026"/>
      </w:tabs>
    </w:pPr>
    <w:rPr>
      <w:rFonts w:asciiTheme="minorHAnsi" w:hAnsiTheme="minorHAnsi" w:cstheme="minorBidi"/>
      <w:lang w:val="en-AU" w:eastAsia="en-US"/>
    </w:rPr>
  </w:style>
  <w:style w:type="character" w:customStyle="1" w:styleId="FooterChar">
    <w:name w:val="Footer Char"/>
    <w:basedOn w:val="DefaultParagraphFont"/>
    <w:link w:val="Footer"/>
    <w:rsid w:val="00C41380"/>
    <w:rPr>
      <w:lang w:val="en-US"/>
    </w:rPr>
  </w:style>
  <w:style w:type="character" w:styleId="PageNumber">
    <w:name w:val="page number"/>
    <w:basedOn w:val="DefaultParagraphFont"/>
    <w:unhideWhenUsed/>
    <w:rsid w:val="00C41380"/>
  </w:style>
  <w:style w:type="paragraph" w:customStyle="1" w:styleId="mpcheading1">
    <w:name w:val="mpc heading 1"/>
    <w:qFormat/>
    <w:rsid w:val="00434F26"/>
    <w:pPr>
      <w:pBdr>
        <w:bottom w:val="single" w:sz="12" w:space="1" w:color="auto"/>
      </w:pBdr>
      <w:spacing w:after="240"/>
      <w:outlineLvl w:val="0"/>
    </w:pPr>
    <w:rPr>
      <w:b/>
      <w:sz w:val="36"/>
      <w:szCs w:val="36"/>
      <w:lang w:val="en-AU"/>
    </w:rPr>
  </w:style>
  <w:style w:type="paragraph" w:customStyle="1" w:styleId="mpcheading2">
    <w:name w:val="mpc heading 2"/>
    <w:qFormat/>
    <w:rsid w:val="00433054"/>
    <w:pPr>
      <w:pBdr>
        <w:top w:val="single" w:sz="4" w:space="1" w:color="auto"/>
        <w:left w:val="single" w:sz="4" w:space="4" w:color="auto"/>
        <w:bottom w:val="single" w:sz="4" w:space="1" w:color="auto"/>
        <w:right w:val="single" w:sz="4" w:space="4" w:color="auto"/>
      </w:pBdr>
      <w:shd w:val="clear" w:color="auto" w:fill="4CB99B"/>
      <w:spacing w:after="240"/>
    </w:pPr>
    <w:rPr>
      <w:rFonts w:eastAsia="Cambria" w:cs="Times New Roman"/>
      <w:b/>
      <w:bCs/>
      <w:iCs/>
      <w:color w:val="FFFFFF"/>
      <w:sz w:val="28"/>
      <w:szCs w:val="28"/>
      <w:lang w:val="en-AU"/>
    </w:rPr>
  </w:style>
  <w:style w:type="paragraph" w:customStyle="1" w:styleId="mpcbullets1">
    <w:name w:val="mpc bullets 1"/>
    <w:qFormat/>
    <w:rsid w:val="006D1CBF"/>
    <w:pPr>
      <w:numPr>
        <w:numId w:val="1"/>
      </w:numPr>
      <w:spacing w:after="240"/>
      <w:contextualSpacing/>
    </w:pPr>
    <w:rPr>
      <w:lang w:val="en-AU"/>
    </w:rPr>
  </w:style>
  <w:style w:type="paragraph" w:customStyle="1" w:styleId="mpcbullets2">
    <w:name w:val="mpc bullets 2"/>
    <w:qFormat/>
    <w:rsid w:val="00247967"/>
    <w:pPr>
      <w:numPr>
        <w:numId w:val="4"/>
      </w:numPr>
    </w:pPr>
    <w:rPr>
      <w:lang w:val="en-AU"/>
    </w:rPr>
  </w:style>
  <w:style w:type="paragraph" w:customStyle="1" w:styleId="mpcbullets3">
    <w:name w:val="mpc bullets 3"/>
    <w:qFormat/>
    <w:rsid w:val="00247967"/>
    <w:pPr>
      <w:numPr>
        <w:numId w:val="3"/>
      </w:numPr>
    </w:pPr>
    <w:rPr>
      <w:lang w:val="en-AU"/>
    </w:rPr>
  </w:style>
  <w:style w:type="paragraph" w:customStyle="1" w:styleId="mpcnumberedlist">
    <w:name w:val="mpc numbered list"/>
    <w:qFormat/>
    <w:rsid w:val="00247967"/>
    <w:pPr>
      <w:numPr>
        <w:numId w:val="2"/>
      </w:numPr>
    </w:pPr>
    <w:rPr>
      <w:rFonts w:cs="Verdana"/>
      <w:lang w:val="en-AU"/>
    </w:rPr>
  </w:style>
  <w:style w:type="paragraph" w:customStyle="1" w:styleId="mpcNormal">
    <w:name w:val="mpc Normal"/>
    <w:qFormat/>
    <w:rsid w:val="006D1CBF"/>
    <w:pPr>
      <w:spacing w:after="240"/>
    </w:pPr>
    <w:rPr>
      <w:lang w:val="en-AU"/>
    </w:rPr>
  </w:style>
  <w:style w:type="paragraph" w:customStyle="1" w:styleId="mpcheading3">
    <w:name w:val="mpc heading 3"/>
    <w:qFormat/>
    <w:rsid w:val="003320E4"/>
    <w:pPr>
      <w:keepNext/>
      <w:pBdr>
        <w:top w:val="single" w:sz="4" w:space="1" w:color="auto"/>
        <w:left w:val="single" w:sz="4" w:space="4" w:color="auto"/>
        <w:bottom w:val="single" w:sz="4" w:space="1" w:color="auto"/>
        <w:right w:val="single" w:sz="4" w:space="4" w:color="auto"/>
      </w:pBdr>
      <w:spacing w:after="240"/>
    </w:pPr>
    <w:rPr>
      <w:b/>
      <w:bCs/>
      <w:iCs/>
      <w:sz w:val="28"/>
      <w:szCs w:val="28"/>
      <w:lang w:val="en-AU"/>
    </w:rPr>
  </w:style>
  <w:style w:type="paragraph" w:customStyle="1" w:styleId="mpcheading4">
    <w:name w:val="mpc heading 4"/>
    <w:qFormat/>
    <w:rsid w:val="00247967"/>
    <w:rPr>
      <w:b/>
      <w:i/>
      <w:lang w:val="en-AU"/>
    </w:rPr>
  </w:style>
  <w:style w:type="paragraph" w:styleId="TOC1">
    <w:name w:val="toc 1"/>
    <w:basedOn w:val="Normal"/>
    <w:next w:val="Normal"/>
    <w:autoRedefine/>
    <w:uiPriority w:val="39"/>
    <w:unhideWhenUsed/>
    <w:rsid w:val="00C41380"/>
    <w:pPr>
      <w:tabs>
        <w:tab w:val="right" w:leader="dot" w:pos="9736"/>
      </w:tabs>
      <w:spacing w:before="120"/>
    </w:pPr>
    <w:rPr>
      <w:rFonts w:asciiTheme="minorHAnsi" w:hAnsiTheme="minorHAnsi" w:cstheme="minorBidi"/>
      <w:b/>
      <w:bCs/>
      <w:lang w:val="en-AU" w:eastAsia="en-US"/>
    </w:rPr>
  </w:style>
  <w:style w:type="paragraph" w:styleId="TOC2">
    <w:name w:val="toc 2"/>
    <w:basedOn w:val="Normal"/>
    <w:next w:val="Normal"/>
    <w:autoRedefine/>
    <w:uiPriority w:val="39"/>
    <w:unhideWhenUsed/>
    <w:rsid w:val="0002036A"/>
    <w:pPr>
      <w:ind w:left="240"/>
    </w:pPr>
    <w:rPr>
      <w:rFonts w:asciiTheme="minorHAnsi" w:hAnsiTheme="minorHAnsi" w:cstheme="minorBidi"/>
      <w:bCs/>
      <w:sz w:val="22"/>
      <w:szCs w:val="22"/>
      <w:lang w:val="en-AU" w:eastAsia="en-US"/>
    </w:rPr>
  </w:style>
  <w:style w:type="paragraph" w:styleId="TOC3">
    <w:name w:val="toc 3"/>
    <w:basedOn w:val="Normal"/>
    <w:next w:val="Normal"/>
    <w:autoRedefine/>
    <w:uiPriority w:val="39"/>
    <w:unhideWhenUsed/>
    <w:rsid w:val="00C41380"/>
    <w:pPr>
      <w:ind w:left="480"/>
    </w:pPr>
    <w:rPr>
      <w:rFonts w:asciiTheme="minorHAnsi" w:hAnsiTheme="minorHAnsi" w:cstheme="minorBidi"/>
      <w:sz w:val="22"/>
      <w:szCs w:val="22"/>
      <w:lang w:val="en-AU" w:eastAsia="en-US"/>
    </w:rPr>
  </w:style>
  <w:style w:type="paragraph" w:customStyle="1" w:styleId="mpcheading5">
    <w:name w:val="mpc heading 5"/>
    <w:qFormat/>
    <w:rsid w:val="00247967"/>
    <w:rPr>
      <w:b/>
      <w:lang w:val="en-AU"/>
    </w:rPr>
  </w:style>
  <w:style w:type="paragraph" w:customStyle="1" w:styleId="mpcnumberedlist2">
    <w:name w:val="mpc numbered list 2"/>
    <w:next w:val="mpcnumberedlist"/>
    <w:qFormat/>
    <w:rsid w:val="00231A98"/>
    <w:pPr>
      <w:numPr>
        <w:numId w:val="5"/>
      </w:numPr>
    </w:pPr>
    <w:rPr>
      <w:lang w:val="en-AU"/>
    </w:rPr>
  </w:style>
  <w:style w:type="character" w:customStyle="1" w:styleId="Heading2Char">
    <w:name w:val="Heading 2 Char"/>
    <w:basedOn w:val="DefaultParagraphFont"/>
    <w:link w:val="Heading2"/>
    <w:uiPriority w:val="9"/>
    <w:rsid w:val="00C41380"/>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1220E4"/>
    <w:rPr>
      <w:rFonts w:ascii="Arial" w:eastAsiaTheme="minorEastAsia" w:hAnsi="Arial" w:cs="Arial"/>
      <w:b/>
      <w:color w:val="FFFFFF" w:themeColor="background1"/>
      <w:sz w:val="96"/>
      <w:szCs w:val="96"/>
      <w:lang w:val="en-US" w:eastAsia="ja-JP"/>
    </w:rPr>
  </w:style>
  <w:style w:type="paragraph" w:styleId="NoSpacing">
    <w:name w:val="No Spacing"/>
    <w:link w:val="NoSpacingChar"/>
    <w:uiPriority w:val="1"/>
    <w:rsid w:val="002D14BA"/>
    <w:rPr>
      <w:rFonts w:eastAsiaTheme="minorEastAsia"/>
      <w:sz w:val="22"/>
      <w:szCs w:val="22"/>
      <w:lang w:val="en-US" w:eastAsia="zh-CN"/>
    </w:rPr>
  </w:style>
  <w:style w:type="character" w:customStyle="1" w:styleId="NoSpacingChar">
    <w:name w:val="No Spacing Char"/>
    <w:basedOn w:val="DefaultParagraphFont"/>
    <w:link w:val="NoSpacing"/>
    <w:uiPriority w:val="1"/>
    <w:rsid w:val="002D14BA"/>
    <w:rPr>
      <w:rFonts w:eastAsiaTheme="minorEastAsia"/>
      <w:sz w:val="22"/>
      <w:szCs w:val="22"/>
      <w:lang w:val="en-US" w:eastAsia="zh-CN"/>
    </w:rPr>
  </w:style>
  <w:style w:type="paragraph" w:customStyle="1" w:styleId="mpctitle1">
    <w:name w:val="mpc title 1"/>
    <w:qFormat/>
    <w:rsid w:val="00420839"/>
    <w:pPr>
      <w:ind w:left="284"/>
    </w:pPr>
    <w:rPr>
      <w:rFonts w:eastAsiaTheme="minorEastAsia" w:cs="Arial"/>
      <w:color w:val="FFFFFF" w:themeColor="background1"/>
      <w:sz w:val="56"/>
      <w:szCs w:val="56"/>
      <w:lang w:val="en-US" w:eastAsia="ja-JP"/>
    </w:rPr>
  </w:style>
  <w:style w:type="paragraph" w:customStyle="1" w:styleId="mpctitle2">
    <w:name w:val="mpc title 2"/>
    <w:qFormat/>
    <w:rsid w:val="009D37AB"/>
    <w:pPr>
      <w:spacing w:after="800"/>
      <w:ind w:left="284"/>
    </w:pPr>
    <w:rPr>
      <w:rFonts w:eastAsiaTheme="minorEastAsia" w:cs="Arial"/>
      <w:color w:val="FFFFFF" w:themeColor="background1"/>
      <w:sz w:val="36"/>
      <w:szCs w:val="36"/>
      <w:lang w:val="en-US" w:eastAsia="ja-JP"/>
    </w:rPr>
  </w:style>
  <w:style w:type="paragraph" w:styleId="TOC4">
    <w:name w:val="toc 4"/>
    <w:basedOn w:val="Normal"/>
    <w:next w:val="Normal"/>
    <w:autoRedefine/>
    <w:uiPriority w:val="39"/>
    <w:unhideWhenUsed/>
    <w:rsid w:val="00287EDC"/>
    <w:pPr>
      <w:ind w:left="720"/>
    </w:pPr>
    <w:rPr>
      <w:rFonts w:asciiTheme="minorHAnsi" w:hAnsiTheme="minorHAnsi" w:cstheme="minorBidi"/>
      <w:lang w:val="en-AU" w:eastAsia="en-US"/>
    </w:rPr>
  </w:style>
  <w:style w:type="paragraph" w:styleId="TOC5">
    <w:name w:val="toc 5"/>
    <w:basedOn w:val="Normal"/>
    <w:next w:val="Normal"/>
    <w:autoRedefine/>
    <w:uiPriority w:val="39"/>
    <w:unhideWhenUsed/>
    <w:rsid w:val="00287EDC"/>
    <w:pPr>
      <w:ind w:left="960"/>
    </w:pPr>
    <w:rPr>
      <w:rFonts w:asciiTheme="minorHAnsi" w:hAnsiTheme="minorHAnsi" w:cstheme="minorBidi"/>
      <w:lang w:val="en-AU" w:eastAsia="en-US"/>
    </w:rPr>
  </w:style>
  <w:style w:type="paragraph" w:styleId="TOC6">
    <w:name w:val="toc 6"/>
    <w:basedOn w:val="Normal"/>
    <w:next w:val="Normal"/>
    <w:autoRedefine/>
    <w:uiPriority w:val="39"/>
    <w:unhideWhenUsed/>
    <w:rsid w:val="00287EDC"/>
    <w:pPr>
      <w:ind w:left="1200"/>
    </w:pPr>
    <w:rPr>
      <w:rFonts w:asciiTheme="minorHAnsi" w:hAnsiTheme="minorHAnsi" w:cstheme="minorBidi"/>
      <w:lang w:val="en-AU" w:eastAsia="en-US"/>
    </w:rPr>
  </w:style>
  <w:style w:type="paragraph" w:styleId="TOC7">
    <w:name w:val="toc 7"/>
    <w:basedOn w:val="Normal"/>
    <w:next w:val="Normal"/>
    <w:autoRedefine/>
    <w:uiPriority w:val="39"/>
    <w:unhideWhenUsed/>
    <w:rsid w:val="00287EDC"/>
    <w:pPr>
      <w:ind w:left="1440"/>
    </w:pPr>
    <w:rPr>
      <w:rFonts w:asciiTheme="minorHAnsi" w:hAnsiTheme="minorHAnsi" w:cstheme="minorBidi"/>
      <w:lang w:val="en-AU" w:eastAsia="en-US"/>
    </w:rPr>
  </w:style>
  <w:style w:type="paragraph" w:styleId="TOC8">
    <w:name w:val="toc 8"/>
    <w:basedOn w:val="Normal"/>
    <w:next w:val="Normal"/>
    <w:autoRedefine/>
    <w:uiPriority w:val="39"/>
    <w:unhideWhenUsed/>
    <w:rsid w:val="00287EDC"/>
    <w:pPr>
      <w:ind w:left="1680"/>
    </w:pPr>
    <w:rPr>
      <w:rFonts w:asciiTheme="minorHAnsi" w:hAnsiTheme="minorHAnsi" w:cstheme="minorBidi"/>
      <w:lang w:val="en-AU" w:eastAsia="en-US"/>
    </w:rPr>
  </w:style>
  <w:style w:type="paragraph" w:styleId="TOC9">
    <w:name w:val="toc 9"/>
    <w:basedOn w:val="Normal"/>
    <w:next w:val="Normal"/>
    <w:autoRedefine/>
    <w:uiPriority w:val="39"/>
    <w:unhideWhenUsed/>
    <w:rsid w:val="00287EDC"/>
    <w:pPr>
      <w:ind w:left="1920"/>
    </w:pPr>
    <w:rPr>
      <w:rFonts w:asciiTheme="minorHAnsi" w:hAnsiTheme="minorHAnsi" w:cstheme="minorBidi"/>
      <w:lang w:val="en-AU" w:eastAsia="en-US"/>
    </w:rPr>
  </w:style>
  <w:style w:type="paragraph" w:customStyle="1" w:styleId="mpctabletext">
    <w:name w:val="mpc table text"/>
    <w:qFormat/>
    <w:rsid w:val="00AC5A04"/>
    <w:rPr>
      <w:sz w:val="20"/>
      <w:szCs w:val="20"/>
    </w:rPr>
  </w:style>
  <w:style w:type="paragraph" w:styleId="NormalWeb">
    <w:name w:val="Normal (Web)"/>
    <w:basedOn w:val="Normal"/>
    <w:uiPriority w:val="99"/>
    <w:unhideWhenUsed/>
    <w:rsid w:val="00FC3476"/>
    <w:pPr>
      <w:spacing w:before="100" w:beforeAutospacing="1" w:after="100" w:afterAutospacing="1"/>
    </w:pPr>
    <w:rPr>
      <w:lang w:eastAsia="zh-CN"/>
    </w:rPr>
  </w:style>
  <w:style w:type="paragraph" w:customStyle="1" w:styleId="p1">
    <w:name w:val="p1"/>
    <w:basedOn w:val="Normal"/>
    <w:rsid w:val="00BA7ECF"/>
    <w:rPr>
      <w:rFonts w:ascii="Calibri" w:hAnsi="Calibri"/>
      <w:sz w:val="18"/>
      <w:szCs w:val="18"/>
      <w:lang w:eastAsia="zh-CN"/>
    </w:rPr>
  </w:style>
  <w:style w:type="paragraph" w:customStyle="1" w:styleId="p2">
    <w:name w:val="p2"/>
    <w:basedOn w:val="Normal"/>
    <w:rsid w:val="00BA7ECF"/>
    <w:rPr>
      <w:rFonts w:ascii="Calibri" w:hAnsi="Calibri"/>
      <w:sz w:val="17"/>
      <w:szCs w:val="17"/>
      <w:lang w:eastAsia="zh-CN"/>
    </w:rPr>
  </w:style>
  <w:style w:type="character" w:customStyle="1" w:styleId="apple-converted-space">
    <w:name w:val="apple-converted-space"/>
    <w:basedOn w:val="DefaultParagraphFont"/>
    <w:rsid w:val="00BA7ECF"/>
  </w:style>
  <w:style w:type="table" w:styleId="TableGrid">
    <w:name w:val="Table Grid"/>
    <w:basedOn w:val="TableNormal"/>
    <w:uiPriority w:val="39"/>
    <w:rsid w:val="0011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8CD"/>
    <w:rPr>
      <w:sz w:val="18"/>
      <w:szCs w:val="18"/>
      <w:lang w:eastAsia="zh-CN"/>
    </w:rPr>
  </w:style>
  <w:style w:type="character" w:customStyle="1" w:styleId="BalloonTextChar">
    <w:name w:val="Balloon Text Char"/>
    <w:basedOn w:val="DefaultParagraphFont"/>
    <w:link w:val="BalloonText"/>
    <w:uiPriority w:val="99"/>
    <w:semiHidden/>
    <w:rsid w:val="002848CD"/>
    <w:rPr>
      <w:rFonts w:ascii="Times New Roman" w:hAnsi="Times New Roman" w:cs="Times New Roman"/>
      <w:sz w:val="18"/>
      <w:szCs w:val="18"/>
      <w:lang w:eastAsia="zh-CN"/>
    </w:rPr>
  </w:style>
  <w:style w:type="paragraph" w:customStyle="1" w:styleId="mpctableheading">
    <w:name w:val="mpc table heading"/>
    <w:qFormat/>
    <w:rsid w:val="005E61DE"/>
    <w:rPr>
      <w:b/>
      <w:sz w:val="22"/>
      <w:szCs w:val="22"/>
      <w:lang w:val="en-AU"/>
    </w:rPr>
  </w:style>
  <w:style w:type="character" w:styleId="Emphasis">
    <w:name w:val="Emphasis"/>
    <w:basedOn w:val="DefaultParagraphFont"/>
    <w:qFormat/>
    <w:rsid w:val="00780674"/>
    <w:rPr>
      <w:i/>
      <w:iCs/>
    </w:rPr>
  </w:style>
  <w:style w:type="paragraph" w:styleId="TOCHeading">
    <w:name w:val="TOC Heading"/>
    <w:basedOn w:val="Heading1"/>
    <w:next w:val="Normal"/>
    <w:uiPriority w:val="39"/>
    <w:unhideWhenUsed/>
    <w:qFormat/>
    <w:rsid w:val="00B14491"/>
    <w:pPr>
      <w:keepNext/>
      <w:keepLines/>
      <w:spacing w:before="240" w:after="0" w:line="240" w:lineRule="auto"/>
      <w:outlineLvl w:val="9"/>
    </w:pPr>
    <w:rPr>
      <w:rFonts w:asciiTheme="majorHAnsi" w:eastAsiaTheme="majorEastAsia" w:hAnsiTheme="majorHAnsi" w:cstheme="majorBidi"/>
      <w:b w:val="0"/>
      <w:color w:val="2F5496" w:themeColor="accent1" w:themeShade="BF"/>
      <w:sz w:val="32"/>
      <w:szCs w:val="32"/>
      <w:lang w:val="en-GB" w:eastAsia="zh-CN"/>
    </w:rPr>
  </w:style>
  <w:style w:type="paragraph" w:styleId="Title">
    <w:name w:val="Title"/>
    <w:basedOn w:val="Normal"/>
    <w:next w:val="Normal"/>
    <w:link w:val="TitleChar"/>
    <w:uiPriority w:val="14"/>
    <w:qFormat/>
    <w:rsid w:val="00B14491"/>
    <w:pPr>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4"/>
    <w:rsid w:val="00B14491"/>
    <w:rPr>
      <w:rFonts w:asciiTheme="majorHAnsi" w:eastAsiaTheme="majorEastAsia" w:hAnsiTheme="majorHAnsi" w:cstheme="majorBidi"/>
      <w:spacing w:val="-10"/>
      <w:kern w:val="28"/>
      <w:sz w:val="56"/>
      <w:szCs w:val="56"/>
      <w:lang w:eastAsia="zh-CN"/>
    </w:rPr>
  </w:style>
  <w:style w:type="paragraph" w:styleId="ListParagraph">
    <w:name w:val="List Paragraph"/>
    <w:aliases w:val="Recommendation,List Paragraph1,List Paragraph11,L,#List Paragraph,Bullet Level 1,Bullet Point,Bullet point,Bulletr List Paragraph,Content descriptions,FooterText,List Bullet 1,List Paragraph2,List Paragraph21,Listeafsnit1,リスト段落"/>
    <w:basedOn w:val="Normal"/>
    <w:link w:val="ListParagraphChar"/>
    <w:uiPriority w:val="34"/>
    <w:qFormat/>
    <w:rsid w:val="003116BB"/>
    <w:pPr>
      <w:ind w:left="720"/>
      <w:contextualSpacing/>
    </w:pPr>
    <w:rPr>
      <w:rFonts w:asciiTheme="minorHAnsi" w:hAnsiTheme="minorHAnsi" w:cstheme="minorBidi"/>
      <w:lang w:val="en-US" w:eastAsia="en-US"/>
    </w:rPr>
  </w:style>
  <w:style w:type="character" w:customStyle="1" w:styleId="ListParagraphChar">
    <w:name w:val="List Paragraph Char"/>
    <w:aliases w:val="Recommendation Char,List Paragraph1 Char,List Paragraph11 Char,L Char,#List Paragraph Char,Bullet Level 1 Char,Bullet Point Char,Bullet point Char,Bulletr List Paragraph Char,Content descriptions Char,FooterText Char,リスト段落 Char"/>
    <w:link w:val="ListParagraph"/>
    <w:uiPriority w:val="34"/>
    <w:locked/>
    <w:rsid w:val="003116BB"/>
    <w:rPr>
      <w:lang w:val="en-US"/>
    </w:rPr>
  </w:style>
  <w:style w:type="character" w:styleId="CommentReference">
    <w:name w:val="annotation reference"/>
    <w:basedOn w:val="DefaultParagraphFont"/>
    <w:semiHidden/>
    <w:unhideWhenUsed/>
    <w:rsid w:val="00544B46"/>
    <w:rPr>
      <w:sz w:val="16"/>
      <w:szCs w:val="16"/>
    </w:rPr>
  </w:style>
  <w:style w:type="paragraph" w:styleId="CommentText">
    <w:name w:val="annotation text"/>
    <w:basedOn w:val="Normal"/>
    <w:link w:val="CommentTextChar"/>
    <w:semiHidden/>
    <w:unhideWhenUsed/>
    <w:rsid w:val="00544B46"/>
    <w:rPr>
      <w:sz w:val="20"/>
      <w:szCs w:val="20"/>
    </w:rPr>
  </w:style>
  <w:style w:type="character" w:customStyle="1" w:styleId="CommentTextChar">
    <w:name w:val="Comment Text Char"/>
    <w:basedOn w:val="DefaultParagraphFont"/>
    <w:link w:val="CommentText"/>
    <w:semiHidden/>
    <w:rsid w:val="00544B4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B46"/>
    <w:rPr>
      <w:b/>
      <w:bCs/>
    </w:rPr>
  </w:style>
  <w:style w:type="character" w:customStyle="1" w:styleId="CommentSubjectChar">
    <w:name w:val="Comment Subject Char"/>
    <w:basedOn w:val="CommentTextChar"/>
    <w:link w:val="CommentSubject"/>
    <w:uiPriority w:val="99"/>
    <w:semiHidden/>
    <w:rsid w:val="00544B46"/>
    <w:rPr>
      <w:rFonts w:ascii="Times New Roman" w:hAnsi="Times New Roman" w:cs="Times New Roman"/>
      <w:b/>
      <w:bCs/>
      <w:sz w:val="20"/>
      <w:szCs w:val="20"/>
      <w:lang w:eastAsia="en-GB"/>
    </w:rPr>
  </w:style>
  <w:style w:type="character" w:styleId="Hyperlink">
    <w:name w:val="Hyperlink"/>
    <w:basedOn w:val="DefaultParagraphFont"/>
    <w:uiPriority w:val="99"/>
    <w:unhideWhenUsed/>
    <w:rsid w:val="00577E4D"/>
    <w:rPr>
      <w:color w:val="0000FF"/>
      <w:u w:val="single"/>
    </w:rPr>
  </w:style>
  <w:style w:type="paragraph" w:styleId="FootnoteText">
    <w:name w:val="footnote text"/>
    <w:basedOn w:val="Normal"/>
    <w:link w:val="FootnoteTextChar"/>
    <w:uiPriority w:val="99"/>
    <w:unhideWhenUsed/>
    <w:rsid w:val="00952BD7"/>
  </w:style>
  <w:style w:type="character" w:customStyle="1" w:styleId="FootnoteTextChar">
    <w:name w:val="Footnote Text Char"/>
    <w:basedOn w:val="DefaultParagraphFont"/>
    <w:link w:val="FootnoteText"/>
    <w:uiPriority w:val="99"/>
    <w:rsid w:val="00952BD7"/>
    <w:rPr>
      <w:rFonts w:ascii="Times New Roman" w:hAnsi="Times New Roman" w:cs="Times New Roman"/>
      <w:lang w:eastAsia="en-GB"/>
    </w:rPr>
  </w:style>
  <w:style w:type="character" w:styleId="FootnoteReference">
    <w:name w:val="footnote reference"/>
    <w:basedOn w:val="DefaultParagraphFont"/>
    <w:uiPriority w:val="99"/>
    <w:unhideWhenUsed/>
    <w:rsid w:val="00952BD7"/>
    <w:rPr>
      <w:vertAlign w:val="superscript"/>
    </w:rPr>
  </w:style>
  <w:style w:type="paragraph" w:customStyle="1" w:styleId="mpcbullets10">
    <w:name w:val="mpcbullets1"/>
    <w:basedOn w:val="Normal"/>
    <w:rsid w:val="002B47EC"/>
    <w:pPr>
      <w:spacing w:before="100" w:beforeAutospacing="1" w:after="100" w:afterAutospacing="1"/>
    </w:pPr>
  </w:style>
  <w:style w:type="character" w:styleId="Strong">
    <w:name w:val="Strong"/>
    <w:basedOn w:val="DefaultParagraphFont"/>
    <w:qFormat/>
    <w:rsid w:val="00ED4B92"/>
    <w:rPr>
      <w:b/>
      <w:bCs/>
    </w:rPr>
  </w:style>
  <w:style w:type="character" w:styleId="FollowedHyperlink">
    <w:name w:val="FollowedHyperlink"/>
    <w:basedOn w:val="DefaultParagraphFont"/>
    <w:uiPriority w:val="99"/>
    <w:semiHidden/>
    <w:unhideWhenUsed/>
    <w:rsid w:val="00C37026"/>
    <w:rPr>
      <w:color w:val="954F72" w:themeColor="followedHyperlink"/>
      <w:u w:val="single"/>
    </w:rPr>
  </w:style>
  <w:style w:type="character" w:customStyle="1" w:styleId="Heading4Char">
    <w:name w:val="Heading 4 Char"/>
    <w:basedOn w:val="DefaultParagraphFont"/>
    <w:link w:val="Heading4"/>
    <w:uiPriority w:val="9"/>
    <w:rsid w:val="00C677A7"/>
    <w:rPr>
      <w:rFonts w:asciiTheme="majorHAnsi" w:eastAsiaTheme="majorEastAsia" w:hAnsiTheme="majorHAnsi" w:cstheme="majorBidi"/>
      <w:i/>
      <w:iCs/>
      <w:color w:val="2F5496" w:themeColor="accent1" w:themeShade="BF"/>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4"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C7BDA"/>
    <w:rPr>
      <w:rFonts w:ascii="Times New Roman" w:hAnsi="Times New Roman" w:cs="Times New Roman"/>
      <w:lang w:eastAsia="en-GB"/>
    </w:rPr>
  </w:style>
  <w:style w:type="paragraph" w:styleId="Heading1">
    <w:name w:val="heading 1"/>
    <w:basedOn w:val="Normal"/>
    <w:next w:val="Normal"/>
    <w:link w:val="Heading1Char"/>
    <w:uiPriority w:val="9"/>
    <w:rsid w:val="001220E4"/>
    <w:pPr>
      <w:spacing w:before="1440" w:after="200" w:line="288" w:lineRule="auto"/>
      <w:outlineLvl w:val="0"/>
    </w:pPr>
    <w:rPr>
      <w:rFonts w:ascii="Arial" w:eastAsiaTheme="minorEastAsia" w:hAnsi="Arial" w:cs="Arial"/>
      <w:b/>
      <w:color w:val="FFFFFF" w:themeColor="background1"/>
      <w:sz w:val="96"/>
      <w:szCs w:val="96"/>
      <w:lang w:val="en-US" w:eastAsia="ja-JP"/>
    </w:rPr>
  </w:style>
  <w:style w:type="paragraph" w:styleId="Heading2">
    <w:name w:val="heading 2"/>
    <w:basedOn w:val="Normal"/>
    <w:next w:val="Normal"/>
    <w:link w:val="Heading2Char"/>
    <w:uiPriority w:val="9"/>
    <w:unhideWhenUsed/>
    <w:qFormat/>
    <w:rsid w:val="00C41380"/>
    <w:pPr>
      <w:keepNext/>
      <w:keepLine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4">
    <w:name w:val="heading 4"/>
    <w:basedOn w:val="Normal"/>
    <w:next w:val="Normal"/>
    <w:link w:val="Heading4Char"/>
    <w:uiPriority w:val="9"/>
    <w:unhideWhenUsed/>
    <w:qFormat/>
    <w:rsid w:val="00C677A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380"/>
    <w:pPr>
      <w:tabs>
        <w:tab w:val="center" w:pos="4513"/>
        <w:tab w:val="right" w:pos="9026"/>
      </w:tabs>
    </w:pPr>
    <w:rPr>
      <w:rFonts w:asciiTheme="minorHAnsi" w:hAnsiTheme="minorHAnsi" w:cstheme="minorBidi"/>
      <w:lang w:val="en-AU" w:eastAsia="en-US"/>
    </w:rPr>
  </w:style>
  <w:style w:type="character" w:customStyle="1" w:styleId="HeaderChar">
    <w:name w:val="Header Char"/>
    <w:basedOn w:val="DefaultParagraphFont"/>
    <w:link w:val="Header"/>
    <w:uiPriority w:val="99"/>
    <w:rsid w:val="00C41380"/>
    <w:rPr>
      <w:lang w:val="en-US"/>
    </w:rPr>
  </w:style>
  <w:style w:type="paragraph" w:styleId="Footer">
    <w:name w:val="footer"/>
    <w:basedOn w:val="Normal"/>
    <w:link w:val="FooterChar"/>
    <w:unhideWhenUsed/>
    <w:rsid w:val="00C41380"/>
    <w:pPr>
      <w:tabs>
        <w:tab w:val="center" w:pos="4513"/>
        <w:tab w:val="right" w:pos="9026"/>
      </w:tabs>
    </w:pPr>
    <w:rPr>
      <w:rFonts w:asciiTheme="minorHAnsi" w:hAnsiTheme="minorHAnsi" w:cstheme="minorBidi"/>
      <w:lang w:val="en-AU" w:eastAsia="en-US"/>
    </w:rPr>
  </w:style>
  <w:style w:type="character" w:customStyle="1" w:styleId="FooterChar">
    <w:name w:val="Footer Char"/>
    <w:basedOn w:val="DefaultParagraphFont"/>
    <w:link w:val="Footer"/>
    <w:rsid w:val="00C41380"/>
    <w:rPr>
      <w:lang w:val="en-US"/>
    </w:rPr>
  </w:style>
  <w:style w:type="character" w:styleId="PageNumber">
    <w:name w:val="page number"/>
    <w:basedOn w:val="DefaultParagraphFont"/>
    <w:unhideWhenUsed/>
    <w:rsid w:val="00C41380"/>
  </w:style>
  <w:style w:type="paragraph" w:customStyle="1" w:styleId="mpcheading1">
    <w:name w:val="mpc heading 1"/>
    <w:qFormat/>
    <w:rsid w:val="00434F26"/>
    <w:pPr>
      <w:pBdr>
        <w:bottom w:val="single" w:sz="12" w:space="1" w:color="auto"/>
      </w:pBdr>
      <w:spacing w:after="240"/>
      <w:outlineLvl w:val="0"/>
    </w:pPr>
    <w:rPr>
      <w:b/>
      <w:sz w:val="36"/>
      <w:szCs w:val="36"/>
      <w:lang w:val="en-AU"/>
    </w:rPr>
  </w:style>
  <w:style w:type="paragraph" w:customStyle="1" w:styleId="mpcheading2">
    <w:name w:val="mpc heading 2"/>
    <w:qFormat/>
    <w:rsid w:val="00433054"/>
    <w:pPr>
      <w:pBdr>
        <w:top w:val="single" w:sz="4" w:space="1" w:color="auto"/>
        <w:left w:val="single" w:sz="4" w:space="4" w:color="auto"/>
        <w:bottom w:val="single" w:sz="4" w:space="1" w:color="auto"/>
        <w:right w:val="single" w:sz="4" w:space="4" w:color="auto"/>
      </w:pBdr>
      <w:shd w:val="clear" w:color="auto" w:fill="4CB99B"/>
      <w:spacing w:after="240"/>
    </w:pPr>
    <w:rPr>
      <w:rFonts w:eastAsia="Cambria" w:cs="Times New Roman"/>
      <w:b/>
      <w:bCs/>
      <w:iCs/>
      <w:color w:val="FFFFFF"/>
      <w:sz w:val="28"/>
      <w:szCs w:val="28"/>
      <w:lang w:val="en-AU"/>
    </w:rPr>
  </w:style>
  <w:style w:type="paragraph" w:customStyle="1" w:styleId="mpcbullets1">
    <w:name w:val="mpc bullets 1"/>
    <w:qFormat/>
    <w:rsid w:val="006D1CBF"/>
    <w:pPr>
      <w:numPr>
        <w:numId w:val="1"/>
      </w:numPr>
      <w:spacing w:after="240"/>
      <w:contextualSpacing/>
    </w:pPr>
    <w:rPr>
      <w:lang w:val="en-AU"/>
    </w:rPr>
  </w:style>
  <w:style w:type="paragraph" w:customStyle="1" w:styleId="mpcbullets2">
    <w:name w:val="mpc bullets 2"/>
    <w:qFormat/>
    <w:rsid w:val="00247967"/>
    <w:pPr>
      <w:numPr>
        <w:numId w:val="4"/>
      </w:numPr>
    </w:pPr>
    <w:rPr>
      <w:lang w:val="en-AU"/>
    </w:rPr>
  </w:style>
  <w:style w:type="paragraph" w:customStyle="1" w:styleId="mpcbullets3">
    <w:name w:val="mpc bullets 3"/>
    <w:qFormat/>
    <w:rsid w:val="00247967"/>
    <w:pPr>
      <w:numPr>
        <w:numId w:val="3"/>
      </w:numPr>
    </w:pPr>
    <w:rPr>
      <w:lang w:val="en-AU"/>
    </w:rPr>
  </w:style>
  <w:style w:type="paragraph" w:customStyle="1" w:styleId="mpcnumberedlist">
    <w:name w:val="mpc numbered list"/>
    <w:qFormat/>
    <w:rsid w:val="00247967"/>
    <w:pPr>
      <w:numPr>
        <w:numId w:val="2"/>
      </w:numPr>
    </w:pPr>
    <w:rPr>
      <w:rFonts w:cs="Verdana"/>
      <w:lang w:val="en-AU"/>
    </w:rPr>
  </w:style>
  <w:style w:type="paragraph" w:customStyle="1" w:styleId="mpcNormal">
    <w:name w:val="mpc Normal"/>
    <w:qFormat/>
    <w:rsid w:val="006D1CBF"/>
    <w:pPr>
      <w:spacing w:after="240"/>
    </w:pPr>
    <w:rPr>
      <w:lang w:val="en-AU"/>
    </w:rPr>
  </w:style>
  <w:style w:type="paragraph" w:customStyle="1" w:styleId="mpcheading3">
    <w:name w:val="mpc heading 3"/>
    <w:qFormat/>
    <w:rsid w:val="003320E4"/>
    <w:pPr>
      <w:keepNext/>
      <w:pBdr>
        <w:top w:val="single" w:sz="4" w:space="1" w:color="auto"/>
        <w:left w:val="single" w:sz="4" w:space="4" w:color="auto"/>
        <w:bottom w:val="single" w:sz="4" w:space="1" w:color="auto"/>
        <w:right w:val="single" w:sz="4" w:space="4" w:color="auto"/>
      </w:pBdr>
      <w:spacing w:after="240"/>
    </w:pPr>
    <w:rPr>
      <w:b/>
      <w:bCs/>
      <w:iCs/>
      <w:sz w:val="28"/>
      <w:szCs w:val="28"/>
      <w:lang w:val="en-AU"/>
    </w:rPr>
  </w:style>
  <w:style w:type="paragraph" w:customStyle="1" w:styleId="mpcheading4">
    <w:name w:val="mpc heading 4"/>
    <w:qFormat/>
    <w:rsid w:val="00247967"/>
    <w:rPr>
      <w:b/>
      <w:i/>
      <w:lang w:val="en-AU"/>
    </w:rPr>
  </w:style>
  <w:style w:type="paragraph" w:styleId="TOC1">
    <w:name w:val="toc 1"/>
    <w:basedOn w:val="Normal"/>
    <w:next w:val="Normal"/>
    <w:autoRedefine/>
    <w:uiPriority w:val="39"/>
    <w:unhideWhenUsed/>
    <w:rsid w:val="00C41380"/>
    <w:pPr>
      <w:tabs>
        <w:tab w:val="right" w:leader="dot" w:pos="9736"/>
      </w:tabs>
      <w:spacing w:before="120"/>
    </w:pPr>
    <w:rPr>
      <w:rFonts w:asciiTheme="minorHAnsi" w:hAnsiTheme="minorHAnsi" w:cstheme="minorBidi"/>
      <w:b/>
      <w:bCs/>
      <w:lang w:val="en-AU" w:eastAsia="en-US"/>
    </w:rPr>
  </w:style>
  <w:style w:type="paragraph" w:styleId="TOC2">
    <w:name w:val="toc 2"/>
    <w:basedOn w:val="Normal"/>
    <w:next w:val="Normal"/>
    <w:autoRedefine/>
    <w:uiPriority w:val="39"/>
    <w:unhideWhenUsed/>
    <w:rsid w:val="0002036A"/>
    <w:pPr>
      <w:ind w:left="240"/>
    </w:pPr>
    <w:rPr>
      <w:rFonts w:asciiTheme="minorHAnsi" w:hAnsiTheme="minorHAnsi" w:cstheme="minorBidi"/>
      <w:bCs/>
      <w:sz w:val="22"/>
      <w:szCs w:val="22"/>
      <w:lang w:val="en-AU" w:eastAsia="en-US"/>
    </w:rPr>
  </w:style>
  <w:style w:type="paragraph" w:styleId="TOC3">
    <w:name w:val="toc 3"/>
    <w:basedOn w:val="Normal"/>
    <w:next w:val="Normal"/>
    <w:autoRedefine/>
    <w:uiPriority w:val="39"/>
    <w:unhideWhenUsed/>
    <w:rsid w:val="00C41380"/>
    <w:pPr>
      <w:ind w:left="480"/>
    </w:pPr>
    <w:rPr>
      <w:rFonts w:asciiTheme="minorHAnsi" w:hAnsiTheme="minorHAnsi" w:cstheme="minorBidi"/>
      <w:sz w:val="22"/>
      <w:szCs w:val="22"/>
      <w:lang w:val="en-AU" w:eastAsia="en-US"/>
    </w:rPr>
  </w:style>
  <w:style w:type="paragraph" w:customStyle="1" w:styleId="mpcheading5">
    <w:name w:val="mpc heading 5"/>
    <w:qFormat/>
    <w:rsid w:val="00247967"/>
    <w:rPr>
      <w:b/>
      <w:lang w:val="en-AU"/>
    </w:rPr>
  </w:style>
  <w:style w:type="paragraph" w:customStyle="1" w:styleId="mpcnumberedlist2">
    <w:name w:val="mpc numbered list 2"/>
    <w:next w:val="mpcnumberedlist"/>
    <w:qFormat/>
    <w:rsid w:val="00231A98"/>
    <w:pPr>
      <w:numPr>
        <w:numId w:val="5"/>
      </w:numPr>
    </w:pPr>
    <w:rPr>
      <w:lang w:val="en-AU"/>
    </w:rPr>
  </w:style>
  <w:style w:type="character" w:customStyle="1" w:styleId="Heading2Char">
    <w:name w:val="Heading 2 Char"/>
    <w:basedOn w:val="DefaultParagraphFont"/>
    <w:link w:val="Heading2"/>
    <w:uiPriority w:val="9"/>
    <w:rsid w:val="00C41380"/>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1220E4"/>
    <w:rPr>
      <w:rFonts w:ascii="Arial" w:eastAsiaTheme="minorEastAsia" w:hAnsi="Arial" w:cs="Arial"/>
      <w:b/>
      <w:color w:val="FFFFFF" w:themeColor="background1"/>
      <w:sz w:val="96"/>
      <w:szCs w:val="96"/>
      <w:lang w:val="en-US" w:eastAsia="ja-JP"/>
    </w:rPr>
  </w:style>
  <w:style w:type="paragraph" w:styleId="NoSpacing">
    <w:name w:val="No Spacing"/>
    <w:link w:val="NoSpacingChar"/>
    <w:uiPriority w:val="1"/>
    <w:rsid w:val="002D14BA"/>
    <w:rPr>
      <w:rFonts w:eastAsiaTheme="minorEastAsia"/>
      <w:sz w:val="22"/>
      <w:szCs w:val="22"/>
      <w:lang w:val="en-US" w:eastAsia="zh-CN"/>
    </w:rPr>
  </w:style>
  <w:style w:type="character" w:customStyle="1" w:styleId="NoSpacingChar">
    <w:name w:val="No Spacing Char"/>
    <w:basedOn w:val="DefaultParagraphFont"/>
    <w:link w:val="NoSpacing"/>
    <w:uiPriority w:val="1"/>
    <w:rsid w:val="002D14BA"/>
    <w:rPr>
      <w:rFonts w:eastAsiaTheme="minorEastAsia"/>
      <w:sz w:val="22"/>
      <w:szCs w:val="22"/>
      <w:lang w:val="en-US" w:eastAsia="zh-CN"/>
    </w:rPr>
  </w:style>
  <w:style w:type="paragraph" w:customStyle="1" w:styleId="mpctitle1">
    <w:name w:val="mpc title 1"/>
    <w:qFormat/>
    <w:rsid w:val="00420839"/>
    <w:pPr>
      <w:ind w:left="284"/>
    </w:pPr>
    <w:rPr>
      <w:rFonts w:eastAsiaTheme="minorEastAsia" w:cs="Arial"/>
      <w:color w:val="FFFFFF" w:themeColor="background1"/>
      <w:sz w:val="56"/>
      <w:szCs w:val="56"/>
      <w:lang w:val="en-US" w:eastAsia="ja-JP"/>
    </w:rPr>
  </w:style>
  <w:style w:type="paragraph" w:customStyle="1" w:styleId="mpctitle2">
    <w:name w:val="mpc title 2"/>
    <w:qFormat/>
    <w:rsid w:val="009D37AB"/>
    <w:pPr>
      <w:spacing w:after="800"/>
      <w:ind w:left="284"/>
    </w:pPr>
    <w:rPr>
      <w:rFonts w:eastAsiaTheme="minorEastAsia" w:cs="Arial"/>
      <w:color w:val="FFFFFF" w:themeColor="background1"/>
      <w:sz w:val="36"/>
      <w:szCs w:val="36"/>
      <w:lang w:val="en-US" w:eastAsia="ja-JP"/>
    </w:rPr>
  </w:style>
  <w:style w:type="paragraph" w:styleId="TOC4">
    <w:name w:val="toc 4"/>
    <w:basedOn w:val="Normal"/>
    <w:next w:val="Normal"/>
    <w:autoRedefine/>
    <w:uiPriority w:val="39"/>
    <w:unhideWhenUsed/>
    <w:rsid w:val="00287EDC"/>
    <w:pPr>
      <w:ind w:left="720"/>
    </w:pPr>
    <w:rPr>
      <w:rFonts w:asciiTheme="minorHAnsi" w:hAnsiTheme="minorHAnsi" w:cstheme="minorBidi"/>
      <w:lang w:val="en-AU" w:eastAsia="en-US"/>
    </w:rPr>
  </w:style>
  <w:style w:type="paragraph" w:styleId="TOC5">
    <w:name w:val="toc 5"/>
    <w:basedOn w:val="Normal"/>
    <w:next w:val="Normal"/>
    <w:autoRedefine/>
    <w:uiPriority w:val="39"/>
    <w:unhideWhenUsed/>
    <w:rsid w:val="00287EDC"/>
    <w:pPr>
      <w:ind w:left="960"/>
    </w:pPr>
    <w:rPr>
      <w:rFonts w:asciiTheme="minorHAnsi" w:hAnsiTheme="minorHAnsi" w:cstheme="minorBidi"/>
      <w:lang w:val="en-AU" w:eastAsia="en-US"/>
    </w:rPr>
  </w:style>
  <w:style w:type="paragraph" w:styleId="TOC6">
    <w:name w:val="toc 6"/>
    <w:basedOn w:val="Normal"/>
    <w:next w:val="Normal"/>
    <w:autoRedefine/>
    <w:uiPriority w:val="39"/>
    <w:unhideWhenUsed/>
    <w:rsid w:val="00287EDC"/>
    <w:pPr>
      <w:ind w:left="1200"/>
    </w:pPr>
    <w:rPr>
      <w:rFonts w:asciiTheme="minorHAnsi" w:hAnsiTheme="minorHAnsi" w:cstheme="minorBidi"/>
      <w:lang w:val="en-AU" w:eastAsia="en-US"/>
    </w:rPr>
  </w:style>
  <w:style w:type="paragraph" w:styleId="TOC7">
    <w:name w:val="toc 7"/>
    <w:basedOn w:val="Normal"/>
    <w:next w:val="Normal"/>
    <w:autoRedefine/>
    <w:uiPriority w:val="39"/>
    <w:unhideWhenUsed/>
    <w:rsid w:val="00287EDC"/>
    <w:pPr>
      <w:ind w:left="1440"/>
    </w:pPr>
    <w:rPr>
      <w:rFonts w:asciiTheme="minorHAnsi" w:hAnsiTheme="minorHAnsi" w:cstheme="minorBidi"/>
      <w:lang w:val="en-AU" w:eastAsia="en-US"/>
    </w:rPr>
  </w:style>
  <w:style w:type="paragraph" w:styleId="TOC8">
    <w:name w:val="toc 8"/>
    <w:basedOn w:val="Normal"/>
    <w:next w:val="Normal"/>
    <w:autoRedefine/>
    <w:uiPriority w:val="39"/>
    <w:unhideWhenUsed/>
    <w:rsid w:val="00287EDC"/>
    <w:pPr>
      <w:ind w:left="1680"/>
    </w:pPr>
    <w:rPr>
      <w:rFonts w:asciiTheme="minorHAnsi" w:hAnsiTheme="minorHAnsi" w:cstheme="minorBidi"/>
      <w:lang w:val="en-AU" w:eastAsia="en-US"/>
    </w:rPr>
  </w:style>
  <w:style w:type="paragraph" w:styleId="TOC9">
    <w:name w:val="toc 9"/>
    <w:basedOn w:val="Normal"/>
    <w:next w:val="Normal"/>
    <w:autoRedefine/>
    <w:uiPriority w:val="39"/>
    <w:unhideWhenUsed/>
    <w:rsid w:val="00287EDC"/>
    <w:pPr>
      <w:ind w:left="1920"/>
    </w:pPr>
    <w:rPr>
      <w:rFonts w:asciiTheme="minorHAnsi" w:hAnsiTheme="minorHAnsi" w:cstheme="minorBidi"/>
      <w:lang w:val="en-AU" w:eastAsia="en-US"/>
    </w:rPr>
  </w:style>
  <w:style w:type="paragraph" w:customStyle="1" w:styleId="mpctabletext">
    <w:name w:val="mpc table text"/>
    <w:qFormat/>
    <w:rsid w:val="00AC5A04"/>
    <w:rPr>
      <w:sz w:val="20"/>
      <w:szCs w:val="20"/>
    </w:rPr>
  </w:style>
  <w:style w:type="paragraph" w:styleId="NormalWeb">
    <w:name w:val="Normal (Web)"/>
    <w:basedOn w:val="Normal"/>
    <w:uiPriority w:val="99"/>
    <w:unhideWhenUsed/>
    <w:rsid w:val="00FC3476"/>
    <w:pPr>
      <w:spacing w:before="100" w:beforeAutospacing="1" w:after="100" w:afterAutospacing="1"/>
    </w:pPr>
    <w:rPr>
      <w:lang w:eastAsia="zh-CN"/>
    </w:rPr>
  </w:style>
  <w:style w:type="paragraph" w:customStyle="1" w:styleId="p1">
    <w:name w:val="p1"/>
    <w:basedOn w:val="Normal"/>
    <w:rsid w:val="00BA7ECF"/>
    <w:rPr>
      <w:rFonts w:ascii="Calibri" w:hAnsi="Calibri"/>
      <w:sz w:val="18"/>
      <w:szCs w:val="18"/>
      <w:lang w:eastAsia="zh-CN"/>
    </w:rPr>
  </w:style>
  <w:style w:type="paragraph" w:customStyle="1" w:styleId="p2">
    <w:name w:val="p2"/>
    <w:basedOn w:val="Normal"/>
    <w:rsid w:val="00BA7ECF"/>
    <w:rPr>
      <w:rFonts w:ascii="Calibri" w:hAnsi="Calibri"/>
      <w:sz w:val="17"/>
      <w:szCs w:val="17"/>
      <w:lang w:eastAsia="zh-CN"/>
    </w:rPr>
  </w:style>
  <w:style w:type="character" w:customStyle="1" w:styleId="apple-converted-space">
    <w:name w:val="apple-converted-space"/>
    <w:basedOn w:val="DefaultParagraphFont"/>
    <w:rsid w:val="00BA7ECF"/>
  </w:style>
  <w:style w:type="table" w:styleId="TableGrid">
    <w:name w:val="Table Grid"/>
    <w:basedOn w:val="TableNormal"/>
    <w:uiPriority w:val="39"/>
    <w:rsid w:val="0011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8CD"/>
    <w:rPr>
      <w:sz w:val="18"/>
      <w:szCs w:val="18"/>
      <w:lang w:eastAsia="zh-CN"/>
    </w:rPr>
  </w:style>
  <w:style w:type="character" w:customStyle="1" w:styleId="BalloonTextChar">
    <w:name w:val="Balloon Text Char"/>
    <w:basedOn w:val="DefaultParagraphFont"/>
    <w:link w:val="BalloonText"/>
    <w:uiPriority w:val="99"/>
    <w:semiHidden/>
    <w:rsid w:val="002848CD"/>
    <w:rPr>
      <w:rFonts w:ascii="Times New Roman" w:hAnsi="Times New Roman" w:cs="Times New Roman"/>
      <w:sz w:val="18"/>
      <w:szCs w:val="18"/>
      <w:lang w:eastAsia="zh-CN"/>
    </w:rPr>
  </w:style>
  <w:style w:type="paragraph" w:customStyle="1" w:styleId="mpctableheading">
    <w:name w:val="mpc table heading"/>
    <w:qFormat/>
    <w:rsid w:val="005E61DE"/>
    <w:rPr>
      <w:b/>
      <w:sz w:val="22"/>
      <w:szCs w:val="22"/>
      <w:lang w:val="en-AU"/>
    </w:rPr>
  </w:style>
  <w:style w:type="character" w:styleId="Emphasis">
    <w:name w:val="Emphasis"/>
    <w:basedOn w:val="DefaultParagraphFont"/>
    <w:qFormat/>
    <w:rsid w:val="00780674"/>
    <w:rPr>
      <w:i/>
      <w:iCs/>
    </w:rPr>
  </w:style>
  <w:style w:type="paragraph" w:styleId="TOCHeading">
    <w:name w:val="TOC Heading"/>
    <w:basedOn w:val="Heading1"/>
    <w:next w:val="Normal"/>
    <w:uiPriority w:val="39"/>
    <w:unhideWhenUsed/>
    <w:qFormat/>
    <w:rsid w:val="00B14491"/>
    <w:pPr>
      <w:keepNext/>
      <w:keepLines/>
      <w:spacing w:before="240" w:after="0" w:line="240" w:lineRule="auto"/>
      <w:outlineLvl w:val="9"/>
    </w:pPr>
    <w:rPr>
      <w:rFonts w:asciiTheme="majorHAnsi" w:eastAsiaTheme="majorEastAsia" w:hAnsiTheme="majorHAnsi" w:cstheme="majorBidi"/>
      <w:b w:val="0"/>
      <w:color w:val="2F5496" w:themeColor="accent1" w:themeShade="BF"/>
      <w:sz w:val="32"/>
      <w:szCs w:val="32"/>
      <w:lang w:val="en-GB" w:eastAsia="zh-CN"/>
    </w:rPr>
  </w:style>
  <w:style w:type="paragraph" w:styleId="Title">
    <w:name w:val="Title"/>
    <w:basedOn w:val="Normal"/>
    <w:next w:val="Normal"/>
    <w:link w:val="TitleChar"/>
    <w:uiPriority w:val="14"/>
    <w:qFormat/>
    <w:rsid w:val="00B14491"/>
    <w:pPr>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4"/>
    <w:rsid w:val="00B14491"/>
    <w:rPr>
      <w:rFonts w:asciiTheme="majorHAnsi" w:eastAsiaTheme="majorEastAsia" w:hAnsiTheme="majorHAnsi" w:cstheme="majorBidi"/>
      <w:spacing w:val="-10"/>
      <w:kern w:val="28"/>
      <w:sz w:val="56"/>
      <w:szCs w:val="56"/>
      <w:lang w:eastAsia="zh-CN"/>
    </w:rPr>
  </w:style>
  <w:style w:type="paragraph" w:styleId="ListParagraph">
    <w:name w:val="List Paragraph"/>
    <w:aliases w:val="Recommendation,List Paragraph1,List Paragraph11,L,#List Paragraph,Bullet Level 1,Bullet Point,Bullet point,Bulletr List Paragraph,Content descriptions,FooterText,List Bullet 1,List Paragraph2,List Paragraph21,Listeafsnit1,リスト段落"/>
    <w:basedOn w:val="Normal"/>
    <w:link w:val="ListParagraphChar"/>
    <w:uiPriority w:val="34"/>
    <w:qFormat/>
    <w:rsid w:val="003116BB"/>
    <w:pPr>
      <w:ind w:left="720"/>
      <w:contextualSpacing/>
    </w:pPr>
    <w:rPr>
      <w:rFonts w:asciiTheme="minorHAnsi" w:hAnsiTheme="minorHAnsi" w:cstheme="minorBidi"/>
      <w:lang w:val="en-US" w:eastAsia="en-US"/>
    </w:rPr>
  </w:style>
  <w:style w:type="character" w:customStyle="1" w:styleId="ListParagraphChar">
    <w:name w:val="List Paragraph Char"/>
    <w:aliases w:val="Recommendation Char,List Paragraph1 Char,List Paragraph11 Char,L Char,#List Paragraph Char,Bullet Level 1 Char,Bullet Point Char,Bullet point Char,Bulletr List Paragraph Char,Content descriptions Char,FooterText Char,リスト段落 Char"/>
    <w:link w:val="ListParagraph"/>
    <w:uiPriority w:val="34"/>
    <w:locked/>
    <w:rsid w:val="003116BB"/>
    <w:rPr>
      <w:lang w:val="en-US"/>
    </w:rPr>
  </w:style>
  <w:style w:type="character" w:styleId="CommentReference">
    <w:name w:val="annotation reference"/>
    <w:basedOn w:val="DefaultParagraphFont"/>
    <w:semiHidden/>
    <w:unhideWhenUsed/>
    <w:rsid w:val="00544B46"/>
    <w:rPr>
      <w:sz w:val="16"/>
      <w:szCs w:val="16"/>
    </w:rPr>
  </w:style>
  <w:style w:type="paragraph" w:styleId="CommentText">
    <w:name w:val="annotation text"/>
    <w:basedOn w:val="Normal"/>
    <w:link w:val="CommentTextChar"/>
    <w:semiHidden/>
    <w:unhideWhenUsed/>
    <w:rsid w:val="00544B46"/>
    <w:rPr>
      <w:sz w:val="20"/>
      <w:szCs w:val="20"/>
    </w:rPr>
  </w:style>
  <w:style w:type="character" w:customStyle="1" w:styleId="CommentTextChar">
    <w:name w:val="Comment Text Char"/>
    <w:basedOn w:val="DefaultParagraphFont"/>
    <w:link w:val="CommentText"/>
    <w:semiHidden/>
    <w:rsid w:val="00544B4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B46"/>
    <w:rPr>
      <w:b/>
      <w:bCs/>
    </w:rPr>
  </w:style>
  <w:style w:type="character" w:customStyle="1" w:styleId="CommentSubjectChar">
    <w:name w:val="Comment Subject Char"/>
    <w:basedOn w:val="CommentTextChar"/>
    <w:link w:val="CommentSubject"/>
    <w:uiPriority w:val="99"/>
    <w:semiHidden/>
    <w:rsid w:val="00544B46"/>
    <w:rPr>
      <w:rFonts w:ascii="Times New Roman" w:hAnsi="Times New Roman" w:cs="Times New Roman"/>
      <w:b/>
      <w:bCs/>
      <w:sz w:val="20"/>
      <w:szCs w:val="20"/>
      <w:lang w:eastAsia="en-GB"/>
    </w:rPr>
  </w:style>
  <w:style w:type="character" w:styleId="Hyperlink">
    <w:name w:val="Hyperlink"/>
    <w:basedOn w:val="DefaultParagraphFont"/>
    <w:uiPriority w:val="99"/>
    <w:unhideWhenUsed/>
    <w:rsid w:val="00577E4D"/>
    <w:rPr>
      <w:color w:val="0000FF"/>
      <w:u w:val="single"/>
    </w:rPr>
  </w:style>
  <w:style w:type="paragraph" w:styleId="FootnoteText">
    <w:name w:val="footnote text"/>
    <w:basedOn w:val="Normal"/>
    <w:link w:val="FootnoteTextChar"/>
    <w:uiPriority w:val="99"/>
    <w:unhideWhenUsed/>
    <w:rsid w:val="00952BD7"/>
  </w:style>
  <w:style w:type="character" w:customStyle="1" w:styleId="FootnoteTextChar">
    <w:name w:val="Footnote Text Char"/>
    <w:basedOn w:val="DefaultParagraphFont"/>
    <w:link w:val="FootnoteText"/>
    <w:uiPriority w:val="99"/>
    <w:rsid w:val="00952BD7"/>
    <w:rPr>
      <w:rFonts w:ascii="Times New Roman" w:hAnsi="Times New Roman" w:cs="Times New Roman"/>
      <w:lang w:eastAsia="en-GB"/>
    </w:rPr>
  </w:style>
  <w:style w:type="character" w:styleId="FootnoteReference">
    <w:name w:val="footnote reference"/>
    <w:basedOn w:val="DefaultParagraphFont"/>
    <w:uiPriority w:val="99"/>
    <w:unhideWhenUsed/>
    <w:rsid w:val="00952BD7"/>
    <w:rPr>
      <w:vertAlign w:val="superscript"/>
    </w:rPr>
  </w:style>
  <w:style w:type="paragraph" w:customStyle="1" w:styleId="mpcbullets10">
    <w:name w:val="mpcbullets1"/>
    <w:basedOn w:val="Normal"/>
    <w:rsid w:val="002B47EC"/>
    <w:pPr>
      <w:spacing w:before="100" w:beforeAutospacing="1" w:after="100" w:afterAutospacing="1"/>
    </w:pPr>
  </w:style>
  <w:style w:type="character" w:styleId="Strong">
    <w:name w:val="Strong"/>
    <w:basedOn w:val="DefaultParagraphFont"/>
    <w:qFormat/>
    <w:rsid w:val="00ED4B92"/>
    <w:rPr>
      <w:b/>
      <w:bCs/>
    </w:rPr>
  </w:style>
  <w:style w:type="character" w:styleId="FollowedHyperlink">
    <w:name w:val="FollowedHyperlink"/>
    <w:basedOn w:val="DefaultParagraphFont"/>
    <w:uiPriority w:val="99"/>
    <w:semiHidden/>
    <w:unhideWhenUsed/>
    <w:rsid w:val="00C37026"/>
    <w:rPr>
      <w:color w:val="954F72" w:themeColor="followedHyperlink"/>
      <w:u w:val="single"/>
    </w:rPr>
  </w:style>
  <w:style w:type="character" w:customStyle="1" w:styleId="Heading4Char">
    <w:name w:val="Heading 4 Char"/>
    <w:basedOn w:val="DefaultParagraphFont"/>
    <w:link w:val="Heading4"/>
    <w:uiPriority w:val="9"/>
    <w:rsid w:val="00C677A7"/>
    <w:rPr>
      <w:rFonts w:asciiTheme="majorHAnsi" w:eastAsiaTheme="majorEastAsia" w:hAnsiTheme="majorHAnsi" w:cstheme="majorBidi"/>
      <w:i/>
      <w:iCs/>
      <w:color w:val="2F5496"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23">
      <w:bodyDiv w:val="1"/>
      <w:marLeft w:val="0"/>
      <w:marRight w:val="0"/>
      <w:marTop w:val="0"/>
      <w:marBottom w:val="0"/>
      <w:divBdr>
        <w:top w:val="none" w:sz="0" w:space="0" w:color="auto"/>
        <w:left w:val="none" w:sz="0" w:space="0" w:color="auto"/>
        <w:bottom w:val="none" w:sz="0" w:space="0" w:color="auto"/>
        <w:right w:val="none" w:sz="0" w:space="0" w:color="auto"/>
      </w:divBdr>
    </w:div>
    <w:div w:id="6098951">
      <w:bodyDiv w:val="1"/>
      <w:marLeft w:val="0"/>
      <w:marRight w:val="0"/>
      <w:marTop w:val="0"/>
      <w:marBottom w:val="0"/>
      <w:divBdr>
        <w:top w:val="none" w:sz="0" w:space="0" w:color="auto"/>
        <w:left w:val="none" w:sz="0" w:space="0" w:color="auto"/>
        <w:bottom w:val="none" w:sz="0" w:space="0" w:color="auto"/>
        <w:right w:val="none" w:sz="0" w:space="0" w:color="auto"/>
      </w:divBdr>
    </w:div>
    <w:div w:id="7488137">
      <w:bodyDiv w:val="1"/>
      <w:marLeft w:val="0"/>
      <w:marRight w:val="0"/>
      <w:marTop w:val="0"/>
      <w:marBottom w:val="0"/>
      <w:divBdr>
        <w:top w:val="none" w:sz="0" w:space="0" w:color="auto"/>
        <w:left w:val="none" w:sz="0" w:space="0" w:color="auto"/>
        <w:bottom w:val="none" w:sz="0" w:space="0" w:color="auto"/>
        <w:right w:val="none" w:sz="0" w:space="0" w:color="auto"/>
      </w:divBdr>
    </w:div>
    <w:div w:id="42992285">
      <w:bodyDiv w:val="1"/>
      <w:marLeft w:val="0"/>
      <w:marRight w:val="0"/>
      <w:marTop w:val="0"/>
      <w:marBottom w:val="0"/>
      <w:divBdr>
        <w:top w:val="none" w:sz="0" w:space="0" w:color="auto"/>
        <w:left w:val="none" w:sz="0" w:space="0" w:color="auto"/>
        <w:bottom w:val="none" w:sz="0" w:space="0" w:color="auto"/>
        <w:right w:val="none" w:sz="0" w:space="0" w:color="auto"/>
      </w:divBdr>
    </w:div>
    <w:div w:id="47187556">
      <w:bodyDiv w:val="1"/>
      <w:marLeft w:val="0"/>
      <w:marRight w:val="0"/>
      <w:marTop w:val="0"/>
      <w:marBottom w:val="0"/>
      <w:divBdr>
        <w:top w:val="none" w:sz="0" w:space="0" w:color="auto"/>
        <w:left w:val="none" w:sz="0" w:space="0" w:color="auto"/>
        <w:bottom w:val="none" w:sz="0" w:space="0" w:color="auto"/>
        <w:right w:val="none" w:sz="0" w:space="0" w:color="auto"/>
      </w:divBdr>
    </w:div>
    <w:div w:id="51661888">
      <w:bodyDiv w:val="1"/>
      <w:marLeft w:val="0"/>
      <w:marRight w:val="0"/>
      <w:marTop w:val="0"/>
      <w:marBottom w:val="0"/>
      <w:divBdr>
        <w:top w:val="none" w:sz="0" w:space="0" w:color="auto"/>
        <w:left w:val="none" w:sz="0" w:space="0" w:color="auto"/>
        <w:bottom w:val="none" w:sz="0" w:space="0" w:color="auto"/>
        <w:right w:val="none" w:sz="0" w:space="0" w:color="auto"/>
      </w:divBdr>
    </w:div>
    <w:div w:id="53509746">
      <w:bodyDiv w:val="1"/>
      <w:marLeft w:val="0"/>
      <w:marRight w:val="0"/>
      <w:marTop w:val="0"/>
      <w:marBottom w:val="0"/>
      <w:divBdr>
        <w:top w:val="none" w:sz="0" w:space="0" w:color="auto"/>
        <w:left w:val="none" w:sz="0" w:space="0" w:color="auto"/>
        <w:bottom w:val="none" w:sz="0" w:space="0" w:color="auto"/>
        <w:right w:val="none" w:sz="0" w:space="0" w:color="auto"/>
      </w:divBdr>
    </w:div>
    <w:div w:id="66341617">
      <w:bodyDiv w:val="1"/>
      <w:marLeft w:val="0"/>
      <w:marRight w:val="0"/>
      <w:marTop w:val="0"/>
      <w:marBottom w:val="0"/>
      <w:divBdr>
        <w:top w:val="none" w:sz="0" w:space="0" w:color="auto"/>
        <w:left w:val="none" w:sz="0" w:space="0" w:color="auto"/>
        <w:bottom w:val="none" w:sz="0" w:space="0" w:color="auto"/>
        <w:right w:val="none" w:sz="0" w:space="0" w:color="auto"/>
      </w:divBdr>
    </w:div>
    <w:div w:id="109473863">
      <w:bodyDiv w:val="1"/>
      <w:marLeft w:val="0"/>
      <w:marRight w:val="0"/>
      <w:marTop w:val="0"/>
      <w:marBottom w:val="0"/>
      <w:divBdr>
        <w:top w:val="none" w:sz="0" w:space="0" w:color="auto"/>
        <w:left w:val="none" w:sz="0" w:space="0" w:color="auto"/>
        <w:bottom w:val="none" w:sz="0" w:space="0" w:color="auto"/>
        <w:right w:val="none" w:sz="0" w:space="0" w:color="auto"/>
      </w:divBdr>
    </w:div>
    <w:div w:id="112408280">
      <w:bodyDiv w:val="1"/>
      <w:marLeft w:val="0"/>
      <w:marRight w:val="0"/>
      <w:marTop w:val="0"/>
      <w:marBottom w:val="0"/>
      <w:divBdr>
        <w:top w:val="none" w:sz="0" w:space="0" w:color="auto"/>
        <w:left w:val="none" w:sz="0" w:space="0" w:color="auto"/>
        <w:bottom w:val="none" w:sz="0" w:space="0" w:color="auto"/>
        <w:right w:val="none" w:sz="0" w:space="0" w:color="auto"/>
      </w:divBdr>
    </w:div>
    <w:div w:id="117727777">
      <w:bodyDiv w:val="1"/>
      <w:marLeft w:val="0"/>
      <w:marRight w:val="0"/>
      <w:marTop w:val="0"/>
      <w:marBottom w:val="0"/>
      <w:divBdr>
        <w:top w:val="none" w:sz="0" w:space="0" w:color="auto"/>
        <w:left w:val="none" w:sz="0" w:space="0" w:color="auto"/>
        <w:bottom w:val="none" w:sz="0" w:space="0" w:color="auto"/>
        <w:right w:val="none" w:sz="0" w:space="0" w:color="auto"/>
      </w:divBdr>
    </w:div>
    <w:div w:id="129396879">
      <w:bodyDiv w:val="1"/>
      <w:marLeft w:val="0"/>
      <w:marRight w:val="0"/>
      <w:marTop w:val="0"/>
      <w:marBottom w:val="0"/>
      <w:divBdr>
        <w:top w:val="none" w:sz="0" w:space="0" w:color="auto"/>
        <w:left w:val="none" w:sz="0" w:space="0" w:color="auto"/>
        <w:bottom w:val="none" w:sz="0" w:space="0" w:color="auto"/>
        <w:right w:val="none" w:sz="0" w:space="0" w:color="auto"/>
      </w:divBdr>
    </w:div>
    <w:div w:id="150173126">
      <w:bodyDiv w:val="1"/>
      <w:marLeft w:val="0"/>
      <w:marRight w:val="0"/>
      <w:marTop w:val="0"/>
      <w:marBottom w:val="0"/>
      <w:divBdr>
        <w:top w:val="none" w:sz="0" w:space="0" w:color="auto"/>
        <w:left w:val="none" w:sz="0" w:space="0" w:color="auto"/>
        <w:bottom w:val="none" w:sz="0" w:space="0" w:color="auto"/>
        <w:right w:val="none" w:sz="0" w:space="0" w:color="auto"/>
      </w:divBdr>
    </w:div>
    <w:div w:id="151722092">
      <w:bodyDiv w:val="1"/>
      <w:marLeft w:val="0"/>
      <w:marRight w:val="0"/>
      <w:marTop w:val="0"/>
      <w:marBottom w:val="0"/>
      <w:divBdr>
        <w:top w:val="none" w:sz="0" w:space="0" w:color="auto"/>
        <w:left w:val="none" w:sz="0" w:space="0" w:color="auto"/>
        <w:bottom w:val="none" w:sz="0" w:space="0" w:color="auto"/>
        <w:right w:val="none" w:sz="0" w:space="0" w:color="auto"/>
      </w:divBdr>
    </w:div>
    <w:div w:id="182287608">
      <w:bodyDiv w:val="1"/>
      <w:marLeft w:val="0"/>
      <w:marRight w:val="0"/>
      <w:marTop w:val="0"/>
      <w:marBottom w:val="0"/>
      <w:divBdr>
        <w:top w:val="none" w:sz="0" w:space="0" w:color="auto"/>
        <w:left w:val="none" w:sz="0" w:space="0" w:color="auto"/>
        <w:bottom w:val="none" w:sz="0" w:space="0" w:color="auto"/>
        <w:right w:val="none" w:sz="0" w:space="0" w:color="auto"/>
      </w:divBdr>
    </w:div>
    <w:div w:id="188841524">
      <w:bodyDiv w:val="1"/>
      <w:marLeft w:val="0"/>
      <w:marRight w:val="0"/>
      <w:marTop w:val="0"/>
      <w:marBottom w:val="0"/>
      <w:divBdr>
        <w:top w:val="none" w:sz="0" w:space="0" w:color="auto"/>
        <w:left w:val="none" w:sz="0" w:space="0" w:color="auto"/>
        <w:bottom w:val="none" w:sz="0" w:space="0" w:color="auto"/>
        <w:right w:val="none" w:sz="0" w:space="0" w:color="auto"/>
      </w:divBdr>
      <w:divsChild>
        <w:div w:id="2142306444">
          <w:marLeft w:val="0"/>
          <w:marRight w:val="0"/>
          <w:marTop w:val="0"/>
          <w:marBottom w:val="0"/>
          <w:divBdr>
            <w:top w:val="none" w:sz="0" w:space="0" w:color="auto"/>
            <w:left w:val="none" w:sz="0" w:space="0" w:color="auto"/>
            <w:bottom w:val="none" w:sz="0" w:space="0" w:color="auto"/>
            <w:right w:val="none" w:sz="0" w:space="0" w:color="auto"/>
          </w:divBdr>
          <w:divsChild>
            <w:div w:id="432552864">
              <w:marLeft w:val="0"/>
              <w:marRight w:val="0"/>
              <w:marTop w:val="0"/>
              <w:marBottom w:val="0"/>
              <w:divBdr>
                <w:top w:val="none" w:sz="0" w:space="0" w:color="auto"/>
                <w:left w:val="none" w:sz="0" w:space="0" w:color="auto"/>
                <w:bottom w:val="none" w:sz="0" w:space="0" w:color="auto"/>
                <w:right w:val="none" w:sz="0" w:space="0" w:color="auto"/>
              </w:divBdr>
              <w:divsChild>
                <w:div w:id="16081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0119">
      <w:bodyDiv w:val="1"/>
      <w:marLeft w:val="0"/>
      <w:marRight w:val="0"/>
      <w:marTop w:val="0"/>
      <w:marBottom w:val="0"/>
      <w:divBdr>
        <w:top w:val="none" w:sz="0" w:space="0" w:color="auto"/>
        <w:left w:val="none" w:sz="0" w:space="0" w:color="auto"/>
        <w:bottom w:val="none" w:sz="0" w:space="0" w:color="auto"/>
        <w:right w:val="none" w:sz="0" w:space="0" w:color="auto"/>
      </w:divBdr>
    </w:div>
    <w:div w:id="206651133">
      <w:bodyDiv w:val="1"/>
      <w:marLeft w:val="0"/>
      <w:marRight w:val="0"/>
      <w:marTop w:val="0"/>
      <w:marBottom w:val="0"/>
      <w:divBdr>
        <w:top w:val="none" w:sz="0" w:space="0" w:color="auto"/>
        <w:left w:val="none" w:sz="0" w:space="0" w:color="auto"/>
        <w:bottom w:val="none" w:sz="0" w:space="0" w:color="auto"/>
        <w:right w:val="none" w:sz="0" w:space="0" w:color="auto"/>
      </w:divBdr>
    </w:div>
    <w:div w:id="243956998">
      <w:bodyDiv w:val="1"/>
      <w:marLeft w:val="0"/>
      <w:marRight w:val="0"/>
      <w:marTop w:val="0"/>
      <w:marBottom w:val="0"/>
      <w:divBdr>
        <w:top w:val="none" w:sz="0" w:space="0" w:color="auto"/>
        <w:left w:val="none" w:sz="0" w:space="0" w:color="auto"/>
        <w:bottom w:val="none" w:sz="0" w:space="0" w:color="auto"/>
        <w:right w:val="none" w:sz="0" w:space="0" w:color="auto"/>
      </w:divBdr>
    </w:div>
    <w:div w:id="288321626">
      <w:bodyDiv w:val="1"/>
      <w:marLeft w:val="0"/>
      <w:marRight w:val="0"/>
      <w:marTop w:val="0"/>
      <w:marBottom w:val="0"/>
      <w:divBdr>
        <w:top w:val="none" w:sz="0" w:space="0" w:color="auto"/>
        <w:left w:val="none" w:sz="0" w:space="0" w:color="auto"/>
        <w:bottom w:val="none" w:sz="0" w:space="0" w:color="auto"/>
        <w:right w:val="none" w:sz="0" w:space="0" w:color="auto"/>
      </w:divBdr>
    </w:div>
    <w:div w:id="316959010">
      <w:bodyDiv w:val="1"/>
      <w:marLeft w:val="0"/>
      <w:marRight w:val="0"/>
      <w:marTop w:val="0"/>
      <w:marBottom w:val="0"/>
      <w:divBdr>
        <w:top w:val="none" w:sz="0" w:space="0" w:color="auto"/>
        <w:left w:val="none" w:sz="0" w:space="0" w:color="auto"/>
        <w:bottom w:val="none" w:sz="0" w:space="0" w:color="auto"/>
        <w:right w:val="none" w:sz="0" w:space="0" w:color="auto"/>
      </w:divBdr>
    </w:div>
    <w:div w:id="319190457">
      <w:bodyDiv w:val="1"/>
      <w:marLeft w:val="0"/>
      <w:marRight w:val="0"/>
      <w:marTop w:val="0"/>
      <w:marBottom w:val="0"/>
      <w:divBdr>
        <w:top w:val="none" w:sz="0" w:space="0" w:color="auto"/>
        <w:left w:val="none" w:sz="0" w:space="0" w:color="auto"/>
        <w:bottom w:val="none" w:sz="0" w:space="0" w:color="auto"/>
        <w:right w:val="none" w:sz="0" w:space="0" w:color="auto"/>
      </w:divBdr>
    </w:div>
    <w:div w:id="323164967">
      <w:bodyDiv w:val="1"/>
      <w:marLeft w:val="0"/>
      <w:marRight w:val="0"/>
      <w:marTop w:val="0"/>
      <w:marBottom w:val="0"/>
      <w:divBdr>
        <w:top w:val="none" w:sz="0" w:space="0" w:color="auto"/>
        <w:left w:val="none" w:sz="0" w:space="0" w:color="auto"/>
        <w:bottom w:val="none" w:sz="0" w:space="0" w:color="auto"/>
        <w:right w:val="none" w:sz="0" w:space="0" w:color="auto"/>
      </w:divBdr>
    </w:div>
    <w:div w:id="331375710">
      <w:bodyDiv w:val="1"/>
      <w:marLeft w:val="0"/>
      <w:marRight w:val="0"/>
      <w:marTop w:val="0"/>
      <w:marBottom w:val="0"/>
      <w:divBdr>
        <w:top w:val="none" w:sz="0" w:space="0" w:color="auto"/>
        <w:left w:val="none" w:sz="0" w:space="0" w:color="auto"/>
        <w:bottom w:val="none" w:sz="0" w:space="0" w:color="auto"/>
        <w:right w:val="none" w:sz="0" w:space="0" w:color="auto"/>
      </w:divBdr>
    </w:div>
    <w:div w:id="332031172">
      <w:bodyDiv w:val="1"/>
      <w:marLeft w:val="0"/>
      <w:marRight w:val="0"/>
      <w:marTop w:val="0"/>
      <w:marBottom w:val="0"/>
      <w:divBdr>
        <w:top w:val="none" w:sz="0" w:space="0" w:color="auto"/>
        <w:left w:val="none" w:sz="0" w:space="0" w:color="auto"/>
        <w:bottom w:val="none" w:sz="0" w:space="0" w:color="auto"/>
        <w:right w:val="none" w:sz="0" w:space="0" w:color="auto"/>
      </w:divBdr>
    </w:div>
    <w:div w:id="335697807">
      <w:bodyDiv w:val="1"/>
      <w:marLeft w:val="0"/>
      <w:marRight w:val="0"/>
      <w:marTop w:val="0"/>
      <w:marBottom w:val="0"/>
      <w:divBdr>
        <w:top w:val="none" w:sz="0" w:space="0" w:color="auto"/>
        <w:left w:val="none" w:sz="0" w:space="0" w:color="auto"/>
        <w:bottom w:val="none" w:sz="0" w:space="0" w:color="auto"/>
        <w:right w:val="none" w:sz="0" w:space="0" w:color="auto"/>
      </w:divBdr>
    </w:div>
    <w:div w:id="338971712">
      <w:bodyDiv w:val="1"/>
      <w:marLeft w:val="0"/>
      <w:marRight w:val="0"/>
      <w:marTop w:val="0"/>
      <w:marBottom w:val="0"/>
      <w:divBdr>
        <w:top w:val="none" w:sz="0" w:space="0" w:color="auto"/>
        <w:left w:val="none" w:sz="0" w:space="0" w:color="auto"/>
        <w:bottom w:val="none" w:sz="0" w:space="0" w:color="auto"/>
        <w:right w:val="none" w:sz="0" w:space="0" w:color="auto"/>
      </w:divBdr>
    </w:div>
    <w:div w:id="355740365">
      <w:bodyDiv w:val="1"/>
      <w:marLeft w:val="0"/>
      <w:marRight w:val="0"/>
      <w:marTop w:val="0"/>
      <w:marBottom w:val="0"/>
      <w:divBdr>
        <w:top w:val="none" w:sz="0" w:space="0" w:color="auto"/>
        <w:left w:val="none" w:sz="0" w:space="0" w:color="auto"/>
        <w:bottom w:val="none" w:sz="0" w:space="0" w:color="auto"/>
        <w:right w:val="none" w:sz="0" w:space="0" w:color="auto"/>
      </w:divBdr>
    </w:div>
    <w:div w:id="366486873">
      <w:bodyDiv w:val="1"/>
      <w:marLeft w:val="0"/>
      <w:marRight w:val="0"/>
      <w:marTop w:val="0"/>
      <w:marBottom w:val="0"/>
      <w:divBdr>
        <w:top w:val="none" w:sz="0" w:space="0" w:color="auto"/>
        <w:left w:val="none" w:sz="0" w:space="0" w:color="auto"/>
        <w:bottom w:val="none" w:sz="0" w:space="0" w:color="auto"/>
        <w:right w:val="none" w:sz="0" w:space="0" w:color="auto"/>
      </w:divBdr>
    </w:div>
    <w:div w:id="371930007">
      <w:bodyDiv w:val="1"/>
      <w:marLeft w:val="0"/>
      <w:marRight w:val="0"/>
      <w:marTop w:val="0"/>
      <w:marBottom w:val="0"/>
      <w:divBdr>
        <w:top w:val="none" w:sz="0" w:space="0" w:color="auto"/>
        <w:left w:val="none" w:sz="0" w:space="0" w:color="auto"/>
        <w:bottom w:val="none" w:sz="0" w:space="0" w:color="auto"/>
        <w:right w:val="none" w:sz="0" w:space="0" w:color="auto"/>
      </w:divBdr>
      <w:divsChild>
        <w:div w:id="164976603">
          <w:marLeft w:val="0"/>
          <w:marRight w:val="0"/>
          <w:marTop w:val="0"/>
          <w:marBottom w:val="0"/>
          <w:divBdr>
            <w:top w:val="none" w:sz="0" w:space="0" w:color="auto"/>
            <w:left w:val="none" w:sz="0" w:space="0" w:color="auto"/>
            <w:bottom w:val="none" w:sz="0" w:space="0" w:color="auto"/>
            <w:right w:val="none" w:sz="0" w:space="0" w:color="auto"/>
          </w:divBdr>
          <w:divsChild>
            <w:div w:id="1873230336">
              <w:marLeft w:val="0"/>
              <w:marRight w:val="0"/>
              <w:marTop w:val="0"/>
              <w:marBottom w:val="0"/>
              <w:divBdr>
                <w:top w:val="none" w:sz="0" w:space="0" w:color="auto"/>
                <w:left w:val="none" w:sz="0" w:space="0" w:color="auto"/>
                <w:bottom w:val="none" w:sz="0" w:space="0" w:color="auto"/>
                <w:right w:val="none" w:sz="0" w:space="0" w:color="auto"/>
              </w:divBdr>
              <w:divsChild>
                <w:div w:id="19625561">
                  <w:marLeft w:val="0"/>
                  <w:marRight w:val="0"/>
                  <w:marTop w:val="0"/>
                  <w:marBottom w:val="0"/>
                  <w:divBdr>
                    <w:top w:val="none" w:sz="0" w:space="0" w:color="auto"/>
                    <w:left w:val="none" w:sz="0" w:space="0" w:color="auto"/>
                    <w:bottom w:val="none" w:sz="0" w:space="0" w:color="auto"/>
                    <w:right w:val="none" w:sz="0" w:space="0" w:color="auto"/>
                  </w:divBdr>
                  <w:divsChild>
                    <w:div w:id="13190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4369">
              <w:marLeft w:val="0"/>
              <w:marRight w:val="0"/>
              <w:marTop w:val="0"/>
              <w:marBottom w:val="0"/>
              <w:divBdr>
                <w:top w:val="none" w:sz="0" w:space="0" w:color="auto"/>
                <w:left w:val="none" w:sz="0" w:space="0" w:color="auto"/>
                <w:bottom w:val="none" w:sz="0" w:space="0" w:color="auto"/>
                <w:right w:val="none" w:sz="0" w:space="0" w:color="auto"/>
              </w:divBdr>
              <w:divsChild>
                <w:div w:id="1697653351">
                  <w:marLeft w:val="0"/>
                  <w:marRight w:val="0"/>
                  <w:marTop w:val="0"/>
                  <w:marBottom w:val="0"/>
                  <w:divBdr>
                    <w:top w:val="none" w:sz="0" w:space="0" w:color="auto"/>
                    <w:left w:val="none" w:sz="0" w:space="0" w:color="auto"/>
                    <w:bottom w:val="none" w:sz="0" w:space="0" w:color="auto"/>
                    <w:right w:val="none" w:sz="0" w:space="0" w:color="auto"/>
                  </w:divBdr>
                  <w:divsChild>
                    <w:div w:id="8964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7137">
              <w:marLeft w:val="0"/>
              <w:marRight w:val="0"/>
              <w:marTop w:val="0"/>
              <w:marBottom w:val="0"/>
              <w:divBdr>
                <w:top w:val="none" w:sz="0" w:space="0" w:color="auto"/>
                <w:left w:val="none" w:sz="0" w:space="0" w:color="auto"/>
                <w:bottom w:val="none" w:sz="0" w:space="0" w:color="auto"/>
                <w:right w:val="none" w:sz="0" w:space="0" w:color="auto"/>
              </w:divBdr>
              <w:divsChild>
                <w:div w:id="1790081513">
                  <w:marLeft w:val="0"/>
                  <w:marRight w:val="0"/>
                  <w:marTop w:val="0"/>
                  <w:marBottom w:val="0"/>
                  <w:divBdr>
                    <w:top w:val="none" w:sz="0" w:space="0" w:color="auto"/>
                    <w:left w:val="none" w:sz="0" w:space="0" w:color="auto"/>
                    <w:bottom w:val="none" w:sz="0" w:space="0" w:color="auto"/>
                    <w:right w:val="none" w:sz="0" w:space="0" w:color="auto"/>
                  </w:divBdr>
                  <w:divsChild>
                    <w:div w:id="5619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430133">
      <w:bodyDiv w:val="1"/>
      <w:marLeft w:val="0"/>
      <w:marRight w:val="0"/>
      <w:marTop w:val="0"/>
      <w:marBottom w:val="0"/>
      <w:divBdr>
        <w:top w:val="none" w:sz="0" w:space="0" w:color="auto"/>
        <w:left w:val="none" w:sz="0" w:space="0" w:color="auto"/>
        <w:bottom w:val="none" w:sz="0" w:space="0" w:color="auto"/>
        <w:right w:val="none" w:sz="0" w:space="0" w:color="auto"/>
      </w:divBdr>
      <w:divsChild>
        <w:div w:id="107623228">
          <w:marLeft w:val="0"/>
          <w:marRight w:val="0"/>
          <w:marTop w:val="0"/>
          <w:marBottom w:val="0"/>
          <w:divBdr>
            <w:top w:val="none" w:sz="0" w:space="0" w:color="auto"/>
            <w:left w:val="none" w:sz="0" w:space="0" w:color="auto"/>
            <w:bottom w:val="none" w:sz="0" w:space="0" w:color="auto"/>
            <w:right w:val="none" w:sz="0" w:space="0" w:color="auto"/>
          </w:divBdr>
          <w:divsChild>
            <w:div w:id="2085448687">
              <w:marLeft w:val="0"/>
              <w:marRight w:val="0"/>
              <w:marTop w:val="0"/>
              <w:marBottom w:val="0"/>
              <w:divBdr>
                <w:top w:val="none" w:sz="0" w:space="0" w:color="auto"/>
                <w:left w:val="none" w:sz="0" w:space="0" w:color="auto"/>
                <w:bottom w:val="none" w:sz="0" w:space="0" w:color="auto"/>
                <w:right w:val="none" w:sz="0" w:space="0" w:color="auto"/>
              </w:divBdr>
              <w:divsChild>
                <w:div w:id="327683540">
                  <w:marLeft w:val="0"/>
                  <w:marRight w:val="0"/>
                  <w:marTop w:val="0"/>
                  <w:marBottom w:val="0"/>
                  <w:divBdr>
                    <w:top w:val="none" w:sz="0" w:space="0" w:color="auto"/>
                    <w:left w:val="none" w:sz="0" w:space="0" w:color="auto"/>
                    <w:bottom w:val="none" w:sz="0" w:space="0" w:color="auto"/>
                    <w:right w:val="none" w:sz="0" w:space="0" w:color="auto"/>
                  </w:divBdr>
                </w:div>
              </w:divsChild>
            </w:div>
            <w:div w:id="1688368694">
              <w:marLeft w:val="0"/>
              <w:marRight w:val="0"/>
              <w:marTop w:val="0"/>
              <w:marBottom w:val="0"/>
              <w:divBdr>
                <w:top w:val="none" w:sz="0" w:space="0" w:color="auto"/>
                <w:left w:val="none" w:sz="0" w:space="0" w:color="auto"/>
                <w:bottom w:val="none" w:sz="0" w:space="0" w:color="auto"/>
                <w:right w:val="none" w:sz="0" w:space="0" w:color="auto"/>
              </w:divBdr>
              <w:divsChild>
                <w:div w:id="1460109117">
                  <w:marLeft w:val="0"/>
                  <w:marRight w:val="0"/>
                  <w:marTop w:val="0"/>
                  <w:marBottom w:val="0"/>
                  <w:divBdr>
                    <w:top w:val="none" w:sz="0" w:space="0" w:color="auto"/>
                    <w:left w:val="none" w:sz="0" w:space="0" w:color="auto"/>
                    <w:bottom w:val="none" w:sz="0" w:space="0" w:color="auto"/>
                    <w:right w:val="none" w:sz="0" w:space="0" w:color="auto"/>
                  </w:divBdr>
                </w:div>
              </w:divsChild>
            </w:div>
            <w:div w:id="163395034">
              <w:marLeft w:val="0"/>
              <w:marRight w:val="0"/>
              <w:marTop w:val="0"/>
              <w:marBottom w:val="0"/>
              <w:divBdr>
                <w:top w:val="none" w:sz="0" w:space="0" w:color="auto"/>
                <w:left w:val="none" w:sz="0" w:space="0" w:color="auto"/>
                <w:bottom w:val="none" w:sz="0" w:space="0" w:color="auto"/>
                <w:right w:val="none" w:sz="0" w:space="0" w:color="auto"/>
              </w:divBdr>
              <w:divsChild>
                <w:div w:id="5868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0069">
      <w:bodyDiv w:val="1"/>
      <w:marLeft w:val="0"/>
      <w:marRight w:val="0"/>
      <w:marTop w:val="0"/>
      <w:marBottom w:val="0"/>
      <w:divBdr>
        <w:top w:val="none" w:sz="0" w:space="0" w:color="auto"/>
        <w:left w:val="none" w:sz="0" w:space="0" w:color="auto"/>
        <w:bottom w:val="none" w:sz="0" w:space="0" w:color="auto"/>
        <w:right w:val="none" w:sz="0" w:space="0" w:color="auto"/>
      </w:divBdr>
    </w:div>
    <w:div w:id="455371038">
      <w:bodyDiv w:val="1"/>
      <w:marLeft w:val="0"/>
      <w:marRight w:val="0"/>
      <w:marTop w:val="0"/>
      <w:marBottom w:val="0"/>
      <w:divBdr>
        <w:top w:val="none" w:sz="0" w:space="0" w:color="auto"/>
        <w:left w:val="none" w:sz="0" w:space="0" w:color="auto"/>
        <w:bottom w:val="none" w:sz="0" w:space="0" w:color="auto"/>
        <w:right w:val="none" w:sz="0" w:space="0" w:color="auto"/>
      </w:divBdr>
    </w:div>
    <w:div w:id="471560733">
      <w:bodyDiv w:val="1"/>
      <w:marLeft w:val="0"/>
      <w:marRight w:val="0"/>
      <w:marTop w:val="0"/>
      <w:marBottom w:val="0"/>
      <w:divBdr>
        <w:top w:val="none" w:sz="0" w:space="0" w:color="auto"/>
        <w:left w:val="none" w:sz="0" w:space="0" w:color="auto"/>
        <w:bottom w:val="none" w:sz="0" w:space="0" w:color="auto"/>
        <w:right w:val="none" w:sz="0" w:space="0" w:color="auto"/>
      </w:divBdr>
    </w:div>
    <w:div w:id="472139992">
      <w:bodyDiv w:val="1"/>
      <w:marLeft w:val="0"/>
      <w:marRight w:val="0"/>
      <w:marTop w:val="0"/>
      <w:marBottom w:val="0"/>
      <w:divBdr>
        <w:top w:val="none" w:sz="0" w:space="0" w:color="auto"/>
        <w:left w:val="none" w:sz="0" w:space="0" w:color="auto"/>
        <w:bottom w:val="none" w:sz="0" w:space="0" w:color="auto"/>
        <w:right w:val="none" w:sz="0" w:space="0" w:color="auto"/>
      </w:divBdr>
    </w:div>
    <w:div w:id="475411862">
      <w:bodyDiv w:val="1"/>
      <w:marLeft w:val="0"/>
      <w:marRight w:val="0"/>
      <w:marTop w:val="0"/>
      <w:marBottom w:val="0"/>
      <w:divBdr>
        <w:top w:val="none" w:sz="0" w:space="0" w:color="auto"/>
        <w:left w:val="none" w:sz="0" w:space="0" w:color="auto"/>
        <w:bottom w:val="none" w:sz="0" w:space="0" w:color="auto"/>
        <w:right w:val="none" w:sz="0" w:space="0" w:color="auto"/>
      </w:divBdr>
    </w:div>
    <w:div w:id="476730304">
      <w:bodyDiv w:val="1"/>
      <w:marLeft w:val="0"/>
      <w:marRight w:val="0"/>
      <w:marTop w:val="0"/>
      <w:marBottom w:val="0"/>
      <w:divBdr>
        <w:top w:val="none" w:sz="0" w:space="0" w:color="auto"/>
        <w:left w:val="none" w:sz="0" w:space="0" w:color="auto"/>
        <w:bottom w:val="none" w:sz="0" w:space="0" w:color="auto"/>
        <w:right w:val="none" w:sz="0" w:space="0" w:color="auto"/>
      </w:divBdr>
    </w:div>
    <w:div w:id="481624262">
      <w:bodyDiv w:val="1"/>
      <w:marLeft w:val="0"/>
      <w:marRight w:val="0"/>
      <w:marTop w:val="0"/>
      <w:marBottom w:val="0"/>
      <w:divBdr>
        <w:top w:val="none" w:sz="0" w:space="0" w:color="auto"/>
        <w:left w:val="none" w:sz="0" w:space="0" w:color="auto"/>
        <w:bottom w:val="none" w:sz="0" w:space="0" w:color="auto"/>
        <w:right w:val="none" w:sz="0" w:space="0" w:color="auto"/>
      </w:divBdr>
    </w:div>
    <w:div w:id="487405077">
      <w:bodyDiv w:val="1"/>
      <w:marLeft w:val="0"/>
      <w:marRight w:val="0"/>
      <w:marTop w:val="0"/>
      <w:marBottom w:val="0"/>
      <w:divBdr>
        <w:top w:val="none" w:sz="0" w:space="0" w:color="auto"/>
        <w:left w:val="none" w:sz="0" w:space="0" w:color="auto"/>
        <w:bottom w:val="none" w:sz="0" w:space="0" w:color="auto"/>
        <w:right w:val="none" w:sz="0" w:space="0" w:color="auto"/>
      </w:divBdr>
    </w:div>
    <w:div w:id="493227564">
      <w:bodyDiv w:val="1"/>
      <w:marLeft w:val="0"/>
      <w:marRight w:val="0"/>
      <w:marTop w:val="0"/>
      <w:marBottom w:val="0"/>
      <w:divBdr>
        <w:top w:val="none" w:sz="0" w:space="0" w:color="auto"/>
        <w:left w:val="none" w:sz="0" w:space="0" w:color="auto"/>
        <w:bottom w:val="none" w:sz="0" w:space="0" w:color="auto"/>
        <w:right w:val="none" w:sz="0" w:space="0" w:color="auto"/>
      </w:divBdr>
    </w:div>
    <w:div w:id="513881404">
      <w:bodyDiv w:val="1"/>
      <w:marLeft w:val="0"/>
      <w:marRight w:val="0"/>
      <w:marTop w:val="0"/>
      <w:marBottom w:val="0"/>
      <w:divBdr>
        <w:top w:val="none" w:sz="0" w:space="0" w:color="auto"/>
        <w:left w:val="none" w:sz="0" w:space="0" w:color="auto"/>
        <w:bottom w:val="none" w:sz="0" w:space="0" w:color="auto"/>
        <w:right w:val="none" w:sz="0" w:space="0" w:color="auto"/>
      </w:divBdr>
    </w:div>
    <w:div w:id="570819078">
      <w:bodyDiv w:val="1"/>
      <w:marLeft w:val="0"/>
      <w:marRight w:val="0"/>
      <w:marTop w:val="0"/>
      <w:marBottom w:val="0"/>
      <w:divBdr>
        <w:top w:val="none" w:sz="0" w:space="0" w:color="auto"/>
        <w:left w:val="none" w:sz="0" w:space="0" w:color="auto"/>
        <w:bottom w:val="none" w:sz="0" w:space="0" w:color="auto"/>
        <w:right w:val="none" w:sz="0" w:space="0" w:color="auto"/>
      </w:divBdr>
    </w:div>
    <w:div w:id="573710013">
      <w:bodyDiv w:val="1"/>
      <w:marLeft w:val="0"/>
      <w:marRight w:val="0"/>
      <w:marTop w:val="0"/>
      <w:marBottom w:val="0"/>
      <w:divBdr>
        <w:top w:val="none" w:sz="0" w:space="0" w:color="auto"/>
        <w:left w:val="none" w:sz="0" w:space="0" w:color="auto"/>
        <w:bottom w:val="none" w:sz="0" w:space="0" w:color="auto"/>
        <w:right w:val="none" w:sz="0" w:space="0" w:color="auto"/>
      </w:divBdr>
    </w:div>
    <w:div w:id="575625119">
      <w:bodyDiv w:val="1"/>
      <w:marLeft w:val="0"/>
      <w:marRight w:val="0"/>
      <w:marTop w:val="0"/>
      <w:marBottom w:val="0"/>
      <w:divBdr>
        <w:top w:val="none" w:sz="0" w:space="0" w:color="auto"/>
        <w:left w:val="none" w:sz="0" w:space="0" w:color="auto"/>
        <w:bottom w:val="none" w:sz="0" w:space="0" w:color="auto"/>
        <w:right w:val="none" w:sz="0" w:space="0" w:color="auto"/>
      </w:divBdr>
    </w:div>
    <w:div w:id="590355467">
      <w:bodyDiv w:val="1"/>
      <w:marLeft w:val="0"/>
      <w:marRight w:val="0"/>
      <w:marTop w:val="0"/>
      <w:marBottom w:val="0"/>
      <w:divBdr>
        <w:top w:val="none" w:sz="0" w:space="0" w:color="auto"/>
        <w:left w:val="none" w:sz="0" w:space="0" w:color="auto"/>
        <w:bottom w:val="none" w:sz="0" w:space="0" w:color="auto"/>
        <w:right w:val="none" w:sz="0" w:space="0" w:color="auto"/>
      </w:divBdr>
      <w:divsChild>
        <w:div w:id="75246399">
          <w:marLeft w:val="0"/>
          <w:marRight w:val="0"/>
          <w:marTop w:val="0"/>
          <w:marBottom w:val="0"/>
          <w:divBdr>
            <w:top w:val="none" w:sz="0" w:space="0" w:color="auto"/>
            <w:left w:val="none" w:sz="0" w:space="0" w:color="auto"/>
            <w:bottom w:val="none" w:sz="0" w:space="0" w:color="auto"/>
            <w:right w:val="none" w:sz="0" w:space="0" w:color="auto"/>
          </w:divBdr>
          <w:divsChild>
            <w:div w:id="983045398">
              <w:marLeft w:val="0"/>
              <w:marRight w:val="0"/>
              <w:marTop w:val="0"/>
              <w:marBottom w:val="0"/>
              <w:divBdr>
                <w:top w:val="none" w:sz="0" w:space="0" w:color="auto"/>
                <w:left w:val="none" w:sz="0" w:space="0" w:color="auto"/>
                <w:bottom w:val="none" w:sz="0" w:space="0" w:color="auto"/>
                <w:right w:val="none" w:sz="0" w:space="0" w:color="auto"/>
              </w:divBdr>
              <w:divsChild>
                <w:div w:id="822354367">
                  <w:marLeft w:val="0"/>
                  <w:marRight w:val="0"/>
                  <w:marTop w:val="0"/>
                  <w:marBottom w:val="0"/>
                  <w:divBdr>
                    <w:top w:val="none" w:sz="0" w:space="0" w:color="auto"/>
                    <w:left w:val="none" w:sz="0" w:space="0" w:color="auto"/>
                    <w:bottom w:val="none" w:sz="0" w:space="0" w:color="auto"/>
                    <w:right w:val="none" w:sz="0" w:space="0" w:color="auto"/>
                  </w:divBdr>
                  <w:divsChild>
                    <w:div w:id="11556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439525">
      <w:bodyDiv w:val="1"/>
      <w:marLeft w:val="0"/>
      <w:marRight w:val="0"/>
      <w:marTop w:val="0"/>
      <w:marBottom w:val="0"/>
      <w:divBdr>
        <w:top w:val="none" w:sz="0" w:space="0" w:color="auto"/>
        <w:left w:val="none" w:sz="0" w:space="0" w:color="auto"/>
        <w:bottom w:val="none" w:sz="0" w:space="0" w:color="auto"/>
        <w:right w:val="none" w:sz="0" w:space="0" w:color="auto"/>
      </w:divBdr>
      <w:divsChild>
        <w:div w:id="1217425030">
          <w:marLeft w:val="0"/>
          <w:marRight w:val="0"/>
          <w:marTop w:val="0"/>
          <w:marBottom w:val="0"/>
          <w:divBdr>
            <w:top w:val="none" w:sz="0" w:space="0" w:color="auto"/>
            <w:left w:val="none" w:sz="0" w:space="0" w:color="auto"/>
            <w:bottom w:val="none" w:sz="0" w:space="0" w:color="auto"/>
            <w:right w:val="none" w:sz="0" w:space="0" w:color="auto"/>
          </w:divBdr>
          <w:divsChild>
            <w:div w:id="995456490">
              <w:marLeft w:val="0"/>
              <w:marRight w:val="0"/>
              <w:marTop w:val="0"/>
              <w:marBottom w:val="0"/>
              <w:divBdr>
                <w:top w:val="none" w:sz="0" w:space="0" w:color="auto"/>
                <w:left w:val="none" w:sz="0" w:space="0" w:color="auto"/>
                <w:bottom w:val="none" w:sz="0" w:space="0" w:color="auto"/>
                <w:right w:val="none" w:sz="0" w:space="0" w:color="auto"/>
              </w:divBdr>
              <w:divsChild>
                <w:div w:id="1134564365">
                  <w:marLeft w:val="0"/>
                  <w:marRight w:val="0"/>
                  <w:marTop w:val="0"/>
                  <w:marBottom w:val="0"/>
                  <w:divBdr>
                    <w:top w:val="none" w:sz="0" w:space="0" w:color="auto"/>
                    <w:left w:val="none" w:sz="0" w:space="0" w:color="auto"/>
                    <w:bottom w:val="none" w:sz="0" w:space="0" w:color="auto"/>
                    <w:right w:val="none" w:sz="0" w:space="0" w:color="auto"/>
                  </w:divBdr>
                  <w:divsChild>
                    <w:div w:id="397284008">
                      <w:marLeft w:val="0"/>
                      <w:marRight w:val="0"/>
                      <w:marTop w:val="0"/>
                      <w:marBottom w:val="0"/>
                      <w:divBdr>
                        <w:top w:val="none" w:sz="0" w:space="0" w:color="auto"/>
                        <w:left w:val="none" w:sz="0" w:space="0" w:color="auto"/>
                        <w:bottom w:val="none" w:sz="0" w:space="0" w:color="auto"/>
                        <w:right w:val="none" w:sz="0" w:space="0" w:color="auto"/>
                      </w:divBdr>
                      <w:divsChild>
                        <w:div w:id="1543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70640">
      <w:bodyDiv w:val="1"/>
      <w:marLeft w:val="0"/>
      <w:marRight w:val="0"/>
      <w:marTop w:val="0"/>
      <w:marBottom w:val="0"/>
      <w:divBdr>
        <w:top w:val="none" w:sz="0" w:space="0" w:color="auto"/>
        <w:left w:val="none" w:sz="0" w:space="0" w:color="auto"/>
        <w:bottom w:val="none" w:sz="0" w:space="0" w:color="auto"/>
        <w:right w:val="none" w:sz="0" w:space="0" w:color="auto"/>
      </w:divBdr>
    </w:div>
    <w:div w:id="650212523">
      <w:bodyDiv w:val="1"/>
      <w:marLeft w:val="0"/>
      <w:marRight w:val="0"/>
      <w:marTop w:val="0"/>
      <w:marBottom w:val="0"/>
      <w:divBdr>
        <w:top w:val="none" w:sz="0" w:space="0" w:color="auto"/>
        <w:left w:val="none" w:sz="0" w:space="0" w:color="auto"/>
        <w:bottom w:val="none" w:sz="0" w:space="0" w:color="auto"/>
        <w:right w:val="none" w:sz="0" w:space="0" w:color="auto"/>
      </w:divBdr>
    </w:div>
    <w:div w:id="652682647">
      <w:bodyDiv w:val="1"/>
      <w:marLeft w:val="0"/>
      <w:marRight w:val="0"/>
      <w:marTop w:val="0"/>
      <w:marBottom w:val="0"/>
      <w:divBdr>
        <w:top w:val="none" w:sz="0" w:space="0" w:color="auto"/>
        <w:left w:val="none" w:sz="0" w:space="0" w:color="auto"/>
        <w:bottom w:val="none" w:sz="0" w:space="0" w:color="auto"/>
        <w:right w:val="none" w:sz="0" w:space="0" w:color="auto"/>
      </w:divBdr>
    </w:div>
    <w:div w:id="656766475">
      <w:bodyDiv w:val="1"/>
      <w:marLeft w:val="0"/>
      <w:marRight w:val="0"/>
      <w:marTop w:val="0"/>
      <w:marBottom w:val="0"/>
      <w:divBdr>
        <w:top w:val="none" w:sz="0" w:space="0" w:color="auto"/>
        <w:left w:val="none" w:sz="0" w:space="0" w:color="auto"/>
        <w:bottom w:val="none" w:sz="0" w:space="0" w:color="auto"/>
        <w:right w:val="none" w:sz="0" w:space="0" w:color="auto"/>
      </w:divBdr>
    </w:div>
    <w:div w:id="689648626">
      <w:bodyDiv w:val="1"/>
      <w:marLeft w:val="0"/>
      <w:marRight w:val="0"/>
      <w:marTop w:val="0"/>
      <w:marBottom w:val="0"/>
      <w:divBdr>
        <w:top w:val="none" w:sz="0" w:space="0" w:color="auto"/>
        <w:left w:val="none" w:sz="0" w:space="0" w:color="auto"/>
        <w:bottom w:val="none" w:sz="0" w:space="0" w:color="auto"/>
        <w:right w:val="none" w:sz="0" w:space="0" w:color="auto"/>
      </w:divBdr>
    </w:div>
    <w:div w:id="698431544">
      <w:bodyDiv w:val="1"/>
      <w:marLeft w:val="0"/>
      <w:marRight w:val="0"/>
      <w:marTop w:val="0"/>
      <w:marBottom w:val="0"/>
      <w:divBdr>
        <w:top w:val="none" w:sz="0" w:space="0" w:color="auto"/>
        <w:left w:val="none" w:sz="0" w:space="0" w:color="auto"/>
        <w:bottom w:val="none" w:sz="0" w:space="0" w:color="auto"/>
        <w:right w:val="none" w:sz="0" w:space="0" w:color="auto"/>
      </w:divBdr>
    </w:div>
    <w:div w:id="709261518">
      <w:bodyDiv w:val="1"/>
      <w:marLeft w:val="0"/>
      <w:marRight w:val="0"/>
      <w:marTop w:val="0"/>
      <w:marBottom w:val="0"/>
      <w:divBdr>
        <w:top w:val="none" w:sz="0" w:space="0" w:color="auto"/>
        <w:left w:val="none" w:sz="0" w:space="0" w:color="auto"/>
        <w:bottom w:val="none" w:sz="0" w:space="0" w:color="auto"/>
        <w:right w:val="none" w:sz="0" w:space="0" w:color="auto"/>
      </w:divBdr>
    </w:div>
    <w:div w:id="716586343">
      <w:bodyDiv w:val="1"/>
      <w:marLeft w:val="0"/>
      <w:marRight w:val="0"/>
      <w:marTop w:val="0"/>
      <w:marBottom w:val="0"/>
      <w:divBdr>
        <w:top w:val="none" w:sz="0" w:space="0" w:color="auto"/>
        <w:left w:val="none" w:sz="0" w:space="0" w:color="auto"/>
        <w:bottom w:val="none" w:sz="0" w:space="0" w:color="auto"/>
        <w:right w:val="none" w:sz="0" w:space="0" w:color="auto"/>
      </w:divBdr>
      <w:divsChild>
        <w:div w:id="1582716121">
          <w:marLeft w:val="0"/>
          <w:marRight w:val="0"/>
          <w:marTop w:val="0"/>
          <w:marBottom w:val="0"/>
          <w:divBdr>
            <w:top w:val="none" w:sz="0" w:space="0" w:color="auto"/>
            <w:left w:val="none" w:sz="0" w:space="0" w:color="auto"/>
            <w:bottom w:val="none" w:sz="0" w:space="0" w:color="auto"/>
            <w:right w:val="none" w:sz="0" w:space="0" w:color="auto"/>
          </w:divBdr>
          <w:divsChild>
            <w:div w:id="1221749730">
              <w:marLeft w:val="0"/>
              <w:marRight w:val="0"/>
              <w:marTop w:val="0"/>
              <w:marBottom w:val="0"/>
              <w:divBdr>
                <w:top w:val="none" w:sz="0" w:space="0" w:color="auto"/>
                <w:left w:val="none" w:sz="0" w:space="0" w:color="auto"/>
                <w:bottom w:val="none" w:sz="0" w:space="0" w:color="auto"/>
                <w:right w:val="none" w:sz="0" w:space="0" w:color="auto"/>
              </w:divBdr>
              <w:divsChild>
                <w:div w:id="19209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31572">
      <w:bodyDiv w:val="1"/>
      <w:marLeft w:val="0"/>
      <w:marRight w:val="0"/>
      <w:marTop w:val="0"/>
      <w:marBottom w:val="0"/>
      <w:divBdr>
        <w:top w:val="none" w:sz="0" w:space="0" w:color="auto"/>
        <w:left w:val="none" w:sz="0" w:space="0" w:color="auto"/>
        <w:bottom w:val="none" w:sz="0" w:space="0" w:color="auto"/>
        <w:right w:val="none" w:sz="0" w:space="0" w:color="auto"/>
      </w:divBdr>
    </w:div>
    <w:div w:id="738475899">
      <w:bodyDiv w:val="1"/>
      <w:marLeft w:val="0"/>
      <w:marRight w:val="0"/>
      <w:marTop w:val="0"/>
      <w:marBottom w:val="0"/>
      <w:divBdr>
        <w:top w:val="none" w:sz="0" w:space="0" w:color="auto"/>
        <w:left w:val="none" w:sz="0" w:space="0" w:color="auto"/>
        <w:bottom w:val="none" w:sz="0" w:space="0" w:color="auto"/>
        <w:right w:val="none" w:sz="0" w:space="0" w:color="auto"/>
      </w:divBdr>
    </w:div>
    <w:div w:id="747653780">
      <w:bodyDiv w:val="1"/>
      <w:marLeft w:val="0"/>
      <w:marRight w:val="0"/>
      <w:marTop w:val="0"/>
      <w:marBottom w:val="0"/>
      <w:divBdr>
        <w:top w:val="none" w:sz="0" w:space="0" w:color="auto"/>
        <w:left w:val="none" w:sz="0" w:space="0" w:color="auto"/>
        <w:bottom w:val="none" w:sz="0" w:space="0" w:color="auto"/>
        <w:right w:val="none" w:sz="0" w:space="0" w:color="auto"/>
      </w:divBdr>
      <w:divsChild>
        <w:div w:id="1646350409">
          <w:marLeft w:val="0"/>
          <w:marRight w:val="0"/>
          <w:marTop w:val="0"/>
          <w:marBottom w:val="0"/>
          <w:divBdr>
            <w:top w:val="none" w:sz="0" w:space="0" w:color="auto"/>
            <w:left w:val="none" w:sz="0" w:space="0" w:color="auto"/>
            <w:bottom w:val="none" w:sz="0" w:space="0" w:color="auto"/>
            <w:right w:val="none" w:sz="0" w:space="0" w:color="auto"/>
          </w:divBdr>
          <w:divsChild>
            <w:div w:id="100417636">
              <w:marLeft w:val="0"/>
              <w:marRight w:val="0"/>
              <w:marTop w:val="0"/>
              <w:marBottom w:val="0"/>
              <w:divBdr>
                <w:top w:val="none" w:sz="0" w:space="0" w:color="auto"/>
                <w:left w:val="none" w:sz="0" w:space="0" w:color="auto"/>
                <w:bottom w:val="none" w:sz="0" w:space="0" w:color="auto"/>
                <w:right w:val="none" w:sz="0" w:space="0" w:color="auto"/>
              </w:divBdr>
              <w:divsChild>
                <w:div w:id="952250521">
                  <w:marLeft w:val="0"/>
                  <w:marRight w:val="0"/>
                  <w:marTop w:val="0"/>
                  <w:marBottom w:val="0"/>
                  <w:divBdr>
                    <w:top w:val="none" w:sz="0" w:space="0" w:color="auto"/>
                    <w:left w:val="none" w:sz="0" w:space="0" w:color="auto"/>
                    <w:bottom w:val="none" w:sz="0" w:space="0" w:color="auto"/>
                    <w:right w:val="none" w:sz="0" w:space="0" w:color="auto"/>
                  </w:divBdr>
                  <w:divsChild>
                    <w:div w:id="6648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439753">
      <w:bodyDiv w:val="1"/>
      <w:marLeft w:val="0"/>
      <w:marRight w:val="0"/>
      <w:marTop w:val="0"/>
      <w:marBottom w:val="0"/>
      <w:divBdr>
        <w:top w:val="none" w:sz="0" w:space="0" w:color="auto"/>
        <w:left w:val="none" w:sz="0" w:space="0" w:color="auto"/>
        <w:bottom w:val="none" w:sz="0" w:space="0" w:color="auto"/>
        <w:right w:val="none" w:sz="0" w:space="0" w:color="auto"/>
      </w:divBdr>
    </w:div>
    <w:div w:id="799344318">
      <w:bodyDiv w:val="1"/>
      <w:marLeft w:val="0"/>
      <w:marRight w:val="0"/>
      <w:marTop w:val="0"/>
      <w:marBottom w:val="0"/>
      <w:divBdr>
        <w:top w:val="none" w:sz="0" w:space="0" w:color="auto"/>
        <w:left w:val="none" w:sz="0" w:space="0" w:color="auto"/>
        <w:bottom w:val="none" w:sz="0" w:space="0" w:color="auto"/>
        <w:right w:val="none" w:sz="0" w:space="0" w:color="auto"/>
      </w:divBdr>
    </w:div>
    <w:div w:id="816186739">
      <w:bodyDiv w:val="1"/>
      <w:marLeft w:val="0"/>
      <w:marRight w:val="0"/>
      <w:marTop w:val="0"/>
      <w:marBottom w:val="0"/>
      <w:divBdr>
        <w:top w:val="none" w:sz="0" w:space="0" w:color="auto"/>
        <w:left w:val="none" w:sz="0" w:space="0" w:color="auto"/>
        <w:bottom w:val="none" w:sz="0" w:space="0" w:color="auto"/>
        <w:right w:val="none" w:sz="0" w:space="0" w:color="auto"/>
      </w:divBdr>
    </w:div>
    <w:div w:id="830177177">
      <w:bodyDiv w:val="1"/>
      <w:marLeft w:val="0"/>
      <w:marRight w:val="0"/>
      <w:marTop w:val="0"/>
      <w:marBottom w:val="0"/>
      <w:divBdr>
        <w:top w:val="none" w:sz="0" w:space="0" w:color="auto"/>
        <w:left w:val="none" w:sz="0" w:space="0" w:color="auto"/>
        <w:bottom w:val="none" w:sz="0" w:space="0" w:color="auto"/>
        <w:right w:val="none" w:sz="0" w:space="0" w:color="auto"/>
      </w:divBdr>
    </w:div>
    <w:div w:id="839547111">
      <w:bodyDiv w:val="1"/>
      <w:marLeft w:val="0"/>
      <w:marRight w:val="0"/>
      <w:marTop w:val="0"/>
      <w:marBottom w:val="0"/>
      <w:divBdr>
        <w:top w:val="none" w:sz="0" w:space="0" w:color="auto"/>
        <w:left w:val="none" w:sz="0" w:space="0" w:color="auto"/>
        <w:bottom w:val="none" w:sz="0" w:space="0" w:color="auto"/>
        <w:right w:val="none" w:sz="0" w:space="0" w:color="auto"/>
      </w:divBdr>
    </w:div>
    <w:div w:id="847141863">
      <w:bodyDiv w:val="1"/>
      <w:marLeft w:val="0"/>
      <w:marRight w:val="0"/>
      <w:marTop w:val="0"/>
      <w:marBottom w:val="0"/>
      <w:divBdr>
        <w:top w:val="none" w:sz="0" w:space="0" w:color="auto"/>
        <w:left w:val="none" w:sz="0" w:space="0" w:color="auto"/>
        <w:bottom w:val="none" w:sz="0" w:space="0" w:color="auto"/>
        <w:right w:val="none" w:sz="0" w:space="0" w:color="auto"/>
      </w:divBdr>
    </w:div>
    <w:div w:id="857231464">
      <w:bodyDiv w:val="1"/>
      <w:marLeft w:val="0"/>
      <w:marRight w:val="0"/>
      <w:marTop w:val="0"/>
      <w:marBottom w:val="0"/>
      <w:divBdr>
        <w:top w:val="none" w:sz="0" w:space="0" w:color="auto"/>
        <w:left w:val="none" w:sz="0" w:space="0" w:color="auto"/>
        <w:bottom w:val="none" w:sz="0" w:space="0" w:color="auto"/>
        <w:right w:val="none" w:sz="0" w:space="0" w:color="auto"/>
      </w:divBdr>
      <w:divsChild>
        <w:div w:id="1478304265">
          <w:marLeft w:val="0"/>
          <w:marRight w:val="0"/>
          <w:marTop w:val="0"/>
          <w:marBottom w:val="0"/>
          <w:divBdr>
            <w:top w:val="none" w:sz="0" w:space="0" w:color="auto"/>
            <w:left w:val="none" w:sz="0" w:space="0" w:color="auto"/>
            <w:bottom w:val="none" w:sz="0" w:space="0" w:color="auto"/>
            <w:right w:val="none" w:sz="0" w:space="0" w:color="auto"/>
          </w:divBdr>
          <w:divsChild>
            <w:div w:id="14091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0594">
      <w:bodyDiv w:val="1"/>
      <w:marLeft w:val="0"/>
      <w:marRight w:val="0"/>
      <w:marTop w:val="0"/>
      <w:marBottom w:val="0"/>
      <w:divBdr>
        <w:top w:val="none" w:sz="0" w:space="0" w:color="auto"/>
        <w:left w:val="none" w:sz="0" w:space="0" w:color="auto"/>
        <w:bottom w:val="none" w:sz="0" w:space="0" w:color="auto"/>
        <w:right w:val="none" w:sz="0" w:space="0" w:color="auto"/>
      </w:divBdr>
    </w:div>
    <w:div w:id="866334663">
      <w:bodyDiv w:val="1"/>
      <w:marLeft w:val="0"/>
      <w:marRight w:val="0"/>
      <w:marTop w:val="0"/>
      <w:marBottom w:val="0"/>
      <w:divBdr>
        <w:top w:val="none" w:sz="0" w:space="0" w:color="auto"/>
        <w:left w:val="none" w:sz="0" w:space="0" w:color="auto"/>
        <w:bottom w:val="none" w:sz="0" w:space="0" w:color="auto"/>
        <w:right w:val="none" w:sz="0" w:space="0" w:color="auto"/>
      </w:divBdr>
    </w:div>
    <w:div w:id="887452414">
      <w:bodyDiv w:val="1"/>
      <w:marLeft w:val="0"/>
      <w:marRight w:val="0"/>
      <w:marTop w:val="0"/>
      <w:marBottom w:val="0"/>
      <w:divBdr>
        <w:top w:val="none" w:sz="0" w:space="0" w:color="auto"/>
        <w:left w:val="none" w:sz="0" w:space="0" w:color="auto"/>
        <w:bottom w:val="none" w:sz="0" w:space="0" w:color="auto"/>
        <w:right w:val="none" w:sz="0" w:space="0" w:color="auto"/>
      </w:divBdr>
    </w:div>
    <w:div w:id="897322592">
      <w:bodyDiv w:val="1"/>
      <w:marLeft w:val="0"/>
      <w:marRight w:val="0"/>
      <w:marTop w:val="0"/>
      <w:marBottom w:val="0"/>
      <w:divBdr>
        <w:top w:val="none" w:sz="0" w:space="0" w:color="auto"/>
        <w:left w:val="none" w:sz="0" w:space="0" w:color="auto"/>
        <w:bottom w:val="none" w:sz="0" w:space="0" w:color="auto"/>
        <w:right w:val="none" w:sz="0" w:space="0" w:color="auto"/>
      </w:divBdr>
    </w:div>
    <w:div w:id="925924261">
      <w:bodyDiv w:val="1"/>
      <w:marLeft w:val="0"/>
      <w:marRight w:val="0"/>
      <w:marTop w:val="0"/>
      <w:marBottom w:val="0"/>
      <w:divBdr>
        <w:top w:val="none" w:sz="0" w:space="0" w:color="auto"/>
        <w:left w:val="none" w:sz="0" w:space="0" w:color="auto"/>
        <w:bottom w:val="none" w:sz="0" w:space="0" w:color="auto"/>
        <w:right w:val="none" w:sz="0" w:space="0" w:color="auto"/>
      </w:divBdr>
    </w:div>
    <w:div w:id="930966531">
      <w:bodyDiv w:val="1"/>
      <w:marLeft w:val="0"/>
      <w:marRight w:val="0"/>
      <w:marTop w:val="0"/>
      <w:marBottom w:val="0"/>
      <w:divBdr>
        <w:top w:val="none" w:sz="0" w:space="0" w:color="auto"/>
        <w:left w:val="none" w:sz="0" w:space="0" w:color="auto"/>
        <w:bottom w:val="none" w:sz="0" w:space="0" w:color="auto"/>
        <w:right w:val="none" w:sz="0" w:space="0" w:color="auto"/>
      </w:divBdr>
      <w:divsChild>
        <w:div w:id="13000937">
          <w:marLeft w:val="0"/>
          <w:marRight w:val="0"/>
          <w:marTop w:val="0"/>
          <w:marBottom w:val="0"/>
          <w:divBdr>
            <w:top w:val="none" w:sz="0" w:space="0" w:color="auto"/>
            <w:left w:val="none" w:sz="0" w:space="0" w:color="auto"/>
            <w:bottom w:val="none" w:sz="0" w:space="0" w:color="auto"/>
            <w:right w:val="none" w:sz="0" w:space="0" w:color="auto"/>
          </w:divBdr>
          <w:divsChild>
            <w:div w:id="583075063">
              <w:marLeft w:val="0"/>
              <w:marRight w:val="0"/>
              <w:marTop w:val="0"/>
              <w:marBottom w:val="0"/>
              <w:divBdr>
                <w:top w:val="none" w:sz="0" w:space="0" w:color="auto"/>
                <w:left w:val="none" w:sz="0" w:space="0" w:color="auto"/>
                <w:bottom w:val="none" w:sz="0" w:space="0" w:color="auto"/>
                <w:right w:val="none" w:sz="0" w:space="0" w:color="auto"/>
              </w:divBdr>
              <w:divsChild>
                <w:div w:id="860515693">
                  <w:marLeft w:val="0"/>
                  <w:marRight w:val="0"/>
                  <w:marTop w:val="0"/>
                  <w:marBottom w:val="0"/>
                  <w:divBdr>
                    <w:top w:val="none" w:sz="0" w:space="0" w:color="auto"/>
                    <w:left w:val="none" w:sz="0" w:space="0" w:color="auto"/>
                    <w:bottom w:val="none" w:sz="0" w:space="0" w:color="auto"/>
                    <w:right w:val="none" w:sz="0" w:space="0" w:color="auto"/>
                  </w:divBdr>
                  <w:divsChild>
                    <w:div w:id="12910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75006">
          <w:marLeft w:val="0"/>
          <w:marRight w:val="0"/>
          <w:marTop w:val="0"/>
          <w:marBottom w:val="0"/>
          <w:divBdr>
            <w:top w:val="none" w:sz="0" w:space="0" w:color="auto"/>
            <w:left w:val="none" w:sz="0" w:space="0" w:color="auto"/>
            <w:bottom w:val="none" w:sz="0" w:space="0" w:color="auto"/>
            <w:right w:val="none" w:sz="0" w:space="0" w:color="auto"/>
          </w:divBdr>
        </w:div>
        <w:div w:id="182481088">
          <w:marLeft w:val="0"/>
          <w:marRight w:val="0"/>
          <w:marTop w:val="0"/>
          <w:marBottom w:val="0"/>
          <w:divBdr>
            <w:top w:val="none" w:sz="0" w:space="0" w:color="auto"/>
            <w:left w:val="none" w:sz="0" w:space="0" w:color="auto"/>
            <w:bottom w:val="none" w:sz="0" w:space="0" w:color="auto"/>
            <w:right w:val="none" w:sz="0" w:space="0" w:color="auto"/>
          </w:divBdr>
        </w:div>
        <w:div w:id="501552384">
          <w:marLeft w:val="0"/>
          <w:marRight w:val="0"/>
          <w:marTop w:val="0"/>
          <w:marBottom w:val="0"/>
          <w:divBdr>
            <w:top w:val="none" w:sz="0" w:space="0" w:color="auto"/>
            <w:left w:val="none" w:sz="0" w:space="0" w:color="auto"/>
            <w:bottom w:val="none" w:sz="0" w:space="0" w:color="auto"/>
            <w:right w:val="none" w:sz="0" w:space="0" w:color="auto"/>
          </w:divBdr>
        </w:div>
        <w:div w:id="941842350">
          <w:marLeft w:val="0"/>
          <w:marRight w:val="0"/>
          <w:marTop w:val="0"/>
          <w:marBottom w:val="0"/>
          <w:divBdr>
            <w:top w:val="none" w:sz="0" w:space="0" w:color="auto"/>
            <w:left w:val="none" w:sz="0" w:space="0" w:color="auto"/>
            <w:bottom w:val="none" w:sz="0" w:space="0" w:color="auto"/>
            <w:right w:val="none" w:sz="0" w:space="0" w:color="auto"/>
          </w:divBdr>
        </w:div>
        <w:div w:id="1064183097">
          <w:marLeft w:val="0"/>
          <w:marRight w:val="0"/>
          <w:marTop w:val="0"/>
          <w:marBottom w:val="0"/>
          <w:divBdr>
            <w:top w:val="none" w:sz="0" w:space="0" w:color="auto"/>
            <w:left w:val="none" w:sz="0" w:space="0" w:color="auto"/>
            <w:bottom w:val="none" w:sz="0" w:space="0" w:color="auto"/>
            <w:right w:val="none" w:sz="0" w:space="0" w:color="auto"/>
          </w:divBdr>
        </w:div>
        <w:div w:id="663355633">
          <w:marLeft w:val="0"/>
          <w:marRight w:val="0"/>
          <w:marTop w:val="0"/>
          <w:marBottom w:val="0"/>
          <w:divBdr>
            <w:top w:val="none" w:sz="0" w:space="0" w:color="auto"/>
            <w:left w:val="none" w:sz="0" w:space="0" w:color="auto"/>
            <w:bottom w:val="none" w:sz="0" w:space="0" w:color="auto"/>
            <w:right w:val="none" w:sz="0" w:space="0" w:color="auto"/>
          </w:divBdr>
          <w:divsChild>
            <w:div w:id="1323965246">
              <w:marLeft w:val="0"/>
              <w:marRight w:val="0"/>
              <w:marTop w:val="0"/>
              <w:marBottom w:val="0"/>
              <w:divBdr>
                <w:top w:val="none" w:sz="0" w:space="0" w:color="auto"/>
                <w:left w:val="none" w:sz="0" w:space="0" w:color="auto"/>
                <w:bottom w:val="none" w:sz="0" w:space="0" w:color="auto"/>
                <w:right w:val="none" w:sz="0" w:space="0" w:color="auto"/>
              </w:divBdr>
              <w:divsChild>
                <w:div w:id="421267565">
                  <w:marLeft w:val="0"/>
                  <w:marRight w:val="0"/>
                  <w:marTop w:val="0"/>
                  <w:marBottom w:val="0"/>
                  <w:divBdr>
                    <w:top w:val="none" w:sz="0" w:space="0" w:color="auto"/>
                    <w:left w:val="none" w:sz="0" w:space="0" w:color="auto"/>
                    <w:bottom w:val="none" w:sz="0" w:space="0" w:color="auto"/>
                    <w:right w:val="none" w:sz="0" w:space="0" w:color="auto"/>
                  </w:divBdr>
                  <w:divsChild>
                    <w:div w:id="130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57388">
          <w:marLeft w:val="0"/>
          <w:marRight w:val="0"/>
          <w:marTop w:val="0"/>
          <w:marBottom w:val="0"/>
          <w:divBdr>
            <w:top w:val="none" w:sz="0" w:space="0" w:color="auto"/>
            <w:left w:val="none" w:sz="0" w:space="0" w:color="auto"/>
            <w:bottom w:val="none" w:sz="0" w:space="0" w:color="auto"/>
            <w:right w:val="none" w:sz="0" w:space="0" w:color="auto"/>
          </w:divBdr>
        </w:div>
      </w:divsChild>
    </w:div>
    <w:div w:id="936787640">
      <w:bodyDiv w:val="1"/>
      <w:marLeft w:val="0"/>
      <w:marRight w:val="0"/>
      <w:marTop w:val="0"/>
      <w:marBottom w:val="0"/>
      <w:divBdr>
        <w:top w:val="none" w:sz="0" w:space="0" w:color="auto"/>
        <w:left w:val="none" w:sz="0" w:space="0" w:color="auto"/>
        <w:bottom w:val="none" w:sz="0" w:space="0" w:color="auto"/>
        <w:right w:val="none" w:sz="0" w:space="0" w:color="auto"/>
      </w:divBdr>
    </w:div>
    <w:div w:id="939798504">
      <w:bodyDiv w:val="1"/>
      <w:marLeft w:val="0"/>
      <w:marRight w:val="0"/>
      <w:marTop w:val="0"/>
      <w:marBottom w:val="0"/>
      <w:divBdr>
        <w:top w:val="none" w:sz="0" w:space="0" w:color="auto"/>
        <w:left w:val="none" w:sz="0" w:space="0" w:color="auto"/>
        <w:bottom w:val="none" w:sz="0" w:space="0" w:color="auto"/>
        <w:right w:val="none" w:sz="0" w:space="0" w:color="auto"/>
      </w:divBdr>
    </w:div>
    <w:div w:id="956721925">
      <w:bodyDiv w:val="1"/>
      <w:marLeft w:val="0"/>
      <w:marRight w:val="0"/>
      <w:marTop w:val="0"/>
      <w:marBottom w:val="0"/>
      <w:divBdr>
        <w:top w:val="none" w:sz="0" w:space="0" w:color="auto"/>
        <w:left w:val="none" w:sz="0" w:space="0" w:color="auto"/>
        <w:bottom w:val="none" w:sz="0" w:space="0" w:color="auto"/>
        <w:right w:val="none" w:sz="0" w:space="0" w:color="auto"/>
      </w:divBdr>
    </w:div>
    <w:div w:id="965042943">
      <w:bodyDiv w:val="1"/>
      <w:marLeft w:val="0"/>
      <w:marRight w:val="0"/>
      <w:marTop w:val="0"/>
      <w:marBottom w:val="0"/>
      <w:divBdr>
        <w:top w:val="none" w:sz="0" w:space="0" w:color="auto"/>
        <w:left w:val="none" w:sz="0" w:space="0" w:color="auto"/>
        <w:bottom w:val="none" w:sz="0" w:space="0" w:color="auto"/>
        <w:right w:val="none" w:sz="0" w:space="0" w:color="auto"/>
      </w:divBdr>
    </w:div>
    <w:div w:id="965694343">
      <w:bodyDiv w:val="1"/>
      <w:marLeft w:val="0"/>
      <w:marRight w:val="0"/>
      <w:marTop w:val="0"/>
      <w:marBottom w:val="0"/>
      <w:divBdr>
        <w:top w:val="none" w:sz="0" w:space="0" w:color="auto"/>
        <w:left w:val="none" w:sz="0" w:space="0" w:color="auto"/>
        <w:bottom w:val="none" w:sz="0" w:space="0" w:color="auto"/>
        <w:right w:val="none" w:sz="0" w:space="0" w:color="auto"/>
      </w:divBdr>
    </w:div>
    <w:div w:id="975644798">
      <w:bodyDiv w:val="1"/>
      <w:marLeft w:val="0"/>
      <w:marRight w:val="0"/>
      <w:marTop w:val="0"/>
      <w:marBottom w:val="0"/>
      <w:divBdr>
        <w:top w:val="none" w:sz="0" w:space="0" w:color="auto"/>
        <w:left w:val="none" w:sz="0" w:space="0" w:color="auto"/>
        <w:bottom w:val="none" w:sz="0" w:space="0" w:color="auto"/>
        <w:right w:val="none" w:sz="0" w:space="0" w:color="auto"/>
      </w:divBdr>
    </w:div>
    <w:div w:id="977540037">
      <w:bodyDiv w:val="1"/>
      <w:marLeft w:val="0"/>
      <w:marRight w:val="0"/>
      <w:marTop w:val="0"/>
      <w:marBottom w:val="0"/>
      <w:divBdr>
        <w:top w:val="none" w:sz="0" w:space="0" w:color="auto"/>
        <w:left w:val="none" w:sz="0" w:space="0" w:color="auto"/>
        <w:bottom w:val="none" w:sz="0" w:space="0" w:color="auto"/>
        <w:right w:val="none" w:sz="0" w:space="0" w:color="auto"/>
      </w:divBdr>
    </w:div>
    <w:div w:id="978607532">
      <w:bodyDiv w:val="1"/>
      <w:marLeft w:val="0"/>
      <w:marRight w:val="0"/>
      <w:marTop w:val="0"/>
      <w:marBottom w:val="0"/>
      <w:divBdr>
        <w:top w:val="none" w:sz="0" w:space="0" w:color="auto"/>
        <w:left w:val="none" w:sz="0" w:space="0" w:color="auto"/>
        <w:bottom w:val="none" w:sz="0" w:space="0" w:color="auto"/>
        <w:right w:val="none" w:sz="0" w:space="0" w:color="auto"/>
      </w:divBdr>
    </w:div>
    <w:div w:id="994795859">
      <w:bodyDiv w:val="1"/>
      <w:marLeft w:val="0"/>
      <w:marRight w:val="0"/>
      <w:marTop w:val="0"/>
      <w:marBottom w:val="0"/>
      <w:divBdr>
        <w:top w:val="none" w:sz="0" w:space="0" w:color="auto"/>
        <w:left w:val="none" w:sz="0" w:space="0" w:color="auto"/>
        <w:bottom w:val="none" w:sz="0" w:space="0" w:color="auto"/>
        <w:right w:val="none" w:sz="0" w:space="0" w:color="auto"/>
      </w:divBdr>
    </w:div>
    <w:div w:id="995451938">
      <w:bodyDiv w:val="1"/>
      <w:marLeft w:val="0"/>
      <w:marRight w:val="0"/>
      <w:marTop w:val="0"/>
      <w:marBottom w:val="0"/>
      <w:divBdr>
        <w:top w:val="none" w:sz="0" w:space="0" w:color="auto"/>
        <w:left w:val="none" w:sz="0" w:space="0" w:color="auto"/>
        <w:bottom w:val="none" w:sz="0" w:space="0" w:color="auto"/>
        <w:right w:val="none" w:sz="0" w:space="0" w:color="auto"/>
      </w:divBdr>
    </w:div>
    <w:div w:id="995688550">
      <w:bodyDiv w:val="1"/>
      <w:marLeft w:val="0"/>
      <w:marRight w:val="0"/>
      <w:marTop w:val="0"/>
      <w:marBottom w:val="0"/>
      <w:divBdr>
        <w:top w:val="none" w:sz="0" w:space="0" w:color="auto"/>
        <w:left w:val="none" w:sz="0" w:space="0" w:color="auto"/>
        <w:bottom w:val="none" w:sz="0" w:space="0" w:color="auto"/>
        <w:right w:val="none" w:sz="0" w:space="0" w:color="auto"/>
      </w:divBdr>
    </w:div>
    <w:div w:id="1007635776">
      <w:bodyDiv w:val="1"/>
      <w:marLeft w:val="0"/>
      <w:marRight w:val="0"/>
      <w:marTop w:val="0"/>
      <w:marBottom w:val="0"/>
      <w:divBdr>
        <w:top w:val="none" w:sz="0" w:space="0" w:color="auto"/>
        <w:left w:val="none" w:sz="0" w:space="0" w:color="auto"/>
        <w:bottom w:val="none" w:sz="0" w:space="0" w:color="auto"/>
        <w:right w:val="none" w:sz="0" w:space="0" w:color="auto"/>
      </w:divBdr>
    </w:div>
    <w:div w:id="1013990554">
      <w:bodyDiv w:val="1"/>
      <w:marLeft w:val="0"/>
      <w:marRight w:val="0"/>
      <w:marTop w:val="0"/>
      <w:marBottom w:val="0"/>
      <w:divBdr>
        <w:top w:val="none" w:sz="0" w:space="0" w:color="auto"/>
        <w:left w:val="none" w:sz="0" w:space="0" w:color="auto"/>
        <w:bottom w:val="none" w:sz="0" w:space="0" w:color="auto"/>
        <w:right w:val="none" w:sz="0" w:space="0" w:color="auto"/>
      </w:divBdr>
      <w:divsChild>
        <w:div w:id="117141310">
          <w:marLeft w:val="0"/>
          <w:marRight w:val="0"/>
          <w:marTop w:val="0"/>
          <w:marBottom w:val="0"/>
          <w:divBdr>
            <w:top w:val="none" w:sz="0" w:space="0" w:color="auto"/>
            <w:left w:val="none" w:sz="0" w:space="0" w:color="auto"/>
            <w:bottom w:val="none" w:sz="0" w:space="0" w:color="auto"/>
            <w:right w:val="none" w:sz="0" w:space="0" w:color="auto"/>
          </w:divBdr>
          <w:divsChild>
            <w:div w:id="1050764882">
              <w:marLeft w:val="0"/>
              <w:marRight w:val="0"/>
              <w:marTop w:val="0"/>
              <w:marBottom w:val="0"/>
              <w:divBdr>
                <w:top w:val="none" w:sz="0" w:space="0" w:color="auto"/>
                <w:left w:val="none" w:sz="0" w:space="0" w:color="auto"/>
                <w:bottom w:val="none" w:sz="0" w:space="0" w:color="auto"/>
                <w:right w:val="none" w:sz="0" w:space="0" w:color="auto"/>
              </w:divBdr>
              <w:divsChild>
                <w:div w:id="837158897">
                  <w:marLeft w:val="0"/>
                  <w:marRight w:val="0"/>
                  <w:marTop w:val="0"/>
                  <w:marBottom w:val="0"/>
                  <w:divBdr>
                    <w:top w:val="none" w:sz="0" w:space="0" w:color="auto"/>
                    <w:left w:val="none" w:sz="0" w:space="0" w:color="auto"/>
                    <w:bottom w:val="none" w:sz="0" w:space="0" w:color="auto"/>
                    <w:right w:val="none" w:sz="0" w:space="0" w:color="auto"/>
                  </w:divBdr>
                  <w:divsChild>
                    <w:div w:id="107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9327">
      <w:bodyDiv w:val="1"/>
      <w:marLeft w:val="0"/>
      <w:marRight w:val="0"/>
      <w:marTop w:val="0"/>
      <w:marBottom w:val="0"/>
      <w:divBdr>
        <w:top w:val="none" w:sz="0" w:space="0" w:color="auto"/>
        <w:left w:val="none" w:sz="0" w:space="0" w:color="auto"/>
        <w:bottom w:val="none" w:sz="0" w:space="0" w:color="auto"/>
        <w:right w:val="none" w:sz="0" w:space="0" w:color="auto"/>
      </w:divBdr>
    </w:div>
    <w:div w:id="1030956475">
      <w:bodyDiv w:val="1"/>
      <w:marLeft w:val="0"/>
      <w:marRight w:val="0"/>
      <w:marTop w:val="0"/>
      <w:marBottom w:val="0"/>
      <w:divBdr>
        <w:top w:val="none" w:sz="0" w:space="0" w:color="auto"/>
        <w:left w:val="none" w:sz="0" w:space="0" w:color="auto"/>
        <w:bottom w:val="none" w:sz="0" w:space="0" w:color="auto"/>
        <w:right w:val="none" w:sz="0" w:space="0" w:color="auto"/>
      </w:divBdr>
    </w:div>
    <w:div w:id="1037318653">
      <w:bodyDiv w:val="1"/>
      <w:marLeft w:val="0"/>
      <w:marRight w:val="0"/>
      <w:marTop w:val="0"/>
      <w:marBottom w:val="0"/>
      <w:divBdr>
        <w:top w:val="none" w:sz="0" w:space="0" w:color="auto"/>
        <w:left w:val="none" w:sz="0" w:space="0" w:color="auto"/>
        <w:bottom w:val="none" w:sz="0" w:space="0" w:color="auto"/>
        <w:right w:val="none" w:sz="0" w:space="0" w:color="auto"/>
      </w:divBdr>
    </w:div>
    <w:div w:id="1043676276">
      <w:bodyDiv w:val="1"/>
      <w:marLeft w:val="0"/>
      <w:marRight w:val="0"/>
      <w:marTop w:val="0"/>
      <w:marBottom w:val="0"/>
      <w:divBdr>
        <w:top w:val="none" w:sz="0" w:space="0" w:color="auto"/>
        <w:left w:val="none" w:sz="0" w:space="0" w:color="auto"/>
        <w:bottom w:val="none" w:sz="0" w:space="0" w:color="auto"/>
        <w:right w:val="none" w:sz="0" w:space="0" w:color="auto"/>
      </w:divBdr>
      <w:divsChild>
        <w:div w:id="422578278">
          <w:marLeft w:val="0"/>
          <w:marRight w:val="0"/>
          <w:marTop w:val="0"/>
          <w:marBottom w:val="0"/>
          <w:divBdr>
            <w:top w:val="none" w:sz="0" w:space="0" w:color="auto"/>
            <w:left w:val="none" w:sz="0" w:space="0" w:color="auto"/>
            <w:bottom w:val="none" w:sz="0" w:space="0" w:color="auto"/>
            <w:right w:val="none" w:sz="0" w:space="0" w:color="auto"/>
          </w:divBdr>
          <w:divsChild>
            <w:div w:id="77018426">
              <w:marLeft w:val="0"/>
              <w:marRight w:val="0"/>
              <w:marTop w:val="0"/>
              <w:marBottom w:val="0"/>
              <w:divBdr>
                <w:top w:val="none" w:sz="0" w:space="0" w:color="auto"/>
                <w:left w:val="none" w:sz="0" w:space="0" w:color="auto"/>
                <w:bottom w:val="none" w:sz="0" w:space="0" w:color="auto"/>
                <w:right w:val="none" w:sz="0" w:space="0" w:color="auto"/>
              </w:divBdr>
              <w:divsChild>
                <w:div w:id="2516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227">
      <w:bodyDiv w:val="1"/>
      <w:marLeft w:val="0"/>
      <w:marRight w:val="0"/>
      <w:marTop w:val="0"/>
      <w:marBottom w:val="0"/>
      <w:divBdr>
        <w:top w:val="none" w:sz="0" w:space="0" w:color="auto"/>
        <w:left w:val="none" w:sz="0" w:space="0" w:color="auto"/>
        <w:bottom w:val="none" w:sz="0" w:space="0" w:color="auto"/>
        <w:right w:val="none" w:sz="0" w:space="0" w:color="auto"/>
      </w:divBdr>
    </w:div>
    <w:div w:id="1056050005">
      <w:bodyDiv w:val="1"/>
      <w:marLeft w:val="0"/>
      <w:marRight w:val="0"/>
      <w:marTop w:val="0"/>
      <w:marBottom w:val="0"/>
      <w:divBdr>
        <w:top w:val="none" w:sz="0" w:space="0" w:color="auto"/>
        <w:left w:val="none" w:sz="0" w:space="0" w:color="auto"/>
        <w:bottom w:val="none" w:sz="0" w:space="0" w:color="auto"/>
        <w:right w:val="none" w:sz="0" w:space="0" w:color="auto"/>
      </w:divBdr>
    </w:div>
    <w:div w:id="1069889142">
      <w:bodyDiv w:val="1"/>
      <w:marLeft w:val="0"/>
      <w:marRight w:val="0"/>
      <w:marTop w:val="0"/>
      <w:marBottom w:val="0"/>
      <w:divBdr>
        <w:top w:val="none" w:sz="0" w:space="0" w:color="auto"/>
        <w:left w:val="none" w:sz="0" w:space="0" w:color="auto"/>
        <w:bottom w:val="none" w:sz="0" w:space="0" w:color="auto"/>
        <w:right w:val="none" w:sz="0" w:space="0" w:color="auto"/>
      </w:divBdr>
    </w:div>
    <w:div w:id="1074741720">
      <w:bodyDiv w:val="1"/>
      <w:marLeft w:val="0"/>
      <w:marRight w:val="0"/>
      <w:marTop w:val="0"/>
      <w:marBottom w:val="0"/>
      <w:divBdr>
        <w:top w:val="none" w:sz="0" w:space="0" w:color="auto"/>
        <w:left w:val="none" w:sz="0" w:space="0" w:color="auto"/>
        <w:bottom w:val="none" w:sz="0" w:space="0" w:color="auto"/>
        <w:right w:val="none" w:sz="0" w:space="0" w:color="auto"/>
      </w:divBdr>
    </w:div>
    <w:div w:id="1094283660">
      <w:bodyDiv w:val="1"/>
      <w:marLeft w:val="0"/>
      <w:marRight w:val="0"/>
      <w:marTop w:val="0"/>
      <w:marBottom w:val="0"/>
      <w:divBdr>
        <w:top w:val="none" w:sz="0" w:space="0" w:color="auto"/>
        <w:left w:val="none" w:sz="0" w:space="0" w:color="auto"/>
        <w:bottom w:val="none" w:sz="0" w:space="0" w:color="auto"/>
        <w:right w:val="none" w:sz="0" w:space="0" w:color="auto"/>
      </w:divBdr>
    </w:div>
    <w:div w:id="1098253131">
      <w:bodyDiv w:val="1"/>
      <w:marLeft w:val="0"/>
      <w:marRight w:val="0"/>
      <w:marTop w:val="0"/>
      <w:marBottom w:val="0"/>
      <w:divBdr>
        <w:top w:val="none" w:sz="0" w:space="0" w:color="auto"/>
        <w:left w:val="none" w:sz="0" w:space="0" w:color="auto"/>
        <w:bottom w:val="none" w:sz="0" w:space="0" w:color="auto"/>
        <w:right w:val="none" w:sz="0" w:space="0" w:color="auto"/>
      </w:divBdr>
    </w:div>
    <w:div w:id="1134830528">
      <w:bodyDiv w:val="1"/>
      <w:marLeft w:val="0"/>
      <w:marRight w:val="0"/>
      <w:marTop w:val="0"/>
      <w:marBottom w:val="0"/>
      <w:divBdr>
        <w:top w:val="none" w:sz="0" w:space="0" w:color="auto"/>
        <w:left w:val="none" w:sz="0" w:space="0" w:color="auto"/>
        <w:bottom w:val="none" w:sz="0" w:space="0" w:color="auto"/>
        <w:right w:val="none" w:sz="0" w:space="0" w:color="auto"/>
      </w:divBdr>
      <w:divsChild>
        <w:div w:id="1010912630">
          <w:marLeft w:val="0"/>
          <w:marRight w:val="0"/>
          <w:marTop w:val="0"/>
          <w:marBottom w:val="0"/>
          <w:divBdr>
            <w:top w:val="none" w:sz="0" w:space="0" w:color="auto"/>
            <w:left w:val="none" w:sz="0" w:space="0" w:color="auto"/>
            <w:bottom w:val="none" w:sz="0" w:space="0" w:color="auto"/>
            <w:right w:val="none" w:sz="0" w:space="0" w:color="auto"/>
          </w:divBdr>
          <w:divsChild>
            <w:div w:id="1775860519">
              <w:marLeft w:val="0"/>
              <w:marRight w:val="0"/>
              <w:marTop w:val="0"/>
              <w:marBottom w:val="0"/>
              <w:divBdr>
                <w:top w:val="none" w:sz="0" w:space="0" w:color="auto"/>
                <w:left w:val="none" w:sz="0" w:space="0" w:color="auto"/>
                <w:bottom w:val="none" w:sz="0" w:space="0" w:color="auto"/>
                <w:right w:val="none" w:sz="0" w:space="0" w:color="auto"/>
              </w:divBdr>
              <w:divsChild>
                <w:div w:id="20469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05168">
      <w:bodyDiv w:val="1"/>
      <w:marLeft w:val="0"/>
      <w:marRight w:val="0"/>
      <w:marTop w:val="0"/>
      <w:marBottom w:val="0"/>
      <w:divBdr>
        <w:top w:val="none" w:sz="0" w:space="0" w:color="auto"/>
        <w:left w:val="none" w:sz="0" w:space="0" w:color="auto"/>
        <w:bottom w:val="none" w:sz="0" w:space="0" w:color="auto"/>
        <w:right w:val="none" w:sz="0" w:space="0" w:color="auto"/>
      </w:divBdr>
    </w:div>
    <w:div w:id="1147863221">
      <w:bodyDiv w:val="1"/>
      <w:marLeft w:val="0"/>
      <w:marRight w:val="0"/>
      <w:marTop w:val="0"/>
      <w:marBottom w:val="0"/>
      <w:divBdr>
        <w:top w:val="none" w:sz="0" w:space="0" w:color="auto"/>
        <w:left w:val="none" w:sz="0" w:space="0" w:color="auto"/>
        <w:bottom w:val="none" w:sz="0" w:space="0" w:color="auto"/>
        <w:right w:val="none" w:sz="0" w:space="0" w:color="auto"/>
      </w:divBdr>
    </w:div>
    <w:div w:id="1227911159">
      <w:bodyDiv w:val="1"/>
      <w:marLeft w:val="0"/>
      <w:marRight w:val="0"/>
      <w:marTop w:val="0"/>
      <w:marBottom w:val="0"/>
      <w:divBdr>
        <w:top w:val="none" w:sz="0" w:space="0" w:color="auto"/>
        <w:left w:val="none" w:sz="0" w:space="0" w:color="auto"/>
        <w:bottom w:val="none" w:sz="0" w:space="0" w:color="auto"/>
        <w:right w:val="none" w:sz="0" w:space="0" w:color="auto"/>
      </w:divBdr>
    </w:div>
    <w:div w:id="1238176162">
      <w:bodyDiv w:val="1"/>
      <w:marLeft w:val="0"/>
      <w:marRight w:val="0"/>
      <w:marTop w:val="0"/>
      <w:marBottom w:val="0"/>
      <w:divBdr>
        <w:top w:val="none" w:sz="0" w:space="0" w:color="auto"/>
        <w:left w:val="none" w:sz="0" w:space="0" w:color="auto"/>
        <w:bottom w:val="none" w:sz="0" w:space="0" w:color="auto"/>
        <w:right w:val="none" w:sz="0" w:space="0" w:color="auto"/>
      </w:divBdr>
      <w:divsChild>
        <w:div w:id="1363825355">
          <w:marLeft w:val="0"/>
          <w:marRight w:val="0"/>
          <w:marTop w:val="0"/>
          <w:marBottom w:val="0"/>
          <w:divBdr>
            <w:top w:val="none" w:sz="0" w:space="0" w:color="auto"/>
            <w:left w:val="none" w:sz="0" w:space="0" w:color="auto"/>
            <w:bottom w:val="none" w:sz="0" w:space="0" w:color="auto"/>
            <w:right w:val="none" w:sz="0" w:space="0" w:color="auto"/>
          </w:divBdr>
          <w:divsChild>
            <w:div w:id="1004163290">
              <w:marLeft w:val="0"/>
              <w:marRight w:val="0"/>
              <w:marTop w:val="0"/>
              <w:marBottom w:val="0"/>
              <w:divBdr>
                <w:top w:val="none" w:sz="0" w:space="0" w:color="auto"/>
                <w:left w:val="none" w:sz="0" w:space="0" w:color="auto"/>
                <w:bottom w:val="none" w:sz="0" w:space="0" w:color="auto"/>
                <w:right w:val="none" w:sz="0" w:space="0" w:color="auto"/>
              </w:divBdr>
              <w:divsChild>
                <w:div w:id="11657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25246">
      <w:bodyDiv w:val="1"/>
      <w:marLeft w:val="0"/>
      <w:marRight w:val="0"/>
      <w:marTop w:val="0"/>
      <w:marBottom w:val="0"/>
      <w:divBdr>
        <w:top w:val="none" w:sz="0" w:space="0" w:color="auto"/>
        <w:left w:val="none" w:sz="0" w:space="0" w:color="auto"/>
        <w:bottom w:val="none" w:sz="0" w:space="0" w:color="auto"/>
        <w:right w:val="none" w:sz="0" w:space="0" w:color="auto"/>
      </w:divBdr>
      <w:divsChild>
        <w:div w:id="163043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49003">
              <w:marLeft w:val="0"/>
              <w:marRight w:val="0"/>
              <w:marTop w:val="0"/>
              <w:marBottom w:val="0"/>
              <w:divBdr>
                <w:top w:val="none" w:sz="0" w:space="0" w:color="auto"/>
                <w:left w:val="none" w:sz="0" w:space="0" w:color="auto"/>
                <w:bottom w:val="none" w:sz="0" w:space="0" w:color="auto"/>
                <w:right w:val="none" w:sz="0" w:space="0" w:color="auto"/>
              </w:divBdr>
              <w:divsChild>
                <w:div w:id="384255356">
                  <w:marLeft w:val="1440"/>
                  <w:marRight w:val="0"/>
                  <w:marTop w:val="0"/>
                  <w:marBottom w:val="0"/>
                  <w:divBdr>
                    <w:top w:val="none" w:sz="0" w:space="0" w:color="auto"/>
                    <w:left w:val="none" w:sz="0" w:space="0" w:color="auto"/>
                    <w:bottom w:val="none" w:sz="0" w:space="0" w:color="auto"/>
                    <w:right w:val="none" w:sz="0" w:space="0" w:color="auto"/>
                  </w:divBdr>
                </w:div>
                <w:div w:id="1093553928">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90222">
      <w:bodyDiv w:val="1"/>
      <w:marLeft w:val="0"/>
      <w:marRight w:val="0"/>
      <w:marTop w:val="0"/>
      <w:marBottom w:val="0"/>
      <w:divBdr>
        <w:top w:val="none" w:sz="0" w:space="0" w:color="auto"/>
        <w:left w:val="none" w:sz="0" w:space="0" w:color="auto"/>
        <w:bottom w:val="none" w:sz="0" w:space="0" w:color="auto"/>
        <w:right w:val="none" w:sz="0" w:space="0" w:color="auto"/>
      </w:divBdr>
    </w:div>
    <w:div w:id="1274242321">
      <w:bodyDiv w:val="1"/>
      <w:marLeft w:val="0"/>
      <w:marRight w:val="0"/>
      <w:marTop w:val="0"/>
      <w:marBottom w:val="0"/>
      <w:divBdr>
        <w:top w:val="none" w:sz="0" w:space="0" w:color="auto"/>
        <w:left w:val="none" w:sz="0" w:space="0" w:color="auto"/>
        <w:bottom w:val="none" w:sz="0" w:space="0" w:color="auto"/>
        <w:right w:val="none" w:sz="0" w:space="0" w:color="auto"/>
      </w:divBdr>
    </w:div>
    <w:div w:id="1276979137">
      <w:bodyDiv w:val="1"/>
      <w:marLeft w:val="0"/>
      <w:marRight w:val="0"/>
      <w:marTop w:val="0"/>
      <w:marBottom w:val="0"/>
      <w:divBdr>
        <w:top w:val="none" w:sz="0" w:space="0" w:color="auto"/>
        <w:left w:val="none" w:sz="0" w:space="0" w:color="auto"/>
        <w:bottom w:val="none" w:sz="0" w:space="0" w:color="auto"/>
        <w:right w:val="none" w:sz="0" w:space="0" w:color="auto"/>
      </w:divBdr>
    </w:div>
    <w:div w:id="1283220247">
      <w:bodyDiv w:val="1"/>
      <w:marLeft w:val="0"/>
      <w:marRight w:val="0"/>
      <w:marTop w:val="0"/>
      <w:marBottom w:val="0"/>
      <w:divBdr>
        <w:top w:val="none" w:sz="0" w:space="0" w:color="auto"/>
        <w:left w:val="none" w:sz="0" w:space="0" w:color="auto"/>
        <w:bottom w:val="none" w:sz="0" w:space="0" w:color="auto"/>
        <w:right w:val="none" w:sz="0" w:space="0" w:color="auto"/>
      </w:divBdr>
    </w:div>
    <w:div w:id="1290360896">
      <w:bodyDiv w:val="1"/>
      <w:marLeft w:val="0"/>
      <w:marRight w:val="0"/>
      <w:marTop w:val="0"/>
      <w:marBottom w:val="0"/>
      <w:divBdr>
        <w:top w:val="none" w:sz="0" w:space="0" w:color="auto"/>
        <w:left w:val="none" w:sz="0" w:space="0" w:color="auto"/>
        <w:bottom w:val="none" w:sz="0" w:space="0" w:color="auto"/>
        <w:right w:val="none" w:sz="0" w:space="0" w:color="auto"/>
      </w:divBdr>
    </w:div>
    <w:div w:id="1309283451">
      <w:bodyDiv w:val="1"/>
      <w:marLeft w:val="0"/>
      <w:marRight w:val="0"/>
      <w:marTop w:val="0"/>
      <w:marBottom w:val="0"/>
      <w:divBdr>
        <w:top w:val="none" w:sz="0" w:space="0" w:color="auto"/>
        <w:left w:val="none" w:sz="0" w:space="0" w:color="auto"/>
        <w:bottom w:val="none" w:sz="0" w:space="0" w:color="auto"/>
        <w:right w:val="none" w:sz="0" w:space="0" w:color="auto"/>
      </w:divBdr>
      <w:divsChild>
        <w:div w:id="595093246">
          <w:marLeft w:val="0"/>
          <w:marRight w:val="0"/>
          <w:marTop w:val="0"/>
          <w:marBottom w:val="0"/>
          <w:divBdr>
            <w:top w:val="none" w:sz="0" w:space="0" w:color="auto"/>
            <w:left w:val="none" w:sz="0" w:space="0" w:color="auto"/>
            <w:bottom w:val="none" w:sz="0" w:space="0" w:color="auto"/>
            <w:right w:val="none" w:sz="0" w:space="0" w:color="auto"/>
          </w:divBdr>
        </w:div>
        <w:div w:id="1427380301">
          <w:marLeft w:val="0"/>
          <w:marRight w:val="0"/>
          <w:marTop w:val="0"/>
          <w:marBottom w:val="0"/>
          <w:divBdr>
            <w:top w:val="none" w:sz="0" w:space="0" w:color="auto"/>
            <w:left w:val="none" w:sz="0" w:space="0" w:color="auto"/>
            <w:bottom w:val="none" w:sz="0" w:space="0" w:color="auto"/>
            <w:right w:val="none" w:sz="0" w:space="0" w:color="auto"/>
          </w:divBdr>
        </w:div>
        <w:div w:id="1310986373">
          <w:marLeft w:val="0"/>
          <w:marRight w:val="0"/>
          <w:marTop w:val="0"/>
          <w:marBottom w:val="0"/>
          <w:divBdr>
            <w:top w:val="none" w:sz="0" w:space="0" w:color="auto"/>
            <w:left w:val="none" w:sz="0" w:space="0" w:color="auto"/>
            <w:bottom w:val="none" w:sz="0" w:space="0" w:color="auto"/>
            <w:right w:val="none" w:sz="0" w:space="0" w:color="auto"/>
          </w:divBdr>
        </w:div>
        <w:div w:id="1034690524">
          <w:marLeft w:val="0"/>
          <w:marRight w:val="0"/>
          <w:marTop w:val="0"/>
          <w:marBottom w:val="0"/>
          <w:divBdr>
            <w:top w:val="none" w:sz="0" w:space="0" w:color="auto"/>
            <w:left w:val="none" w:sz="0" w:space="0" w:color="auto"/>
            <w:bottom w:val="none" w:sz="0" w:space="0" w:color="auto"/>
            <w:right w:val="none" w:sz="0" w:space="0" w:color="auto"/>
          </w:divBdr>
        </w:div>
        <w:div w:id="1416781462">
          <w:marLeft w:val="0"/>
          <w:marRight w:val="0"/>
          <w:marTop w:val="0"/>
          <w:marBottom w:val="0"/>
          <w:divBdr>
            <w:top w:val="none" w:sz="0" w:space="0" w:color="auto"/>
            <w:left w:val="none" w:sz="0" w:space="0" w:color="auto"/>
            <w:bottom w:val="none" w:sz="0" w:space="0" w:color="auto"/>
            <w:right w:val="none" w:sz="0" w:space="0" w:color="auto"/>
          </w:divBdr>
        </w:div>
        <w:div w:id="1212573473">
          <w:marLeft w:val="0"/>
          <w:marRight w:val="0"/>
          <w:marTop w:val="0"/>
          <w:marBottom w:val="0"/>
          <w:divBdr>
            <w:top w:val="none" w:sz="0" w:space="0" w:color="auto"/>
            <w:left w:val="none" w:sz="0" w:space="0" w:color="auto"/>
            <w:bottom w:val="none" w:sz="0" w:space="0" w:color="auto"/>
            <w:right w:val="none" w:sz="0" w:space="0" w:color="auto"/>
          </w:divBdr>
        </w:div>
        <w:div w:id="1414013404">
          <w:marLeft w:val="0"/>
          <w:marRight w:val="0"/>
          <w:marTop w:val="0"/>
          <w:marBottom w:val="0"/>
          <w:divBdr>
            <w:top w:val="none" w:sz="0" w:space="0" w:color="auto"/>
            <w:left w:val="none" w:sz="0" w:space="0" w:color="auto"/>
            <w:bottom w:val="none" w:sz="0" w:space="0" w:color="auto"/>
            <w:right w:val="none" w:sz="0" w:space="0" w:color="auto"/>
          </w:divBdr>
        </w:div>
        <w:div w:id="116679826">
          <w:marLeft w:val="0"/>
          <w:marRight w:val="0"/>
          <w:marTop w:val="0"/>
          <w:marBottom w:val="0"/>
          <w:divBdr>
            <w:top w:val="none" w:sz="0" w:space="0" w:color="auto"/>
            <w:left w:val="none" w:sz="0" w:space="0" w:color="auto"/>
            <w:bottom w:val="none" w:sz="0" w:space="0" w:color="auto"/>
            <w:right w:val="none" w:sz="0" w:space="0" w:color="auto"/>
          </w:divBdr>
        </w:div>
      </w:divsChild>
    </w:div>
    <w:div w:id="1332028625">
      <w:bodyDiv w:val="1"/>
      <w:marLeft w:val="0"/>
      <w:marRight w:val="0"/>
      <w:marTop w:val="0"/>
      <w:marBottom w:val="0"/>
      <w:divBdr>
        <w:top w:val="none" w:sz="0" w:space="0" w:color="auto"/>
        <w:left w:val="none" w:sz="0" w:space="0" w:color="auto"/>
        <w:bottom w:val="none" w:sz="0" w:space="0" w:color="auto"/>
        <w:right w:val="none" w:sz="0" w:space="0" w:color="auto"/>
      </w:divBdr>
    </w:div>
    <w:div w:id="1343363212">
      <w:bodyDiv w:val="1"/>
      <w:marLeft w:val="0"/>
      <w:marRight w:val="0"/>
      <w:marTop w:val="0"/>
      <w:marBottom w:val="0"/>
      <w:divBdr>
        <w:top w:val="none" w:sz="0" w:space="0" w:color="auto"/>
        <w:left w:val="none" w:sz="0" w:space="0" w:color="auto"/>
        <w:bottom w:val="none" w:sz="0" w:space="0" w:color="auto"/>
        <w:right w:val="none" w:sz="0" w:space="0" w:color="auto"/>
      </w:divBdr>
    </w:div>
    <w:div w:id="1352803093">
      <w:bodyDiv w:val="1"/>
      <w:marLeft w:val="0"/>
      <w:marRight w:val="0"/>
      <w:marTop w:val="0"/>
      <w:marBottom w:val="0"/>
      <w:divBdr>
        <w:top w:val="none" w:sz="0" w:space="0" w:color="auto"/>
        <w:left w:val="none" w:sz="0" w:space="0" w:color="auto"/>
        <w:bottom w:val="none" w:sz="0" w:space="0" w:color="auto"/>
        <w:right w:val="none" w:sz="0" w:space="0" w:color="auto"/>
      </w:divBdr>
    </w:div>
    <w:div w:id="1364094147">
      <w:bodyDiv w:val="1"/>
      <w:marLeft w:val="0"/>
      <w:marRight w:val="0"/>
      <w:marTop w:val="0"/>
      <w:marBottom w:val="0"/>
      <w:divBdr>
        <w:top w:val="none" w:sz="0" w:space="0" w:color="auto"/>
        <w:left w:val="none" w:sz="0" w:space="0" w:color="auto"/>
        <w:bottom w:val="none" w:sz="0" w:space="0" w:color="auto"/>
        <w:right w:val="none" w:sz="0" w:space="0" w:color="auto"/>
      </w:divBdr>
    </w:div>
    <w:div w:id="1374883604">
      <w:bodyDiv w:val="1"/>
      <w:marLeft w:val="0"/>
      <w:marRight w:val="0"/>
      <w:marTop w:val="0"/>
      <w:marBottom w:val="0"/>
      <w:divBdr>
        <w:top w:val="none" w:sz="0" w:space="0" w:color="auto"/>
        <w:left w:val="none" w:sz="0" w:space="0" w:color="auto"/>
        <w:bottom w:val="none" w:sz="0" w:space="0" w:color="auto"/>
        <w:right w:val="none" w:sz="0" w:space="0" w:color="auto"/>
      </w:divBdr>
    </w:div>
    <w:div w:id="1383098160">
      <w:bodyDiv w:val="1"/>
      <w:marLeft w:val="0"/>
      <w:marRight w:val="0"/>
      <w:marTop w:val="0"/>
      <w:marBottom w:val="0"/>
      <w:divBdr>
        <w:top w:val="none" w:sz="0" w:space="0" w:color="auto"/>
        <w:left w:val="none" w:sz="0" w:space="0" w:color="auto"/>
        <w:bottom w:val="none" w:sz="0" w:space="0" w:color="auto"/>
        <w:right w:val="none" w:sz="0" w:space="0" w:color="auto"/>
      </w:divBdr>
      <w:divsChild>
        <w:div w:id="421218784">
          <w:marLeft w:val="0"/>
          <w:marRight w:val="0"/>
          <w:marTop w:val="0"/>
          <w:marBottom w:val="0"/>
          <w:divBdr>
            <w:top w:val="none" w:sz="0" w:space="0" w:color="auto"/>
            <w:left w:val="none" w:sz="0" w:space="0" w:color="auto"/>
            <w:bottom w:val="none" w:sz="0" w:space="0" w:color="auto"/>
            <w:right w:val="none" w:sz="0" w:space="0" w:color="auto"/>
          </w:divBdr>
        </w:div>
        <w:div w:id="653682444">
          <w:marLeft w:val="0"/>
          <w:marRight w:val="0"/>
          <w:marTop w:val="0"/>
          <w:marBottom w:val="0"/>
          <w:divBdr>
            <w:top w:val="none" w:sz="0" w:space="0" w:color="auto"/>
            <w:left w:val="none" w:sz="0" w:space="0" w:color="auto"/>
            <w:bottom w:val="none" w:sz="0" w:space="0" w:color="auto"/>
            <w:right w:val="none" w:sz="0" w:space="0" w:color="auto"/>
          </w:divBdr>
          <w:divsChild>
            <w:div w:id="925697812">
              <w:marLeft w:val="0"/>
              <w:marRight w:val="0"/>
              <w:marTop w:val="0"/>
              <w:marBottom w:val="0"/>
              <w:divBdr>
                <w:top w:val="none" w:sz="0" w:space="0" w:color="auto"/>
                <w:left w:val="none" w:sz="0" w:space="0" w:color="auto"/>
                <w:bottom w:val="none" w:sz="0" w:space="0" w:color="auto"/>
                <w:right w:val="none" w:sz="0" w:space="0" w:color="auto"/>
              </w:divBdr>
              <w:divsChild>
                <w:div w:id="1868785529">
                  <w:marLeft w:val="0"/>
                  <w:marRight w:val="0"/>
                  <w:marTop w:val="0"/>
                  <w:marBottom w:val="0"/>
                  <w:divBdr>
                    <w:top w:val="none" w:sz="0" w:space="0" w:color="auto"/>
                    <w:left w:val="none" w:sz="0" w:space="0" w:color="auto"/>
                    <w:bottom w:val="none" w:sz="0" w:space="0" w:color="auto"/>
                    <w:right w:val="none" w:sz="0" w:space="0" w:color="auto"/>
                  </w:divBdr>
                  <w:divsChild>
                    <w:div w:id="824589743">
                      <w:marLeft w:val="0"/>
                      <w:marRight w:val="0"/>
                      <w:marTop w:val="0"/>
                      <w:marBottom w:val="0"/>
                      <w:divBdr>
                        <w:top w:val="none" w:sz="0" w:space="0" w:color="auto"/>
                        <w:left w:val="none" w:sz="0" w:space="0" w:color="auto"/>
                        <w:bottom w:val="none" w:sz="0" w:space="0" w:color="auto"/>
                        <w:right w:val="none" w:sz="0" w:space="0" w:color="auto"/>
                      </w:divBdr>
                      <w:divsChild>
                        <w:div w:id="746078597">
                          <w:marLeft w:val="0"/>
                          <w:marRight w:val="0"/>
                          <w:marTop w:val="0"/>
                          <w:marBottom w:val="0"/>
                          <w:divBdr>
                            <w:top w:val="none" w:sz="0" w:space="0" w:color="auto"/>
                            <w:left w:val="none" w:sz="0" w:space="0" w:color="auto"/>
                            <w:bottom w:val="none" w:sz="0" w:space="0" w:color="auto"/>
                            <w:right w:val="none" w:sz="0" w:space="0" w:color="auto"/>
                          </w:divBdr>
                          <w:divsChild>
                            <w:div w:id="1304698510">
                              <w:marLeft w:val="0"/>
                              <w:marRight w:val="0"/>
                              <w:marTop w:val="0"/>
                              <w:marBottom w:val="0"/>
                              <w:divBdr>
                                <w:top w:val="none" w:sz="0" w:space="0" w:color="auto"/>
                                <w:left w:val="none" w:sz="0" w:space="0" w:color="auto"/>
                                <w:bottom w:val="none" w:sz="0" w:space="0" w:color="auto"/>
                                <w:right w:val="none" w:sz="0" w:space="0" w:color="auto"/>
                              </w:divBdr>
                              <w:divsChild>
                                <w:div w:id="231163460">
                                  <w:marLeft w:val="0"/>
                                  <w:marRight w:val="0"/>
                                  <w:marTop w:val="0"/>
                                  <w:marBottom w:val="0"/>
                                  <w:divBdr>
                                    <w:top w:val="none" w:sz="0" w:space="0" w:color="auto"/>
                                    <w:left w:val="none" w:sz="0" w:space="0" w:color="auto"/>
                                    <w:bottom w:val="none" w:sz="0" w:space="0" w:color="auto"/>
                                    <w:right w:val="none" w:sz="0" w:space="0" w:color="auto"/>
                                  </w:divBdr>
                                  <w:divsChild>
                                    <w:div w:id="8808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795264">
      <w:bodyDiv w:val="1"/>
      <w:marLeft w:val="0"/>
      <w:marRight w:val="0"/>
      <w:marTop w:val="0"/>
      <w:marBottom w:val="0"/>
      <w:divBdr>
        <w:top w:val="none" w:sz="0" w:space="0" w:color="auto"/>
        <w:left w:val="none" w:sz="0" w:space="0" w:color="auto"/>
        <w:bottom w:val="none" w:sz="0" w:space="0" w:color="auto"/>
        <w:right w:val="none" w:sz="0" w:space="0" w:color="auto"/>
      </w:divBdr>
      <w:divsChild>
        <w:div w:id="48000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525845">
              <w:marLeft w:val="0"/>
              <w:marRight w:val="0"/>
              <w:marTop w:val="0"/>
              <w:marBottom w:val="0"/>
              <w:divBdr>
                <w:top w:val="none" w:sz="0" w:space="0" w:color="auto"/>
                <w:left w:val="none" w:sz="0" w:space="0" w:color="auto"/>
                <w:bottom w:val="none" w:sz="0" w:space="0" w:color="auto"/>
                <w:right w:val="none" w:sz="0" w:space="0" w:color="auto"/>
              </w:divBdr>
              <w:divsChild>
                <w:div w:id="935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4911">
      <w:bodyDiv w:val="1"/>
      <w:marLeft w:val="0"/>
      <w:marRight w:val="0"/>
      <w:marTop w:val="0"/>
      <w:marBottom w:val="0"/>
      <w:divBdr>
        <w:top w:val="none" w:sz="0" w:space="0" w:color="auto"/>
        <w:left w:val="none" w:sz="0" w:space="0" w:color="auto"/>
        <w:bottom w:val="none" w:sz="0" w:space="0" w:color="auto"/>
        <w:right w:val="none" w:sz="0" w:space="0" w:color="auto"/>
      </w:divBdr>
    </w:div>
    <w:div w:id="1408919016">
      <w:bodyDiv w:val="1"/>
      <w:marLeft w:val="0"/>
      <w:marRight w:val="0"/>
      <w:marTop w:val="0"/>
      <w:marBottom w:val="0"/>
      <w:divBdr>
        <w:top w:val="none" w:sz="0" w:space="0" w:color="auto"/>
        <w:left w:val="none" w:sz="0" w:space="0" w:color="auto"/>
        <w:bottom w:val="none" w:sz="0" w:space="0" w:color="auto"/>
        <w:right w:val="none" w:sz="0" w:space="0" w:color="auto"/>
      </w:divBdr>
    </w:div>
    <w:div w:id="1412193839">
      <w:bodyDiv w:val="1"/>
      <w:marLeft w:val="0"/>
      <w:marRight w:val="0"/>
      <w:marTop w:val="0"/>
      <w:marBottom w:val="0"/>
      <w:divBdr>
        <w:top w:val="none" w:sz="0" w:space="0" w:color="auto"/>
        <w:left w:val="none" w:sz="0" w:space="0" w:color="auto"/>
        <w:bottom w:val="none" w:sz="0" w:space="0" w:color="auto"/>
        <w:right w:val="none" w:sz="0" w:space="0" w:color="auto"/>
      </w:divBdr>
    </w:div>
    <w:div w:id="1413041201">
      <w:bodyDiv w:val="1"/>
      <w:marLeft w:val="0"/>
      <w:marRight w:val="0"/>
      <w:marTop w:val="0"/>
      <w:marBottom w:val="0"/>
      <w:divBdr>
        <w:top w:val="none" w:sz="0" w:space="0" w:color="auto"/>
        <w:left w:val="none" w:sz="0" w:space="0" w:color="auto"/>
        <w:bottom w:val="none" w:sz="0" w:space="0" w:color="auto"/>
        <w:right w:val="none" w:sz="0" w:space="0" w:color="auto"/>
      </w:divBdr>
    </w:div>
    <w:div w:id="1415736602">
      <w:bodyDiv w:val="1"/>
      <w:marLeft w:val="0"/>
      <w:marRight w:val="0"/>
      <w:marTop w:val="0"/>
      <w:marBottom w:val="0"/>
      <w:divBdr>
        <w:top w:val="none" w:sz="0" w:space="0" w:color="auto"/>
        <w:left w:val="none" w:sz="0" w:space="0" w:color="auto"/>
        <w:bottom w:val="none" w:sz="0" w:space="0" w:color="auto"/>
        <w:right w:val="none" w:sz="0" w:space="0" w:color="auto"/>
      </w:divBdr>
    </w:div>
    <w:div w:id="1422793970">
      <w:bodyDiv w:val="1"/>
      <w:marLeft w:val="0"/>
      <w:marRight w:val="0"/>
      <w:marTop w:val="0"/>
      <w:marBottom w:val="0"/>
      <w:divBdr>
        <w:top w:val="none" w:sz="0" w:space="0" w:color="auto"/>
        <w:left w:val="none" w:sz="0" w:space="0" w:color="auto"/>
        <w:bottom w:val="none" w:sz="0" w:space="0" w:color="auto"/>
        <w:right w:val="none" w:sz="0" w:space="0" w:color="auto"/>
      </w:divBdr>
    </w:div>
    <w:div w:id="1426144532">
      <w:bodyDiv w:val="1"/>
      <w:marLeft w:val="0"/>
      <w:marRight w:val="0"/>
      <w:marTop w:val="0"/>
      <w:marBottom w:val="0"/>
      <w:divBdr>
        <w:top w:val="none" w:sz="0" w:space="0" w:color="auto"/>
        <w:left w:val="none" w:sz="0" w:space="0" w:color="auto"/>
        <w:bottom w:val="none" w:sz="0" w:space="0" w:color="auto"/>
        <w:right w:val="none" w:sz="0" w:space="0" w:color="auto"/>
      </w:divBdr>
    </w:div>
    <w:div w:id="1465612995">
      <w:bodyDiv w:val="1"/>
      <w:marLeft w:val="0"/>
      <w:marRight w:val="0"/>
      <w:marTop w:val="0"/>
      <w:marBottom w:val="0"/>
      <w:divBdr>
        <w:top w:val="none" w:sz="0" w:space="0" w:color="auto"/>
        <w:left w:val="none" w:sz="0" w:space="0" w:color="auto"/>
        <w:bottom w:val="none" w:sz="0" w:space="0" w:color="auto"/>
        <w:right w:val="none" w:sz="0" w:space="0" w:color="auto"/>
      </w:divBdr>
    </w:div>
    <w:div w:id="1470660268">
      <w:bodyDiv w:val="1"/>
      <w:marLeft w:val="0"/>
      <w:marRight w:val="0"/>
      <w:marTop w:val="0"/>
      <w:marBottom w:val="0"/>
      <w:divBdr>
        <w:top w:val="none" w:sz="0" w:space="0" w:color="auto"/>
        <w:left w:val="none" w:sz="0" w:space="0" w:color="auto"/>
        <w:bottom w:val="none" w:sz="0" w:space="0" w:color="auto"/>
        <w:right w:val="none" w:sz="0" w:space="0" w:color="auto"/>
      </w:divBdr>
    </w:div>
    <w:div w:id="1478304667">
      <w:bodyDiv w:val="1"/>
      <w:marLeft w:val="0"/>
      <w:marRight w:val="0"/>
      <w:marTop w:val="0"/>
      <w:marBottom w:val="0"/>
      <w:divBdr>
        <w:top w:val="none" w:sz="0" w:space="0" w:color="auto"/>
        <w:left w:val="none" w:sz="0" w:space="0" w:color="auto"/>
        <w:bottom w:val="none" w:sz="0" w:space="0" w:color="auto"/>
        <w:right w:val="none" w:sz="0" w:space="0" w:color="auto"/>
      </w:divBdr>
    </w:div>
    <w:div w:id="1482043048">
      <w:bodyDiv w:val="1"/>
      <w:marLeft w:val="0"/>
      <w:marRight w:val="0"/>
      <w:marTop w:val="0"/>
      <w:marBottom w:val="0"/>
      <w:divBdr>
        <w:top w:val="none" w:sz="0" w:space="0" w:color="auto"/>
        <w:left w:val="none" w:sz="0" w:space="0" w:color="auto"/>
        <w:bottom w:val="none" w:sz="0" w:space="0" w:color="auto"/>
        <w:right w:val="none" w:sz="0" w:space="0" w:color="auto"/>
      </w:divBdr>
    </w:div>
    <w:div w:id="1483934086">
      <w:bodyDiv w:val="1"/>
      <w:marLeft w:val="0"/>
      <w:marRight w:val="0"/>
      <w:marTop w:val="0"/>
      <w:marBottom w:val="0"/>
      <w:divBdr>
        <w:top w:val="none" w:sz="0" w:space="0" w:color="auto"/>
        <w:left w:val="none" w:sz="0" w:space="0" w:color="auto"/>
        <w:bottom w:val="none" w:sz="0" w:space="0" w:color="auto"/>
        <w:right w:val="none" w:sz="0" w:space="0" w:color="auto"/>
      </w:divBdr>
    </w:div>
    <w:div w:id="1513450017">
      <w:bodyDiv w:val="1"/>
      <w:marLeft w:val="0"/>
      <w:marRight w:val="0"/>
      <w:marTop w:val="0"/>
      <w:marBottom w:val="0"/>
      <w:divBdr>
        <w:top w:val="none" w:sz="0" w:space="0" w:color="auto"/>
        <w:left w:val="none" w:sz="0" w:space="0" w:color="auto"/>
        <w:bottom w:val="none" w:sz="0" w:space="0" w:color="auto"/>
        <w:right w:val="none" w:sz="0" w:space="0" w:color="auto"/>
      </w:divBdr>
    </w:div>
    <w:div w:id="1515151153">
      <w:bodyDiv w:val="1"/>
      <w:marLeft w:val="0"/>
      <w:marRight w:val="0"/>
      <w:marTop w:val="0"/>
      <w:marBottom w:val="0"/>
      <w:divBdr>
        <w:top w:val="none" w:sz="0" w:space="0" w:color="auto"/>
        <w:left w:val="none" w:sz="0" w:space="0" w:color="auto"/>
        <w:bottom w:val="none" w:sz="0" w:space="0" w:color="auto"/>
        <w:right w:val="none" w:sz="0" w:space="0" w:color="auto"/>
      </w:divBdr>
    </w:div>
    <w:div w:id="1538620500">
      <w:bodyDiv w:val="1"/>
      <w:marLeft w:val="0"/>
      <w:marRight w:val="0"/>
      <w:marTop w:val="0"/>
      <w:marBottom w:val="0"/>
      <w:divBdr>
        <w:top w:val="none" w:sz="0" w:space="0" w:color="auto"/>
        <w:left w:val="none" w:sz="0" w:space="0" w:color="auto"/>
        <w:bottom w:val="none" w:sz="0" w:space="0" w:color="auto"/>
        <w:right w:val="none" w:sz="0" w:space="0" w:color="auto"/>
      </w:divBdr>
    </w:div>
    <w:div w:id="1556967978">
      <w:bodyDiv w:val="1"/>
      <w:marLeft w:val="0"/>
      <w:marRight w:val="0"/>
      <w:marTop w:val="0"/>
      <w:marBottom w:val="0"/>
      <w:divBdr>
        <w:top w:val="none" w:sz="0" w:space="0" w:color="auto"/>
        <w:left w:val="none" w:sz="0" w:space="0" w:color="auto"/>
        <w:bottom w:val="none" w:sz="0" w:space="0" w:color="auto"/>
        <w:right w:val="none" w:sz="0" w:space="0" w:color="auto"/>
      </w:divBdr>
    </w:div>
    <w:div w:id="1608200320">
      <w:bodyDiv w:val="1"/>
      <w:marLeft w:val="0"/>
      <w:marRight w:val="0"/>
      <w:marTop w:val="0"/>
      <w:marBottom w:val="0"/>
      <w:divBdr>
        <w:top w:val="none" w:sz="0" w:space="0" w:color="auto"/>
        <w:left w:val="none" w:sz="0" w:space="0" w:color="auto"/>
        <w:bottom w:val="none" w:sz="0" w:space="0" w:color="auto"/>
        <w:right w:val="none" w:sz="0" w:space="0" w:color="auto"/>
      </w:divBdr>
    </w:div>
    <w:div w:id="1628702216">
      <w:bodyDiv w:val="1"/>
      <w:marLeft w:val="0"/>
      <w:marRight w:val="0"/>
      <w:marTop w:val="0"/>
      <w:marBottom w:val="0"/>
      <w:divBdr>
        <w:top w:val="none" w:sz="0" w:space="0" w:color="auto"/>
        <w:left w:val="none" w:sz="0" w:space="0" w:color="auto"/>
        <w:bottom w:val="none" w:sz="0" w:space="0" w:color="auto"/>
        <w:right w:val="none" w:sz="0" w:space="0" w:color="auto"/>
      </w:divBdr>
    </w:div>
    <w:div w:id="1644042079">
      <w:bodyDiv w:val="1"/>
      <w:marLeft w:val="0"/>
      <w:marRight w:val="0"/>
      <w:marTop w:val="0"/>
      <w:marBottom w:val="0"/>
      <w:divBdr>
        <w:top w:val="none" w:sz="0" w:space="0" w:color="auto"/>
        <w:left w:val="none" w:sz="0" w:space="0" w:color="auto"/>
        <w:bottom w:val="none" w:sz="0" w:space="0" w:color="auto"/>
        <w:right w:val="none" w:sz="0" w:space="0" w:color="auto"/>
      </w:divBdr>
    </w:div>
    <w:div w:id="1646396223">
      <w:bodyDiv w:val="1"/>
      <w:marLeft w:val="0"/>
      <w:marRight w:val="0"/>
      <w:marTop w:val="0"/>
      <w:marBottom w:val="0"/>
      <w:divBdr>
        <w:top w:val="none" w:sz="0" w:space="0" w:color="auto"/>
        <w:left w:val="none" w:sz="0" w:space="0" w:color="auto"/>
        <w:bottom w:val="none" w:sz="0" w:space="0" w:color="auto"/>
        <w:right w:val="none" w:sz="0" w:space="0" w:color="auto"/>
      </w:divBdr>
    </w:div>
    <w:div w:id="1659114560">
      <w:bodyDiv w:val="1"/>
      <w:marLeft w:val="0"/>
      <w:marRight w:val="0"/>
      <w:marTop w:val="0"/>
      <w:marBottom w:val="0"/>
      <w:divBdr>
        <w:top w:val="none" w:sz="0" w:space="0" w:color="auto"/>
        <w:left w:val="none" w:sz="0" w:space="0" w:color="auto"/>
        <w:bottom w:val="none" w:sz="0" w:space="0" w:color="auto"/>
        <w:right w:val="none" w:sz="0" w:space="0" w:color="auto"/>
      </w:divBdr>
    </w:div>
    <w:div w:id="1664704569">
      <w:bodyDiv w:val="1"/>
      <w:marLeft w:val="0"/>
      <w:marRight w:val="0"/>
      <w:marTop w:val="0"/>
      <w:marBottom w:val="0"/>
      <w:divBdr>
        <w:top w:val="none" w:sz="0" w:space="0" w:color="auto"/>
        <w:left w:val="none" w:sz="0" w:space="0" w:color="auto"/>
        <w:bottom w:val="none" w:sz="0" w:space="0" w:color="auto"/>
        <w:right w:val="none" w:sz="0" w:space="0" w:color="auto"/>
      </w:divBdr>
    </w:div>
    <w:div w:id="1707019752">
      <w:bodyDiv w:val="1"/>
      <w:marLeft w:val="0"/>
      <w:marRight w:val="0"/>
      <w:marTop w:val="0"/>
      <w:marBottom w:val="0"/>
      <w:divBdr>
        <w:top w:val="none" w:sz="0" w:space="0" w:color="auto"/>
        <w:left w:val="none" w:sz="0" w:space="0" w:color="auto"/>
        <w:bottom w:val="none" w:sz="0" w:space="0" w:color="auto"/>
        <w:right w:val="none" w:sz="0" w:space="0" w:color="auto"/>
      </w:divBdr>
    </w:div>
    <w:div w:id="1714308648">
      <w:bodyDiv w:val="1"/>
      <w:marLeft w:val="0"/>
      <w:marRight w:val="0"/>
      <w:marTop w:val="0"/>
      <w:marBottom w:val="0"/>
      <w:divBdr>
        <w:top w:val="none" w:sz="0" w:space="0" w:color="auto"/>
        <w:left w:val="none" w:sz="0" w:space="0" w:color="auto"/>
        <w:bottom w:val="none" w:sz="0" w:space="0" w:color="auto"/>
        <w:right w:val="none" w:sz="0" w:space="0" w:color="auto"/>
      </w:divBdr>
    </w:div>
    <w:div w:id="1714498294">
      <w:bodyDiv w:val="1"/>
      <w:marLeft w:val="0"/>
      <w:marRight w:val="0"/>
      <w:marTop w:val="0"/>
      <w:marBottom w:val="0"/>
      <w:divBdr>
        <w:top w:val="none" w:sz="0" w:space="0" w:color="auto"/>
        <w:left w:val="none" w:sz="0" w:space="0" w:color="auto"/>
        <w:bottom w:val="none" w:sz="0" w:space="0" w:color="auto"/>
        <w:right w:val="none" w:sz="0" w:space="0" w:color="auto"/>
      </w:divBdr>
    </w:div>
    <w:div w:id="1734886402">
      <w:bodyDiv w:val="1"/>
      <w:marLeft w:val="0"/>
      <w:marRight w:val="0"/>
      <w:marTop w:val="0"/>
      <w:marBottom w:val="0"/>
      <w:divBdr>
        <w:top w:val="none" w:sz="0" w:space="0" w:color="auto"/>
        <w:left w:val="none" w:sz="0" w:space="0" w:color="auto"/>
        <w:bottom w:val="none" w:sz="0" w:space="0" w:color="auto"/>
        <w:right w:val="none" w:sz="0" w:space="0" w:color="auto"/>
      </w:divBdr>
    </w:div>
    <w:div w:id="1739982287">
      <w:bodyDiv w:val="1"/>
      <w:marLeft w:val="0"/>
      <w:marRight w:val="0"/>
      <w:marTop w:val="0"/>
      <w:marBottom w:val="0"/>
      <w:divBdr>
        <w:top w:val="none" w:sz="0" w:space="0" w:color="auto"/>
        <w:left w:val="none" w:sz="0" w:space="0" w:color="auto"/>
        <w:bottom w:val="none" w:sz="0" w:space="0" w:color="auto"/>
        <w:right w:val="none" w:sz="0" w:space="0" w:color="auto"/>
      </w:divBdr>
      <w:divsChild>
        <w:div w:id="683282329">
          <w:marLeft w:val="0"/>
          <w:marRight w:val="0"/>
          <w:marTop w:val="0"/>
          <w:marBottom w:val="0"/>
          <w:divBdr>
            <w:top w:val="none" w:sz="0" w:space="0" w:color="auto"/>
            <w:left w:val="none" w:sz="0" w:space="0" w:color="auto"/>
            <w:bottom w:val="none" w:sz="0" w:space="0" w:color="auto"/>
            <w:right w:val="none" w:sz="0" w:space="0" w:color="auto"/>
          </w:divBdr>
          <w:divsChild>
            <w:div w:id="918900906">
              <w:marLeft w:val="0"/>
              <w:marRight w:val="0"/>
              <w:marTop w:val="0"/>
              <w:marBottom w:val="0"/>
              <w:divBdr>
                <w:top w:val="none" w:sz="0" w:space="0" w:color="auto"/>
                <w:left w:val="none" w:sz="0" w:space="0" w:color="auto"/>
                <w:bottom w:val="none" w:sz="0" w:space="0" w:color="auto"/>
                <w:right w:val="none" w:sz="0" w:space="0" w:color="auto"/>
              </w:divBdr>
              <w:divsChild>
                <w:div w:id="16766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7257">
      <w:bodyDiv w:val="1"/>
      <w:marLeft w:val="0"/>
      <w:marRight w:val="0"/>
      <w:marTop w:val="0"/>
      <w:marBottom w:val="0"/>
      <w:divBdr>
        <w:top w:val="none" w:sz="0" w:space="0" w:color="auto"/>
        <w:left w:val="none" w:sz="0" w:space="0" w:color="auto"/>
        <w:bottom w:val="none" w:sz="0" w:space="0" w:color="auto"/>
        <w:right w:val="none" w:sz="0" w:space="0" w:color="auto"/>
      </w:divBdr>
    </w:div>
    <w:div w:id="1800755545">
      <w:bodyDiv w:val="1"/>
      <w:marLeft w:val="0"/>
      <w:marRight w:val="0"/>
      <w:marTop w:val="0"/>
      <w:marBottom w:val="0"/>
      <w:divBdr>
        <w:top w:val="none" w:sz="0" w:space="0" w:color="auto"/>
        <w:left w:val="none" w:sz="0" w:space="0" w:color="auto"/>
        <w:bottom w:val="none" w:sz="0" w:space="0" w:color="auto"/>
        <w:right w:val="none" w:sz="0" w:space="0" w:color="auto"/>
      </w:divBdr>
    </w:div>
    <w:div w:id="1835022817">
      <w:bodyDiv w:val="1"/>
      <w:marLeft w:val="0"/>
      <w:marRight w:val="0"/>
      <w:marTop w:val="0"/>
      <w:marBottom w:val="0"/>
      <w:divBdr>
        <w:top w:val="none" w:sz="0" w:space="0" w:color="auto"/>
        <w:left w:val="none" w:sz="0" w:space="0" w:color="auto"/>
        <w:bottom w:val="none" w:sz="0" w:space="0" w:color="auto"/>
        <w:right w:val="none" w:sz="0" w:space="0" w:color="auto"/>
      </w:divBdr>
    </w:div>
    <w:div w:id="1853184115">
      <w:bodyDiv w:val="1"/>
      <w:marLeft w:val="0"/>
      <w:marRight w:val="0"/>
      <w:marTop w:val="0"/>
      <w:marBottom w:val="0"/>
      <w:divBdr>
        <w:top w:val="none" w:sz="0" w:space="0" w:color="auto"/>
        <w:left w:val="none" w:sz="0" w:space="0" w:color="auto"/>
        <w:bottom w:val="none" w:sz="0" w:space="0" w:color="auto"/>
        <w:right w:val="none" w:sz="0" w:space="0" w:color="auto"/>
      </w:divBdr>
    </w:div>
    <w:div w:id="1853956472">
      <w:bodyDiv w:val="1"/>
      <w:marLeft w:val="0"/>
      <w:marRight w:val="0"/>
      <w:marTop w:val="0"/>
      <w:marBottom w:val="0"/>
      <w:divBdr>
        <w:top w:val="none" w:sz="0" w:space="0" w:color="auto"/>
        <w:left w:val="none" w:sz="0" w:space="0" w:color="auto"/>
        <w:bottom w:val="none" w:sz="0" w:space="0" w:color="auto"/>
        <w:right w:val="none" w:sz="0" w:space="0" w:color="auto"/>
      </w:divBdr>
    </w:div>
    <w:div w:id="1856535966">
      <w:bodyDiv w:val="1"/>
      <w:marLeft w:val="0"/>
      <w:marRight w:val="0"/>
      <w:marTop w:val="0"/>
      <w:marBottom w:val="0"/>
      <w:divBdr>
        <w:top w:val="none" w:sz="0" w:space="0" w:color="auto"/>
        <w:left w:val="none" w:sz="0" w:space="0" w:color="auto"/>
        <w:bottom w:val="none" w:sz="0" w:space="0" w:color="auto"/>
        <w:right w:val="none" w:sz="0" w:space="0" w:color="auto"/>
      </w:divBdr>
    </w:div>
    <w:div w:id="1870101776">
      <w:bodyDiv w:val="1"/>
      <w:marLeft w:val="0"/>
      <w:marRight w:val="0"/>
      <w:marTop w:val="0"/>
      <w:marBottom w:val="0"/>
      <w:divBdr>
        <w:top w:val="none" w:sz="0" w:space="0" w:color="auto"/>
        <w:left w:val="none" w:sz="0" w:space="0" w:color="auto"/>
        <w:bottom w:val="none" w:sz="0" w:space="0" w:color="auto"/>
        <w:right w:val="none" w:sz="0" w:space="0" w:color="auto"/>
      </w:divBdr>
    </w:div>
    <w:div w:id="1884827475">
      <w:bodyDiv w:val="1"/>
      <w:marLeft w:val="0"/>
      <w:marRight w:val="0"/>
      <w:marTop w:val="0"/>
      <w:marBottom w:val="0"/>
      <w:divBdr>
        <w:top w:val="none" w:sz="0" w:space="0" w:color="auto"/>
        <w:left w:val="none" w:sz="0" w:space="0" w:color="auto"/>
        <w:bottom w:val="none" w:sz="0" w:space="0" w:color="auto"/>
        <w:right w:val="none" w:sz="0" w:space="0" w:color="auto"/>
      </w:divBdr>
    </w:div>
    <w:div w:id="1901015263">
      <w:bodyDiv w:val="1"/>
      <w:marLeft w:val="0"/>
      <w:marRight w:val="0"/>
      <w:marTop w:val="0"/>
      <w:marBottom w:val="0"/>
      <w:divBdr>
        <w:top w:val="none" w:sz="0" w:space="0" w:color="auto"/>
        <w:left w:val="none" w:sz="0" w:space="0" w:color="auto"/>
        <w:bottom w:val="none" w:sz="0" w:space="0" w:color="auto"/>
        <w:right w:val="none" w:sz="0" w:space="0" w:color="auto"/>
      </w:divBdr>
    </w:div>
    <w:div w:id="1902977021">
      <w:bodyDiv w:val="1"/>
      <w:marLeft w:val="0"/>
      <w:marRight w:val="0"/>
      <w:marTop w:val="0"/>
      <w:marBottom w:val="0"/>
      <w:divBdr>
        <w:top w:val="none" w:sz="0" w:space="0" w:color="auto"/>
        <w:left w:val="none" w:sz="0" w:space="0" w:color="auto"/>
        <w:bottom w:val="none" w:sz="0" w:space="0" w:color="auto"/>
        <w:right w:val="none" w:sz="0" w:space="0" w:color="auto"/>
      </w:divBdr>
    </w:div>
    <w:div w:id="1926451981">
      <w:bodyDiv w:val="1"/>
      <w:marLeft w:val="0"/>
      <w:marRight w:val="0"/>
      <w:marTop w:val="0"/>
      <w:marBottom w:val="0"/>
      <w:divBdr>
        <w:top w:val="none" w:sz="0" w:space="0" w:color="auto"/>
        <w:left w:val="none" w:sz="0" w:space="0" w:color="auto"/>
        <w:bottom w:val="none" w:sz="0" w:space="0" w:color="auto"/>
        <w:right w:val="none" w:sz="0" w:space="0" w:color="auto"/>
      </w:divBdr>
    </w:div>
    <w:div w:id="1928266405">
      <w:bodyDiv w:val="1"/>
      <w:marLeft w:val="0"/>
      <w:marRight w:val="0"/>
      <w:marTop w:val="0"/>
      <w:marBottom w:val="0"/>
      <w:divBdr>
        <w:top w:val="none" w:sz="0" w:space="0" w:color="auto"/>
        <w:left w:val="none" w:sz="0" w:space="0" w:color="auto"/>
        <w:bottom w:val="none" w:sz="0" w:space="0" w:color="auto"/>
        <w:right w:val="none" w:sz="0" w:space="0" w:color="auto"/>
      </w:divBdr>
    </w:div>
    <w:div w:id="1941448368">
      <w:bodyDiv w:val="1"/>
      <w:marLeft w:val="0"/>
      <w:marRight w:val="0"/>
      <w:marTop w:val="0"/>
      <w:marBottom w:val="0"/>
      <w:divBdr>
        <w:top w:val="none" w:sz="0" w:space="0" w:color="auto"/>
        <w:left w:val="none" w:sz="0" w:space="0" w:color="auto"/>
        <w:bottom w:val="none" w:sz="0" w:space="0" w:color="auto"/>
        <w:right w:val="none" w:sz="0" w:space="0" w:color="auto"/>
      </w:divBdr>
      <w:divsChild>
        <w:div w:id="1372608871">
          <w:marLeft w:val="0"/>
          <w:marRight w:val="0"/>
          <w:marTop w:val="0"/>
          <w:marBottom w:val="0"/>
          <w:divBdr>
            <w:top w:val="none" w:sz="0" w:space="0" w:color="auto"/>
            <w:left w:val="none" w:sz="0" w:space="0" w:color="auto"/>
            <w:bottom w:val="none" w:sz="0" w:space="0" w:color="auto"/>
            <w:right w:val="none" w:sz="0" w:space="0" w:color="auto"/>
          </w:divBdr>
          <w:divsChild>
            <w:div w:id="144274664">
              <w:marLeft w:val="0"/>
              <w:marRight w:val="0"/>
              <w:marTop w:val="0"/>
              <w:marBottom w:val="0"/>
              <w:divBdr>
                <w:top w:val="none" w:sz="0" w:space="0" w:color="auto"/>
                <w:left w:val="none" w:sz="0" w:space="0" w:color="auto"/>
                <w:bottom w:val="none" w:sz="0" w:space="0" w:color="auto"/>
                <w:right w:val="none" w:sz="0" w:space="0" w:color="auto"/>
              </w:divBdr>
              <w:divsChild>
                <w:div w:id="1752972129">
                  <w:marLeft w:val="0"/>
                  <w:marRight w:val="0"/>
                  <w:marTop w:val="0"/>
                  <w:marBottom w:val="0"/>
                  <w:divBdr>
                    <w:top w:val="none" w:sz="0" w:space="0" w:color="auto"/>
                    <w:left w:val="none" w:sz="0" w:space="0" w:color="auto"/>
                    <w:bottom w:val="none" w:sz="0" w:space="0" w:color="auto"/>
                    <w:right w:val="none" w:sz="0" w:space="0" w:color="auto"/>
                  </w:divBdr>
                  <w:divsChild>
                    <w:div w:id="1413702399">
                      <w:marLeft w:val="0"/>
                      <w:marRight w:val="0"/>
                      <w:marTop w:val="0"/>
                      <w:marBottom w:val="0"/>
                      <w:divBdr>
                        <w:top w:val="none" w:sz="0" w:space="0" w:color="auto"/>
                        <w:left w:val="none" w:sz="0" w:space="0" w:color="auto"/>
                        <w:bottom w:val="none" w:sz="0" w:space="0" w:color="auto"/>
                        <w:right w:val="none" w:sz="0" w:space="0" w:color="auto"/>
                      </w:divBdr>
                    </w:div>
                  </w:divsChild>
                </w:div>
                <w:div w:id="1309437867">
                  <w:marLeft w:val="0"/>
                  <w:marRight w:val="0"/>
                  <w:marTop w:val="0"/>
                  <w:marBottom w:val="0"/>
                  <w:divBdr>
                    <w:top w:val="none" w:sz="0" w:space="0" w:color="auto"/>
                    <w:left w:val="none" w:sz="0" w:space="0" w:color="auto"/>
                    <w:bottom w:val="none" w:sz="0" w:space="0" w:color="auto"/>
                    <w:right w:val="none" w:sz="0" w:space="0" w:color="auto"/>
                  </w:divBdr>
                  <w:divsChild>
                    <w:div w:id="180124359">
                      <w:marLeft w:val="0"/>
                      <w:marRight w:val="0"/>
                      <w:marTop w:val="0"/>
                      <w:marBottom w:val="0"/>
                      <w:divBdr>
                        <w:top w:val="none" w:sz="0" w:space="0" w:color="auto"/>
                        <w:left w:val="none" w:sz="0" w:space="0" w:color="auto"/>
                        <w:bottom w:val="none" w:sz="0" w:space="0" w:color="auto"/>
                        <w:right w:val="none" w:sz="0" w:space="0" w:color="auto"/>
                      </w:divBdr>
                    </w:div>
                  </w:divsChild>
                </w:div>
                <w:div w:id="240067936">
                  <w:marLeft w:val="0"/>
                  <w:marRight w:val="0"/>
                  <w:marTop w:val="0"/>
                  <w:marBottom w:val="0"/>
                  <w:divBdr>
                    <w:top w:val="none" w:sz="0" w:space="0" w:color="auto"/>
                    <w:left w:val="none" w:sz="0" w:space="0" w:color="auto"/>
                    <w:bottom w:val="none" w:sz="0" w:space="0" w:color="auto"/>
                    <w:right w:val="none" w:sz="0" w:space="0" w:color="auto"/>
                  </w:divBdr>
                  <w:divsChild>
                    <w:div w:id="289477090">
                      <w:marLeft w:val="0"/>
                      <w:marRight w:val="0"/>
                      <w:marTop w:val="0"/>
                      <w:marBottom w:val="0"/>
                      <w:divBdr>
                        <w:top w:val="none" w:sz="0" w:space="0" w:color="auto"/>
                        <w:left w:val="none" w:sz="0" w:space="0" w:color="auto"/>
                        <w:bottom w:val="none" w:sz="0" w:space="0" w:color="auto"/>
                        <w:right w:val="none" w:sz="0" w:space="0" w:color="auto"/>
                      </w:divBdr>
                    </w:div>
                  </w:divsChild>
                </w:div>
                <w:div w:id="1079716640">
                  <w:marLeft w:val="0"/>
                  <w:marRight w:val="0"/>
                  <w:marTop w:val="0"/>
                  <w:marBottom w:val="0"/>
                  <w:divBdr>
                    <w:top w:val="none" w:sz="0" w:space="0" w:color="auto"/>
                    <w:left w:val="none" w:sz="0" w:space="0" w:color="auto"/>
                    <w:bottom w:val="none" w:sz="0" w:space="0" w:color="auto"/>
                    <w:right w:val="none" w:sz="0" w:space="0" w:color="auto"/>
                  </w:divBdr>
                  <w:divsChild>
                    <w:div w:id="14622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4263">
              <w:marLeft w:val="0"/>
              <w:marRight w:val="0"/>
              <w:marTop w:val="0"/>
              <w:marBottom w:val="0"/>
              <w:divBdr>
                <w:top w:val="none" w:sz="0" w:space="0" w:color="auto"/>
                <w:left w:val="none" w:sz="0" w:space="0" w:color="auto"/>
                <w:bottom w:val="none" w:sz="0" w:space="0" w:color="auto"/>
                <w:right w:val="none" w:sz="0" w:space="0" w:color="auto"/>
              </w:divBdr>
              <w:divsChild>
                <w:div w:id="780104216">
                  <w:marLeft w:val="0"/>
                  <w:marRight w:val="0"/>
                  <w:marTop w:val="0"/>
                  <w:marBottom w:val="0"/>
                  <w:divBdr>
                    <w:top w:val="none" w:sz="0" w:space="0" w:color="auto"/>
                    <w:left w:val="none" w:sz="0" w:space="0" w:color="auto"/>
                    <w:bottom w:val="none" w:sz="0" w:space="0" w:color="auto"/>
                    <w:right w:val="none" w:sz="0" w:space="0" w:color="auto"/>
                  </w:divBdr>
                  <w:divsChild>
                    <w:div w:id="1531652292">
                      <w:marLeft w:val="0"/>
                      <w:marRight w:val="0"/>
                      <w:marTop w:val="0"/>
                      <w:marBottom w:val="0"/>
                      <w:divBdr>
                        <w:top w:val="none" w:sz="0" w:space="0" w:color="auto"/>
                        <w:left w:val="none" w:sz="0" w:space="0" w:color="auto"/>
                        <w:bottom w:val="none" w:sz="0" w:space="0" w:color="auto"/>
                        <w:right w:val="none" w:sz="0" w:space="0" w:color="auto"/>
                      </w:divBdr>
                      <w:divsChild>
                        <w:div w:id="146173879">
                          <w:marLeft w:val="0"/>
                          <w:marRight w:val="0"/>
                          <w:marTop w:val="0"/>
                          <w:marBottom w:val="0"/>
                          <w:divBdr>
                            <w:top w:val="none" w:sz="0" w:space="0" w:color="auto"/>
                            <w:left w:val="none" w:sz="0" w:space="0" w:color="auto"/>
                            <w:bottom w:val="none" w:sz="0" w:space="0" w:color="auto"/>
                            <w:right w:val="none" w:sz="0" w:space="0" w:color="auto"/>
                          </w:divBdr>
                          <w:divsChild>
                            <w:div w:id="566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69926">
                      <w:marLeft w:val="0"/>
                      <w:marRight w:val="0"/>
                      <w:marTop w:val="0"/>
                      <w:marBottom w:val="0"/>
                      <w:divBdr>
                        <w:top w:val="none" w:sz="0" w:space="0" w:color="auto"/>
                        <w:left w:val="none" w:sz="0" w:space="0" w:color="auto"/>
                        <w:bottom w:val="none" w:sz="0" w:space="0" w:color="auto"/>
                        <w:right w:val="none" w:sz="0" w:space="0" w:color="auto"/>
                      </w:divBdr>
                      <w:divsChild>
                        <w:div w:id="824662727">
                          <w:marLeft w:val="0"/>
                          <w:marRight w:val="0"/>
                          <w:marTop w:val="0"/>
                          <w:marBottom w:val="0"/>
                          <w:divBdr>
                            <w:top w:val="none" w:sz="0" w:space="0" w:color="auto"/>
                            <w:left w:val="none" w:sz="0" w:space="0" w:color="auto"/>
                            <w:bottom w:val="none" w:sz="0" w:space="0" w:color="auto"/>
                            <w:right w:val="none" w:sz="0" w:space="0" w:color="auto"/>
                          </w:divBdr>
                          <w:divsChild>
                            <w:div w:id="20598430">
                              <w:marLeft w:val="0"/>
                              <w:marRight w:val="0"/>
                              <w:marTop w:val="0"/>
                              <w:marBottom w:val="0"/>
                              <w:divBdr>
                                <w:top w:val="none" w:sz="0" w:space="0" w:color="auto"/>
                                <w:left w:val="none" w:sz="0" w:space="0" w:color="auto"/>
                                <w:bottom w:val="none" w:sz="0" w:space="0" w:color="auto"/>
                                <w:right w:val="none" w:sz="0" w:space="0" w:color="auto"/>
                              </w:divBdr>
                            </w:div>
                          </w:divsChild>
                        </w:div>
                        <w:div w:id="878132349">
                          <w:marLeft w:val="0"/>
                          <w:marRight w:val="0"/>
                          <w:marTop w:val="0"/>
                          <w:marBottom w:val="0"/>
                          <w:divBdr>
                            <w:top w:val="none" w:sz="0" w:space="0" w:color="auto"/>
                            <w:left w:val="none" w:sz="0" w:space="0" w:color="auto"/>
                            <w:bottom w:val="none" w:sz="0" w:space="0" w:color="auto"/>
                            <w:right w:val="none" w:sz="0" w:space="0" w:color="auto"/>
                          </w:divBdr>
                          <w:divsChild>
                            <w:div w:id="3792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2012">
                  <w:marLeft w:val="0"/>
                  <w:marRight w:val="0"/>
                  <w:marTop w:val="0"/>
                  <w:marBottom w:val="0"/>
                  <w:divBdr>
                    <w:top w:val="none" w:sz="0" w:space="0" w:color="auto"/>
                    <w:left w:val="none" w:sz="0" w:space="0" w:color="auto"/>
                    <w:bottom w:val="none" w:sz="0" w:space="0" w:color="auto"/>
                    <w:right w:val="none" w:sz="0" w:space="0" w:color="auto"/>
                  </w:divBdr>
                  <w:divsChild>
                    <w:div w:id="1460418053">
                      <w:marLeft w:val="0"/>
                      <w:marRight w:val="0"/>
                      <w:marTop w:val="0"/>
                      <w:marBottom w:val="0"/>
                      <w:divBdr>
                        <w:top w:val="none" w:sz="0" w:space="0" w:color="auto"/>
                        <w:left w:val="none" w:sz="0" w:space="0" w:color="auto"/>
                        <w:bottom w:val="none" w:sz="0" w:space="0" w:color="auto"/>
                        <w:right w:val="none" w:sz="0" w:space="0" w:color="auto"/>
                      </w:divBdr>
                      <w:divsChild>
                        <w:div w:id="1114860447">
                          <w:marLeft w:val="0"/>
                          <w:marRight w:val="0"/>
                          <w:marTop w:val="0"/>
                          <w:marBottom w:val="0"/>
                          <w:divBdr>
                            <w:top w:val="none" w:sz="0" w:space="0" w:color="auto"/>
                            <w:left w:val="none" w:sz="0" w:space="0" w:color="auto"/>
                            <w:bottom w:val="none" w:sz="0" w:space="0" w:color="auto"/>
                            <w:right w:val="none" w:sz="0" w:space="0" w:color="auto"/>
                          </w:divBdr>
                          <w:divsChild>
                            <w:div w:id="5121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8805">
                      <w:marLeft w:val="0"/>
                      <w:marRight w:val="0"/>
                      <w:marTop w:val="0"/>
                      <w:marBottom w:val="0"/>
                      <w:divBdr>
                        <w:top w:val="none" w:sz="0" w:space="0" w:color="auto"/>
                        <w:left w:val="none" w:sz="0" w:space="0" w:color="auto"/>
                        <w:bottom w:val="none" w:sz="0" w:space="0" w:color="auto"/>
                        <w:right w:val="none" w:sz="0" w:space="0" w:color="auto"/>
                      </w:divBdr>
                      <w:divsChild>
                        <w:div w:id="1436634214">
                          <w:marLeft w:val="0"/>
                          <w:marRight w:val="0"/>
                          <w:marTop w:val="0"/>
                          <w:marBottom w:val="0"/>
                          <w:divBdr>
                            <w:top w:val="none" w:sz="0" w:space="0" w:color="auto"/>
                            <w:left w:val="none" w:sz="0" w:space="0" w:color="auto"/>
                            <w:bottom w:val="none" w:sz="0" w:space="0" w:color="auto"/>
                            <w:right w:val="none" w:sz="0" w:space="0" w:color="auto"/>
                          </w:divBdr>
                          <w:divsChild>
                            <w:div w:id="146094056">
                              <w:marLeft w:val="0"/>
                              <w:marRight w:val="0"/>
                              <w:marTop w:val="0"/>
                              <w:marBottom w:val="0"/>
                              <w:divBdr>
                                <w:top w:val="none" w:sz="0" w:space="0" w:color="auto"/>
                                <w:left w:val="none" w:sz="0" w:space="0" w:color="auto"/>
                                <w:bottom w:val="none" w:sz="0" w:space="0" w:color="auto"/>
                                <w:right w:val="none" w:sz="0" w:space="0" w:color="auto"/>
                              </w:divBdr>
                            </w:div>
                          </w:divsChild>
                        </w:div>
                        <w:div w:id="1871800399">
                          <w:marLeft w:val="0"/>
                          <w:marRight w:val="0"/>
                          <w:marTop w:val="0"/>
                          <w:marBottom w:val="0"/>
                          <w:divBdr>
                            <w:top w:val="none" w:sz="0" w:space="0" w:color="auto"/>
                            <w:left w:val="none" w:sz="0" w:space="0" w:color="auto"/>
                            <w:bottom w:val="none" w:sz="0" w:space="0" w:color="auto"/>
                            <w:right w:val="none" w:sz="0" w:space="0" w:color="auto"/>
                          </w:divBdr>
                          <w:divsChild>
                            <w:div w:id="280385131">
                              <w:marLeft w:val="0"/>
                              <w:marRight w:val="0"/>
                              <w:marTop w:val="0"/>
                              <w:marBottom w:val="0"/>
                              <w:divBdr>
                                <w:top w:val="none" w:sz="0" w:space="0" w:color="auto"/>
                                <w:left w:val="none" w:sz="0" w:space="0" w:color="auto"/>
                                <w:bottom w:val="none" w:sz="0" w:space="0" w:color="auto"/>
                                <w:right w:val="none" w:sz="0" w:space="0" w:color="auto"/>
                              </w:divBdr>
                            </w:div>
                          </w:divsChild>
                        </w:div>
                        <w:div w:id="1535727398">
                          <w:marLeft w:val="0"/>
                          <w:marRight w:val="0"/>
                          <w:marTop w:val="0"/>
                          <w:marBottom w:val="0"/>
                          <w:divBdr>
                            <w:top w:val="none" w:sz="0" w:space="0" w:color="auto"/>
                            <w:left w:val="none" w:sz="0" w:space="0" w:color="auto"/>
                            <w:bottom w:val="none" w:sz="0" w:space="0" w:color="auto"/>
                            <w:right w:val="none" w:sz="0" w:space="0" w:color="auto"/>
                          </w:divBdr>
                          <w:divsChild>
                            <w:div w:id="1114054464">
                              <w:marLeft w:val="0"/>
                              <w:marRight w:val="0"/>
                              <w:marTop w:val="0"/>
                              <w:marBottom w:val="0"/>
                              <w:divBdr>
                                <w:top w:val="none" w:sz="0" w:space="0" w:color="auto"/>
                                <w:left w:val="none" w:sz="0" w:space="0" w:color="auto"/>
                                <w:bottom w:val="none" w:sz="0" w:space="0" w:color="auto"/>
                                <w:right w:val="none" w:sz="0" w:space="0" w:color="auto"/>
                              </w:divBdr>
                            </w:div>
                          </w:divsChild>
                        </w:div>
                        <w:div w:id="1088843507">
                          <w:marLeft w:val="0"/>
                          <w:marRight w:val="0"/>
                          <w:marTop w:val="0"/>
                          <w:marBottom w:val="0"/>
                          <w:divBdr>
                            <w:top w:val="none" w:sz="0" w:space="0" w:color="auto"/>
                            <w:left w:val="none" w:sz="0" w:space="0" w:color="auto"/>
                            <w:bottom w:val="none" w:sz="0" w:space="0" w:color="auto"/>
                            <w:right w:val="none" w:sz="0" w:space="0" w:color="auto"/>
                          </w:divBdr>
                          <w:divsChild>
                            <w:div w:id="19666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18522">
      <w:bodyDiv w:val="1"/>
      <w:marLeft w:val="0"/>
      <w:marRight w:val="0"/>
      <w:marTop w:val="0"/>
      <w:marBottom w:val="0"/>
      <w:divBdr>
        <w:top w:val="none" w:sz="0" w:space="0" w:color="auto"/>
        <w:left w:val="none" w:sz="0" w:space="0" w:color="auto"/>
        <w:bottom w:val="none" w:sz="0" w:space="0" w:color="auto"/>
        <w:right w:val="none" w:sz="0" w:space="0" w:color="auto"/>
      </w:divBdr>
    </w:div>
    <w:div w:id="1955791027">
      <w:bodyDiv w:val="1"/>
      <w:marLeft w:val="0"/>
      <w:marRight w:val="0"/>
      <w:marTop w:val="0"/>
      <w:marBottom w:val="0"/>
      <w:divBdr>
        <w:top w:val="none" w:sz="0" w:space="0" w:color="auto"/>
        <w:left w:val="none" w:sz="0" w:space="0" w:color="auto"/>
        <w:bottom w:val="none" w:sz="0" w:space="0" w:color="auto"/>
        <w:right w:val="none" w:sz="0" w:space="0" w:color="auto"/>
      </w:divBdr>
      <w:divsChild>
        <w:div w:id="409272456">
          <w:marLeft w:val="0"/>
          <w:marRight w:val="0"/>
          <w:marTop w:val="0"/>
          <w:marBottom w:val="0"/>
          <w:divBdr>
            <w:top w:val="none" w:sz="0" w:space="0" w:color="auto"/>
            <w:left w:val="none" w:sz="0" w:space="0" w:color="auto"/>
            <w:bottom w:val="none" w:sz="0" w:space="0" w:color="auto"/>
            <w:right w:val="none" w:sz="0" w:space="0" w:color="auto"/>
          </w:divBdr>
          <w:divsChild>
            <w:div w:id="1578903982">
              <w:marLeft w:val="0"/>
              <w:marRight w:val="0"/>
              <w:marTop w:val="0"/>
              <w:marBottom w:val="0"/>
              <w:divBdr>
                <w:top w:val="none" w:sz="0" w:space="0" w:color="auto"/>
                <w:left w:val="none" w:sz="0" w:space="0" w:color="auto"/>
                <w:bottom w:val="none" w:sz="0" w:space="0" w:color="auto"/>
                <w:right w:val="none" w:sz="0" w:space="0" w:color="auto"/>
              </w:divBdr>
              <w:divsChild>
                <w:div w:id="75128306">
                  <w:marLeft w:val="0"/>
                  <w:marRight w:val="0"/>
                  <w:marTop w:val="0"/>
                  <w:marBottom w:val="0"/>
                  <w:divBdr>
                    <w:top w:val="none" w:sz="0" w:space="0" w:color="auto"/>
                    <w:left w:val="none" w:sz="0" w:space="0" w:color="auto"/>
                    <w:bottom w:val="none" w:sz="0" w:space="0" w:color="auto"/>
                    <w:right w:val="none" w:sz="0" w:space="0" w:color="auto"/>
                  </w:divBdr>
                  <w:divsChild>
                    <w:div w:id="430976156">
                      <w:marLeft w:val="0"/>
                      <w:marRight w:val="0"/>
                      <w:marTop w:val="0"/>
                      <w:marBottom w:val="0"/>
                      <w:divBdr>
                        <w:top w:val="none" w:sz="0" w:space="0" w:color="auto"/>
                        <w:left w:val="none" w:sz="0" w:space="0" w:color="auto"/>
                        <w:bottom w:val="none" w:sz="0" w:space="0" w:color="auto"/>
                        <w:right w:val="none" w:sz="0" w:space="0" w:color="auto"/>
                      </w:divBdr>
                    </w:div>
                  </w:divsChild>
                </w:div>
                <w:div w:id="2033921658">
                  <w:marLeft w:val="0"/>
                  <w:marRight w:val="0"/>
                  <w:marTop w:val="0"/>
                  <w:marBottom w:val="0"/>
                  <w:divBdr>
                    <w:top w:val="none" w:sz="0" w:space="0" w:color="auto"/>
                    <w:left w:val="none" w:sz="0" w:space="0" w:color="auto"/>
                    <w:bottom w:val="none" w:sz="0" w:space="0" w:color="auto"/>
                    <w:right w:val="none" w:sz="0" w:space="0" w:color="auto"/>
                  </w:divBdr>
                  <w:divsChild>
                    <w:div w:id="713849421">
                      <w:marLeft w:val="0"/>
                      <w:marRight w:val="0"/>
                      <w:marTop w:val="0"/>
                      <w:marBottom w:val="0"/>
                      <w:divBdr>
                        <w:top w:val="none" w:sz="0" w:space="0" w:color="auto"/>
                        <w:left w:val="none" w:sz="0" w:space="0" w:color="auto"/>
                        <w:bottom w:val="none" w:sz="0" w:space="0" w:color="auto"/>
                        <w:right w:val="none" w:sz="0" w:space="0" w:color="auto"/>
                      </w:divBdr>
                    </w:div>
                  </w:divsChild>
                </w:div>
                <w:div w:id="789738667">
                  <w:marLeft w:val="0"/>
                  <w:marRight w:val="0"/>
                  <w:marTop w:val="0"/>
                  <w:marBottom w:val="0"/>
                  <w:divBdr>
                    <w:top w:val="none" w:sz="0" w:space="0" w:color="auto"/>
                    <w:left w:val="none" w:sz="0" w:space="0" w:color="auto"/>
                    <w:bottom w:val="none" w:sz="0" w:space="0" w:color="auto"/>
                    <w:right w:val="none" w:sz="0" w:space="0" w:color="auto"/>
                  </w:divBdr>
                  <w:divsChild>
                    <w:div w:id="3336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76686">
      <w:bodyDiv w:val="1"/>
      <w:marLeft w:val="0"/>
      <w:marRight w:val="0"/>
      <w:marTop w:val="0"/>
      <w:marBottom w:val="0"/>
      <w:divBdr>
        <w:top w:val="none" w:sz="0" w:space="0" w:color="auto"/>
        <w:left w:val="none" w:sz="0" w:space="0" w:color="auto"/>
        <w:bottom w:val="none" w:sz="0" w:space="0" w:color="auto"/>
        <w:right w:val="none" w:sz="0" w:space="0" w:color="auto"/>
      </w:divBdr>
    </w:div>
    <w:div w:id="2054184376">
      <w:bodyDiv w:val="1"/>
      <w:marLeft w:val="0"/>
      <w:marRight w:val="0"/>
      <w:marTop w:val="0"/>
      <w:marBottom w:val="0"/>
      <w:divBdr>
        <w:top w:val="none" w:sz="0" w:space="0" w:color="auto"/>
        <w:left w:val="none" w:sz="0" w:space="0" w:color="auto"/>
        <w:bottom w:val="none" w:sz="0" w:space="0" w:color="auto"/>
        <w:right w:val="none" w:sz="0" w:space="0" w:color="auto"/>
      </w:divBdr>
    </w:div>
    <w:div w:id="2074041396">
      <w:bodyDiv w:val="1"/>
      <w:marLeft w:val="0"/>
      <w:marRight w:val="0"/>
      <w:marTop w:val="0"/>
      <w:marBottom w:val="0"/>
      <w:divBdr>
        <w:top w:val="none" w:sz="0" w:space="0" w:color="auto"/>
        <w:left w:val="none" w:sz="0" w:space="0" w:color="auto"/>
        <w:bottom w:val="none" w:sz="0" w:space="0" w:color="auto"/>
        <w:right w:val="none" w:sz="0" w:space="0" w:color="auto"/>
      </w:divBdr>
    </w:div>
    <w:div w:id="2084911729">
      <w:bodyDiv w:val="1"/>
      <w:marLeft w:val="0"/>
      <w:marRight w:val="0"/>
      <w:marTop w:val="0"/>
      <w:marBottom w:val="0"/>
      <w:divBdr>
        <w:top w:val="none" w:sz="0" w:space="0" w:color="auto"/>
        <w:left w:val="none" w:sz="0" w:space="0" w:color="auto"/>
        <w:bottom w:val="none" w:sz="0" w:space="0" w:color="auto"/>
        <w:right w:val="none" w:sz="0" w:space="0" w:color="auto"/>
      </w:divBdr>
    </w:div>
    <w:div w:id="2134248940">
      <w:bodyDiv w:val="1"/>
      <w:marLeft w:val="0"/>
      <w:marRight w:val="0"/>
      <w:marTop w:val="0"/>
      <w:marBottom w:val="0"/>
      <w:divBdr>
        <w:top w:val="none" w:sz="0" w:space="0" w:color="auto"/>
        <w:left w:val="none" w:sz="0" w:space="0" w:color="auto"/>
        <w:bottom w:val="none" w:sz="0" w:space="0" w:color="auto"/>
        <w:right w:val="none" w:sz="0" w:space="0" w:color="auto"/>
      </w:divBdr>
    </w:div>
    <w:div w:id="2136288030">
      <w:bodyDiv w:val="1"/>
      <w:marLeft w:val="0"/>
      <w:marRight w:val="0"/>
      <w:marTop w:val="0"/>
      <w:marBottom w:val="0"/>
      <w:divBdr>
        <w:top w:val="none" w:sz="0" w:space="0" w:color="auto"/>
        <w:left w:val="none" w:sz="0" w:space="0" w:color="auto"/>
        <w:bottom w:val="none" w:sz="0" w:space="0" w:color="auto"/>
        <w:right w:val="none" w:sz="0" w:space="0" w:color="auto"/>
      </w:divBdr>
      <w:divsChild>
        <w:div w:id="1563364231">
          <w:marLeft w:val="0"/>
          <w:marRight w:val="0"/>
          <w:marTop w:val="0"/>
          <w:marBottom w:val="0"/>
          <w:divBdr>
            <w:top w:val="none" w:sz="0" w:space="0" w:color="auto"/>
            <w:left w:val="none" w:sz="0" w:space="0" w:color="auto"/>
            <w:bottom w:val="none" w:sz="0" w:space="0" w:color="auto"/>
            <w:right w:val="none" w:sz="0" w:space="0" w:color="auto"/>
          </w:divBdr>
        </w:div>
        <w:div w:id="1432042259">
          <w:marLeft w:val="0"/>
          <w:marRight w:val="0"/>
          <w:marTop w:val="0"/>
          <w:marBottom w:val="0"/>
          <w:divBdr>
            <w:top w:val="none" w:sz="0" w:space="0" w:color="auto"/>
            <w:left w:val="none" w:sz="0" w:space="0" w:color="auto"/>
            <w:bottom w:val="none" w:sz="0" w:space="0" w:color="auto"/>
            <w:right w:val="none" w:sz="0" w:space="0" w:color="auto"/>
          </w:divBdr>
        </w:div>
        <w:div w:id="1475413690">
          <w:marLeft w:val="0"/>
          <w:marRight w:val="0"/>
          <w:marTop w:val="0"/>
          <w:marBottom w:val="0"/>
          <w:divBdr>
            <w:top w:val="none" w:sz="0" w:space="0" w:color="auto"/>
            <w:left w:val="none" w:sz="0" w:space="0" w:color="auto"/>
            <w:bottom w:val="none" w:sz="0" w:space="0" w:color="auto"/>
            <w:right w:val="none" w:sz="0" w:space="0" w:color="auto"/>
          </w:divBdr>
        </w:div>
        <w:div w:id="452095679">
          <w:marLeft w:val="0"/>
          <w:marRight w:val="0"/>
          <w:marTop w:val="0"/>
          <w:marBottom w:val="0"/>
          <w:divBdr>
            <w:top w:val="none" w:sz="0" w:space="0" w:color="auto"/>
            <w:left w:val="none" w:sz="0" w:space="0" w:color="auto"/>
            <w:bottom w:val="none" w:sz="0" w:space="0" w:color="auto"/>
            <w:right w:val="none" w:sz="0" w:space="0" w:color="auto"/>
          </w:divBdr>
        </w:div>
        <w:div w:id="1123187746">
          <w:marLeft w:val="0"/>
          <w:marRight w:val="0"/>
          <w:marTop w:val="0"/>
          <w:marBottom w:val="0"/>
          <w:divBdr>
            <w:top w:val="none" w:sz="0" w:space="0" w:color="auto"/>
            <w:left w:val="none" w:sz="0" w:space="0" w:color="auto"/>
            <w:bottom w:val="none" w:sz="0" w:space="0" w:color="auto"/>
            <w:right w:val="none" w:sz="0" w:space="0" w:color="auto"/>
          </w:divBdr>
        </w:div>
        <w:div w:id="1395160042">
          <w:marLeft w:val="0"/>
          <w:marRight w:val="0"/>
          <w:marTop w:val="0"/>
          <w:marBottom w:val="0"/>
          <w:divBdr>
            <w:top w:val="none" w:sz="0" w:space="0" w:color="auto"/>
            <w:left w:val="none" w:sz="0" w:space="0" w:color="auto"/>
            <w:bottom w:val="none" w:sz="0" w:space="0" w:color="auto"/>
            <w:right w:val="none" w:sz="0" w:space="0" w:color="auto"/>
          </w:divBdr>
        </w:div>
      </w:divsChild>
    </w:div>
    <w:div w:id="2138837122">
      <w:bodyDiv w:val="1"/>
      <w:marLeft w:val="0"/>
      <w:marRight w:val="0"/>
      <w:marTop w:val="0"/>
      <w:marBottom w:val="0"/>
      <w:divBdr>
        <w:top w:val="none" w:sz="0" w:space="0" w:color="auto"/>
        <w:left w:val="none" w:sz="0" w:space="0" w:color="auto"/>
        <w:bottom w:val="none" w:sz="0" w:space="0" w:color="auto"/>
        <w:right w:val="none" w:sz="0" w:space="0" w:color="auto"/>
      </w:divBdr>
    </w:div>
    <w:div w:id="2142383675">
      <w:bodyDiv w:val="1"/>
      <w:marLeft w:val="0"/>
      <w:marRight w:val="0"/>
      <w:marTop w:val="0"/>
      <w:marBottom w:val="0"/>
      <w:divBdr>
        <w:top w:val="none" w:sz="0" w:space="0" w:color="auto"/>
        <w:left w:val="none" w:sz="0" w:space="0" w:color="auto"/>
        <w:bottom w:val="none" w:sz="0" w:space="0" w:color="auto"/>
        <w:right w:val="none" w:sz="0" w:space="0" w:color="auto"/>
      </w:divBdr>
      <w:divsChild>
        <w:div w:id="448934679">
          <w:marLeft w:val="0"/>
          <w:marRight w:val="0"/>
          <w:marTop w:val="0"/>
          <w:marBottom w:val="0"/>
          <w:divBdr>
            <w:top w:val="none" w:sz="0" w:space="0" w:color="auto"/>
            <w:left w:val="none" w:sz="0" w:space="0" w:color="auto"/>
            <w:bottom w:val="none" w:sz="0" w:space="0" w:color="auto"/>
            <w:right w:val="none" w:sz="0" w:space="0" w:color="auto"/>
          </w:divBdr>
          <w:divsChild>
            <w:div w:id="90391607">
              <w:marLeft w:val="0"/>
              <w:marRight w:val="0"/>
              <w:marTop w:val="0"/>
              <w:marBottom w:val="0"/>
              <w:divBdr>
                <w:top w:val="none" w:sz="0" w:space="0" w:color="auto"/>
                <w:left w:val="none" w:sz="0" w:space="0" w:color="auto"/>
                <w:bottom w:val="none" w:sz="0" w:space="0" w:color="auto"/>
                <w:right w:val="none" w:sz="0" w:space="0" w:color="auto"/>
              </w:divBdr>
              <w:divsChild>
                <w:div w:id="677778822">
                  <w:marLeft w:val="0"/>
                  <w:marRight w:val="0"/>
                  <w:marTop w:val="0"/>
                  <w:marBottom w:val="0"/>
                  <w:divBdr>
                    <w:top w:val="none" w:sz="0" w:space="0" w:color="auto"/>
                    <w:left w:val="none" w:sz="0" w:space="0" w:color="auto"/>
                    <w:bottom w:val="none" w:sz="0" w:space="0" w:color="auto"/>
                    <w:right w:val="none" w:sz="0" w:space="0" w:color="auto"/>
                  </w:divBdr>
                  <w:divsChild>
                    <w:div w:id="86733119">
                      <w:marLeft w:val="0"/>
                      <w:marRight w:val="0"/>
                      <w:marTop w:val="0"/>
                      <w:marBottom w:val="0"/>
                      <w:divBdr>
                        <w:top w:val="none" w:sz="0" w:space="0" w:color="auto"/>
                        <w:left w:val="none" w:sz="0" w:space="0" w:color="auto"/>
                        <w:bottom w:val="none" w:sz="0" w:space="0" w:color="auto"/>
                        <w:right w:val="none" w:sz="0" w:space="0" w:color="auto"/>
                      </w:divBdr>
                    </w:div>
                  </w:divsChild>
                </w:div>
                <w:div w:id="250359762">
                  <w:marLeft w:val="0"/>
                  <w:marRight w:val="0"/>
                  <w:marTop w:val="0"/>
                  <w:marBottom w:val="0"/>
                  <w:divBdr>
                    <w:top w:val="none" w:sz="0" w:space="0" w:color="auto"/>
                    <w:left w:val="none" w:sz="0" w:space="0" w:color="auto"/>
                    <w:bottom w:val="none" w:sz="0" w:space="0" w:color="auto"/>
                    <w:right w:val="none" w:sz="0" w:space="0" w:color="auto"/>
                  </w:divBdr>
                  <w:divsChild>
                    <w:div w:id="1039211102">
                      <w:marLeft w:val="0"/>
                      <w:marRight w:val="0"/>
                      <w:marTop w:val="0"/>
                      <w:marBottom w:val="0"/>
                      <w:divBdr>
                        <w:top w:val="none" w:sz="0" w:space="0" w:color="auto"/>
                        <w:left w:val="none" w:sz="0" w:space="0" w:color="auto"/>
                        <w:bottom w:val="none" w:sz="0" w:space="0" w:color="auto"/>
                        <w:right w:val="none" w:sz="0" w:space="0" w:color="auto"/>
                      </w:divBdr>
                    </w:div>
                  </w:divsChild>
                </w:div>
                <w:div w:id="447970729">
                  <w:marLeft w:val="0"/>
                  <w:marRight w:val="0"/>
                  <w:marTop w:val="0"/>
                  <w:marBottom w:val="0"/>
                  <w:divBdr>
                    <w:top w:val="none" w:sz="0" w:space="0" w:color="auto"/>
                    <w:left w:val="none" w:sz="0" w:space="0" w:color="auto"/>
                    <w:bottom w:val="none" w:sz="0" w:space="0" w:color="auto"/>
                    <w:right w:val="none" w:sz="0" w:space="0" w:color="auto"/>
                  </w:divBdr>
                  <w:divsChild>
                    <w:div w:id="574583199">
                      <w:marLeft w:val="0"/>
                      <w:marRight w:val="0"/>
                      <w:marTop w:val="0"/>
                      <w:marBottom w:val="0"/>
                      <w:divBdr>
                        <w:top w:val="none" w:sz="0" w:space="0" w:color="auto"/>
                        <w:left w:val="none" w:sz="0" w:space="0" w:color="auto"/>
                        <w:bottom w:val="none" w:sz="0" w:space="0" w:color="auto"/>
                        <w:right w:val="none" w:sz="0" w:space="0" w:color="auto"/>
                      </w:divBdr>
                    </w:div>
                  </w:divsChild>
                </w:div>
                <w:div w:id="178590245">
                  <w:marLeft w:val="0"/>
                  <w:marRight w:val="0"/>
                  <w:marTop w:val="0"/>
                  <w:marBottom w:val="0"/>
                  <w:divBdr>
                    <w:top w:val="none" w:sz="0" w:space="0" w:color="auto"/>
                    <w:left w:val="none" w:sz="0" w:space="0" w:color="auto"/>
                    <w:bottom w:val="none" w:sz="0" w:space="0" w:color="auto"/>
                    <w:right w:val="none" w:sz="0" w:space="0" w:color="auto"/>
                  </w:divBdr>
                  <w:divsChild>
                    <w:div w:id="1764720382">
                      <w:marLeft w:val="0"/>
                      <w:marRight w:val="0"/>
                      <w:marTop w:val="0"/>
                      <w:marBottom w:val="0"/>
                      <w:divBdr>
                        <w:top w:val="none" w:sz="0" w:space="0" w:color="auto"/>
                        <w:left w:val="none" w:sz="0" w:space="0" w:color="auto"/>
                        <w:bottom w:val="none" w:sz="0" w:space="0" w:color="auto"/>
                        <w:right w:val="none" w:sz="0" w:space="0" w:color="auto"/>
                      </w:divBdr>
                    </w:div>
                  </w:divsChild>
                </w:div>
                <w:div w:id="438641664">
                  <w:marLeft w:val="0"/>
                  <w:marRight w:val="0"/>
                  <w:marTop w:val="0"/>
                  <w:marBottom w:val="0"/>
                  <w:divBdr>
                    <w:top w:val="none" w:sz="0" w:space="0" w:color="auto"/>
                    <w:left w:val="none" w:sz="0" w:space="0" w:color="auto"/>
                    <w:bottom w:val="none" w:sz="0" w:space="0" w:color="auto"/>
                    <w:right w:val="none" w:sz="0" w:space="0" w:color="auto"/>
                  </w:divBdr>
                  <w:divsChild>
                    <w:div w:id="887717290">
                      <w:marLeft w:val="0"/>
                      <w:marRight w:val="0"/>
                      <w:marTop w:val="0"/>
                      <w:marBottom w:val="0"/>
                      <w:divBdr>
                        <w:top w:val="none" w:sz="0" w:space="0" w:color="auto"/>
                        <w:left w:val="none" w:sz="0" w:space="0" w:color="auto"/>
                        <w:bottom w:val="none" w:sz="0" w:space="0" w:color="auto"/>
                        <w:right w:val="none" w:sz="0" w:space="0" w:color="auto"/>
                      </w:divBdr>
                    </w:div>
                  </w:divsChild>
                </w:div>
                <w:div w:id="182332055">
                  <w:marLeft w:val="0"/>
                  <w:marRight w:val="0"/>
                  <w:marTop w:val="0"/>
                  <w:marBottom w:val="0"/>
                  <w:divBdr>
                    <w:top w:val="none" w:sz="0" w:space="0" w:color="auto"/>
                    <w:left w:val="none" w:sz="0" w:space="0" w:color="auto"/>
                    <w:bottom w:val="none" w:sz="0" w:space="0" w:color="auto"/>
                    <w:right w:val="none" w:sz="0" w:space="0" w:color="auto"/>
                  </w:divBdr>
                  <w:divsChild>
                    <w:div w:id="5320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info@mpi.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ealthstarrating.gov.au/internet/healthstarrating/publishing.nsf/Content/formal-review-of-the-system-after-five-years" TargetMode="External"/><Relationship Id="rId17" Type="http://schemas.openxmlformats.org/officeDocument/2006/relationships/hyperlink" Target="mailto:frontofpack@health.gov.au" TargetMode="External"/><Relationship Id="rId2" Type="http://schemas.openxmlformats.org/officeDocument/2006/relationships/numbering" Target="numbering.xml"/><Relationship Id="rId16" Type="http://schemas.openxmlformats.org/officeDocument/2006/relationships/hyperlink" Target="mailto:frontofpack@health.gov.au" TargetMode="External"/><Relationship Id="rId20" Type="http://schemas.openxmlformats.org/officeDocument/2006/relationships/hyperlink" Target="mailto:frontofpack@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rontofpack@health.gov.au" TargetMode="External"/><Relationship Id="rId10" Type="http://schemas.openxmlformats.org/officeDocument/2006/relationships/header" Target="header1.xml"/><Relationship Id="rId19" Type="http://schemas.openxmlformats.org/officeDocument/2006/relationships/hyperlink" Target="mailto:frontofpack@health.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rontofpack@health.gov.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ealthstarrating.gov.au/internet/healthstarrating/publishing.nsf/content/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620319-F5AC-4AE0-BDC3-C0E74D0A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12135</Words>
  <Characters>69176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Report on submissions to the Five Year Review of the Health Star Rating System</vt:lpstr>
    </vt:vector>
  </TitlesOfParts>
  <LinksUpToDate>false</LinksUpToDate>
  <CharactersWithSpaces>81149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submissions to the Five Year Review of the Health Star Rating System</dc:title>
  <dc:creator/>
  <cp:lastModifiedBy/>
  <cp:revision>1</cp:revision>
  <dcterms:created xsi:type="dcterms:W3CDTF">2018-01-16T05:16:00Z</dcterms:created>
  <dcterms:modified xsi:type="dcterms:W3CDTF">2018-02-06T22:17:00Z</dcterms:modified>
</cp:coreProperties>
</file>