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034A7" w14:textId="77777777" w:rsidR="00A22FFB" w:rsidRPr="00874040" w:rsidRDefault="00A22FFB" w:rsidP="00874040">
      <w:pPr>
        <w:pStyle w:val="Heading1"/>
      </w:pPr>
      <w:bookmarkStart w:id="0" w:name="RANGE!A1:H16"/>
      <w:r w:rsidRPr="00874040">
        <w:t>Health Star Rating Advisory Committee (HSRAC)</w:t>
      </w:r>
    </w:p>
    <w:p w14:paraId="68E0A52F" w14:textId="77777777" w:rsidR="00692C9F" w:rsidRPr="00874040" w:rsidRDefault="00692C9F" w:rsidP="00874040">
      <w:pPr>
        <w:pStyle w:val="Heading2"/>
      </w:pPr>
      <w:r w:rsidRPr="00874040">
        <w:t xml:space="preserve">Register of potential anomalies submitted to the </w:t>
      </w:r>
      <w:r w:rsidR="00A22FFB" w:rsidRPr="00874040">
        <w:t xml:space="preserve">HSRAC </w:t>
      </w:r>
      <w:r w:rsidRPr="00874040">
        <w:t>for consideration</w:t>
      </w:r>
      <w:bookmarkEnd w:id="0"/>
    </w:p>
    <w:p w14:paraId="0D2DF6F6" w14:textId="77777777" w:rsidR="00692C9F" w:rsidRPr="00874040" w:rsidRDefault="00692C9F" w:rsidP="00874040">
      <w:r w:rsidRPr="00874040">
        <w:t xml:space="preserve">To be deemed an anomaly, the Health Star Rating </w:t>
      </w:r>
      <w:r w:rsidR="008553D2" w:rsidRPr="00874040">
        <w:t>(HSR) s</w:t>
      </w:r>
      <w:r w:rsidRPr="00874040">
        <w:t>ystem produces star ratings of individual products or groups of products that are either:</w:t>
      </w:r>
    </w:p>
    <w:p w14:paraId="3767EAA6" w14:textId="77777777" w:rsidR="00692C9F" w:rsidRPr="00874040" w:rsidRDefault="00692C9F" w:rsidP="00874040">
      <w:pPr>
        <w:pStyle w:val="ListBullet"/>
      </w:pPr>
      <w:r w:rsidRPr="00874040">
        <w:t>inconsistent with the Australian Dietary Guidelines</w:t>
      </w:r>
      <w:r w:rsidR="007C22EF" w:rsidRPr="00874040">
        <w:t xml:space="preserve"> (ADG)</w:t>
      </w:r>
      <w:r w:rsidR="000D4866" w:rsidRPr="00874040">
        <w:t>;</w:t>
      </w:r>
      <w:r w:rsidRPr="00874040">
        <w:t xml:space="preserve"> or</w:t>
      </w:r>
    </w:p>
    <w:p w14:paraId="28A1AD62" w14:textId="4B204320" w:rsidR="00692C9F" w:rsidRPr="00874040" w:rsidRDefault="00692C9F" w:rsidP="00874040">
      <w:pPr>
        <w:pStyle w:val="ListBullet"/>
      </w:pPr>
      <w:r w:rsidRPr="00874040">
        <w:t xml:space="preserve">do not enable valid comparisons between foods based on the agreed food components (energy, saturated fat, total sugars, sodium, protein, dietary </w:t>
      </w:r>
      <w:proofErr w:type="spellStart"/>
      <w:r w:rsidRPr="00874040">
        <w:t>fibre</w:t>
      </w:r>
      <w:proofErr w:type="spellEnd"/>
      <w:r w:rsidRPr="00874040">
        <w:t xml:space="preserve"> and </w:t>
      </w:r>
      <w:r w:rsidR="008853E3" w:rsidRPr="00874040">
        <w:t>fruit, vegetables, nut and legumes (</w:t>
      </w:r>
      <w:r w:rsidRPr="00874040">
        <w:t>FVNL</w:t>
      </w:r>
      <w:r w:rsidR="008853E3" w:rsidRPr="00874040">
        <w:t>)</w:t>
      </w:r>
      <w:r w:rsidRPr="00874040">
        <w:t>)</w:t>
      </w:r>
      <w:r w:rsidR="00540077" w:rsidRPr="00874040">
        <w:t>; and</w:t>
      </w:r>
    </w:p>
    <w:p w14:paraId="5D856297" w14:textId="1EE30237" w:rsidR="00692C9F" w:rsidRPr="00874040" w:rsidRDefault="00540077" w:rsidP="00874040">
      <w:pPr>
        <w:pStyle w:val="ListBullet"/>
      </w:pPr>
      <w:r w:rsidRPr="00874040">
        <w:t xml:space="preserve">the matter wasn’t previously determined </w:t>
      </w:r>
      <w:proofErr w:type="gramStart"/>
      <w:r w:rsidRPr="00874040">
        <w:t>as a result of</w:t>
      </w:r>
      <w:proofErr w:type="gramEnd"/>
      <w:r w:rsidRPr="00874040">
        <w:t xml:space="preserve"> the Five-Year Review of the HSR system.</w:t>
      </w:r>
    </w:p>
    <w:tbl>
      <w:tblPr>
        <w:tblStyle w:val="TableGrid"/>
        <w:tblW w:w="15593" w:type="dxa"/>
        <w:tblLayout w:type="fixed"/>
        <w:tblLook w:val="04A0" w:firstRow="1" w:lastRow="0" w:firstColumn="1" w:lastColumn="0" w:noHBand="0" w:noVBand="1"/>
        <w:tblDescription w:val="Table provides brief description of potential anomalies which have been received to date and the outcome of the HSRAC's consideration."/>
      </w:tblPr>
      <w:tblGrid>
        <w:gridCol w:w="1276"/>
        <w:gridCol w:w="1446"/>
        <w:gridCol w:w="3374"/>
        <w:gridCol w:w="1842"/>
        <w:gridCol w:w="2265"/>
        <w:gridCol w:w="3831"/>
        <w:gridCol w:w="1559"/>
      </w:tblGrid>
      <w:tr w:rsidR="00692C9F" w:rsidRPr="009B667E" w14:paraId="62FFD116" w14:textId="77777777" w:rsidTr="00874040">
        <w:trPr>
          <w:cnfStyle w:val="100000000000" w:firstRow="1" w:lastRow="0" w:firstColumn="0" w:lastColumn="0" w:oddVBand="0" w:evenVBand="0" w:oddHBand="0" w:evenHBand="0" w:firstRowFirstColumn="0" w:firstRowLastColumn="0" w:lastRowFirstColumn="0" w:lastRowLastColumn="0"/>
          <w:trHeight w:val="600"/>
          <w:tblHeader/>
        </w:trPr>
        <w:tc>
          <w:tcPr>
            <w:tcW w:w="1276" w:type="dxa"/>
            <w:hideMark/>
          </w:tcPr>
          <w:p w14:paraId="61241A76" w14:textId="77777777" w:rsidR="00692C9F" w:rsidRPr="00874040" w:rsidRDefault="00692C9F" w:rsidP="00874040">
            <w:r w:rsidRPr="00874040">
              <w:t>Application number</w:t>
            </w:r>
          </w:p>
        </w:tc>
        <w:tc>
          <w:tcPr>
            <w:tcW w:w="1446" w:type="dxa"/>
            <w:hideMark/>
          </w:tcPr>
          <w:p w14:paraId="41181861" w14:textId="77777777" w:rsidR="00692C9F" w:rsidRPr="00874040" w:rsidRDefault="00692C9F" w:rsidP="00874040">
            <w:r w:rsidRPr="00874040">
              <w:t>Date Submitted</w:t>
            </w:r>
          </w:p>
        </w:tc>
        <w:tc>
          <w:tcPr>
            <w:tcW w:w="3374" w:type="dxa"/>
            <w:hideMark/>
          </w:tcPr>
          <w:p w14:paraId="546C1036" w14:textId="77777777" w:rsidR="00692C9F" w:rsidRPr="00874040" w:rsidRDefault="00692C9F" w:rsidP="00874040">
            <w:r w:rsidRPr="00874040">
              <w:t>Brief description of application (as submitted by applicant)</w:t>
            </w:r>
          </w:p>
        </w:tc>
        <w:tc>
          <w:tcPr>
            <w:tcW w:w="1842" w:type="dxa"/>
            <w:hideMark/>
          </w:tcPr>
          <w:p w14:paraId="50B6D2B0" w14:textId="77777777" w:rsidR="00692C9F" w:rsidRPr="00874040" w:rsidRDefault="00692C9F" w:rsidP="00874040">
            <w:r w:rsidRPr="00874040">
              <w:t>Date Considered by HSRAC</w:t>
            </w:r>
          </w:p>
        </w:tc>
        <w:tc>
          <w:tcPr>
            <w:tcW w:w="2265" w:type="dxa"/>
            <w:hideMark/>
          </w:tcPr>
          <w:p w14:paraId="10BD996F" w14:textId="77777777" w:rsidR="00692C9F" w:rsidRPr="00874040" w:rsidRDefault="00692C9F" w:rsidP="00874040">
            <w:r w:rsidRPr="00874040">
              <w:t>HSRAC determination</w:t>
            </w:r>
          </w:p>
        </w:tc>
        <w:tc>
          <w:tcPr>
            <w:tcW w:w="3831" w:type="dxa"/>
            <w:hideMark/>
          </w:tcPr>
          <w:p w14:paraId="54B3F597" w14:textId="77777777" w:rsidR="00692C9F" w:rsidRPr="00874040" w:rsidRDefault="00692C9F" w:rsidP="00874040">
            <w:r w:rsidRPr="00874040">
              <w:t>Rationale</w:t>
            </w:r>
          </w:p>
        </w:tc>
        <w:tc>
          <w:tcPr>
            <w:tcW w:w="1559" w:type="dxa"/>
            <w:hideMark/>
          </w:tcPr>
          <w:p w14:paraId="16E17986" w14:textId="77777777" w:rsidR="00692C9F" w:rsidRPr="00874040" w:rsidRDefault="00692C9F" w:rsidP="00874040">
            <w:r w:rsidRPr="00874040">
              <w:t>Outcome / Next steps</w:t>
            </w:r>
          </w:p>
        </w:tc>
      </w:tr>
      <w:tr w:rsidR="00273E99" w:rsidRPr="009B667E" w14:paraId="3AA8DF7C" w14:textId="77777777" w:rsidTr="0066512D">
        <w:trPr>
          <w:trHeight w:val="1253"/>
        </w:trPr>
        <w:tc>
          <w:tcPr>
            <w:tcW w:w="1276" w:type="dxa"/>
          </w:tcPr>
          <w:p w14:paraId="364B255D" w14:textId="4000BEDA" w:rsidR="6D9D9A23" w:rsidRPr="00874040" w:rsidRDefault="6D9D9A23" w:rsidP="00874040">
            <w:pPr>
              <w:rPr>
                <w:rFonts w:eastAsiaTheme="minorEastAsia"/>
                <w:highlight w:val="yellow"/>
              </w:rPr>
            </w:pPr>
            <w:r w:rsidRPr="00874040">
              <w:rPr>
                <w:rFonts w:eastAsiaTheme="minorEastAsia"/>
              </w:rPr>
              <w:t>AS2024-1</w:t>
            </w:r>
          </w:p>
        </w:tc>
        <w:tc>
          <w:tcPr>
            <w:tcW w:w="1446" w:type="dxa"/>
          </w:tcPr>
          <w:p w14:paraId="0E0D81E4" w14:textId="4FB2B530" w:rsidR="6D9D9A23" w:rsidRPr="00874040" w:rsidRDefault="6D9D9A23" w:rsidP="00874040">
            <w:pPr>
              <w:rPr>
                <w:rFonts w:eastAsiaTheme="minorEastAsia"/>
              </w:rPr>
            </w:pPr>
            <w:r w:rsidRPr="00874040">
              <w:rPr>
                <w:rFonts w:eastAsiaTheme="minorEastAsia"/>
              </w:rPr>
              <w:t>03/05/2024</w:t>
            </w:r>
          </w:p>
        </w:tc>
        <w:tc>
          <w:tcPr>
            <w:tcW w:w="3374" w:type="dxa"/>
          </w:tcPr>
          <w:p w14:paraId="332A631E" w14:textId="579D6A3A" w:rsidR="6D9D9A23" w:rsidRPr="00874040" w:rsidRDefault="6D9D9A23" w:rsidP="00874040">
            <w:pPr>
              <w:rPr>
                <w:rFonts w:eastAsiaTheme="minorEastAsia"/>
              </w:rPr>
            </w:pPr>
            <w:r w:rsidRPr="00874040">
              <w:rPr>
                <w:rFonts w:eastAsiaTheme="minorEastAsia"/>
              </w:rPr>
              <w:t xml:space="preserve">A 5-star rating for eggs better communicates to consumers the nutritional profile of eggs and highlights them as a healthy option </w:t>
            </w:r>
            <w:proofErr w:type="gramStart"/>
            <w:r w:rsidRPr="00874040">
              <w:rPr>
                <w:rFonts w:eastAsiaTheme="minorEastAsia"/>
              </w:rPr>
              <w:t>similar to</w:t>
            </w:r>
            <w:proofErr w:type="gramEnd"/>
            <w:r w:rsidRPr="00874040">
              <w:rPr>
                <w:rFonts w:eastAsiaTheme="minorEastAsia"/>
              </w:rPr>
              <w:t xml:space="preserve"> other whole foods within the lean meats and alternatives food group in the Australian Dietary Guidelines. Eggs currently rate 4 stars.  </w:t>
            </w:r>
          </w:p>
        </w:tc>
        <w:tc>
          <w:tcPr>
            <w:tcW w:w="1842" w:type="dxa"/>
          </w:tcPr>
          <w:p w14:paraId="04CC275C" w14:textId="30B6FEFB" w:rsidR="6D9D9A23" w:rsidRPr="00874040" w:rsidRDefault="6D9D9A23" w:rsidP="00874040">
            <w:pPr>
              <w:rPr>
                <w:rFonts w:eastAsiaTheme="minorEastAsia"/>
              </w:rPr>
            </w:pPr>
            <w:r w:rsidRPr="00874040">
              <w:rPr>
                <w:rFonts w:eastAsiaTheme="minorEastAsia"/>
              </w:rPr>
              <w:t>12/07/2024</w:t>
            </w:r>
          </w:p>
        </w:tc>
        <w:tc>
          <w:tcPr>
            <w:tcW w:w="2265" w:type="dxa"/>
          </w:tcPr>
          <w:p w14:paraId="476F4F4D" w14:textId="06EA27F7" w:rsidR="6D9D9A23" w:rsidRPr="00874040" w:rsidRDefault="6D9D9A23" w:rsidP="0066512D">
            <w:pPr>
              <w:jc w:val="center"/>
              <w:rPr>
                <w:rFonts w:eastAsiaTheme="minorEastAsia"/>
              </w:rPr>
            </w:pPr>
            <w:r w:rsidRPr="0066512D">
              <w:rPr>
                <w:rStyle w:val="Strong"/>
                <w:rFonts w:eastAsiaTheme="minorEastAsia"/>
              </w:rPr>
              <w:t>Rejected</w:t>
            </w:r>
            <w:r w:rsidRPr="00874040">
              <w:rPr>
                <w:rFonts w:eastAsiaTheme="minorEastAsia"/>
              </w:rPr>
              <w:t>: application</w:t>
            </w:r>
          </w:p>
          <w:p w14:paraId="2F92E80E" w14:textId="600BE248" w:rsidR="6D9D9A23" w:rsidRPr="00874040" w:rsidRDefault="6D9D9A23" w:rsidP="0066512D">
            <w:pPr>
              <w:jc w:val="center"/>
              <w:rPr>
                <w:rFonts w:eastAsiaTheme="minorEastAsia"/>
              </w:rPr>
            </w:pPr>
            <w:r w:rsidRPr="00874040">
              <w:rPr>
                <w:rFonts w:eastAsiaTheme="minorEastAsia"/>
              </w:rPr>
              <w:t>is deemed not an</w:t>
            </w:r>
          </w:p>
          <w:p w14:paraId="73EE502F" w14:textId="062209C1" w:rsidR="6D9D9A23" w:rsidRPr="00874040" w:rsidRDefault="6D9D9A23" w:rsidP="0066512D">
            <w:pPr>
              <w:jc w:val="center"/>
              <w:rPr>
                <w:rFonts w:eastAsiaTheme="minorEastAsia"/>
              </w:rPr>
            </w:pPr>
            <w:r w:rsidRPr="00874040">
              <w:rPr>
                <w:rFonts w:eastAsiaTheme="minorEastAsia"/>
              </w:rPr>
              <w:t>anomaly</w:t>
            </w:r>
          </w:p>
        </w:tc>
        <w:tc>
          <w:tcPr>
            <w:tcW w:w="3831" w:type="dxa"/>
          </w:tcPr>
          <w:p w14:paraId="0D4CEF67" w14:textId="77777777" w:rsidR="6D9D9A23" w:rsidRPr="00874040" w:rsidRDefault="6D9D9A23" w:rsidP="00874040">
            <w:pPr>
              <w:rPr>
                <w:rFonts w:eastAsiaTheme="minorEastAsia"/>
              </w:rPr>
            </w:pPr>
            <w:r w:rsidRPr="00874040">
              <w:rPr>
                <w:rFonts w:eastAsiaTheme="minorEastAsia"/>
              </w:rPr>
              <w:t>Eggs are not considered intended products under the HSR system, on the basis that their composition does not vary significantly across products.  </w:t>
            </w:r>
          </w:p>
          <w:p w14:paraId="3B576260" w14:textId="41CEB622" w:rsidR="6D9D9A23" w:rsidRPr="00874040" w:rsidRDefault="6D9D9A23" w:rsidP="00874040">
            <w:pPr>
              <w:rPr>
                <w:rFonts w:eastAsiaTheme="minorEastAsia"/>
              </w:rPr>
            </w:pPr>
            <w:r w:rsidRPr="00874040">
              <w:rPr>
                <w:rFonts w:eastAsiaTheme="minorEastAsia"/>
              </w:rPr>
              <w:t xml:space="preserve">The general intent of the HSR system is to help consumers choose between similar products, and it is unlikely that most consumers would compare eggs with the other products in the lean meats and alternatives group. </w:t>
            </w:r>
          </w:p>
          <w:p w14:paraId="51CC4656" w14:textId="1AD777ED" w:rsidR="6D9D9A23" w:rsidRPr="00874040" w:rsidRDefault="6D9D9A23" w:rsidP="00874040">
            <w:pPr>
              <w:rPr>
                <w:rFonts w:eastAsiaTheme="minorEastAsia"/>
              </w:rPr>
            </w:pPr>
            <w:r w:rsidRPr="00874040">
              <w:rPr>
                <w:rFonts w:eastAsiaTheme="minorEastAsia"/>
              </w:rPr>
              <w:t>A secondary intent at the creation of the system was that “core” foods would rate at least 3.5 stars, and eggs rate 4 stars.  </w:t>
            </w:r>
          </w:p>
          <w:p w14:paraId="36958775" w14:textId="4008DE89" w:rsidR="6D9D9A23" w:rsidRPr="00874040" w:rsidRDefault="6D9D9A23" w:rsidP="6D9D9A23">
            <w:pPr>
              <w:rPr>
                <w:rFonts w:eastAsiaTheme="minorEastAsia"/>
              </w:rPr>
            </w:pPr>
            <w:r w:rsidRPr="00874040">
              <w:rPr>
                <w:rFonts w:eastAsiaTheme="minorEastAsia"/>
              </w:rPr>
              <w:t xml:space="preserve">The current rating of 4 stars is appropriate. </w:t>
            </w:r>
          </w:p>
        </w:tc>
        <w:tc>
          <w:tcPr>
            <w:tcW w:w="1559" w:type="dxa"/>
          </w:tcPr>
          <w:p w14:paraId="5EE97416" w14:textId="77777777" w:rsidR="6D9D9A23" w:rsidRPr="00874040" w:rsidRDefault="6D9D9A23" w:rsidP="00874040">
            <w:pPr>
              <w:rPr>
                <w:rFonts w:eastAsiaTheme="minorEastAsia"/>
              </w:rPr>
            </w:pPr>
            <w:r w:rsidRPr="00874040">
              <w:rPr>
                <w:rFonts w:eastAsiaTheme="minorEastAsia"/>
              </w:rPr>
              <w:t xml:space="preserve">No further </w:t>
            </w:r>
          </w:p>
          <w:p w14:paraId="1CEBA356" w14:textId="7958B4EE" w:rsidR="6D9D9A23" w:rsidRDefault="6D9D9A23" w:rsidP="00874040">
            <w:pPr>
              <w:rPr>
                <w:rFonts w:eastAsiaTheme="minorEastAsia" w:cstheme="minorBidi"/>
                <w:color w:val="000000" w:themeColor="text1"/>
                <w:szCs w:val="22"/>
                <w:highlight w:val="yellow"/>
              </w:rPr>
            </w:pPr>
            <w:r w:rsidRPr="00874040">
              <w:rPr>
                <w:rFonts w:eastAsiaTheme="minorEastAsia"/>
              </w:rPr>
              <w:t>action.</w:t>
            </w:r>
          </w:p>
        </w:tc>
      </w:tr>
      <w:tr w:rsidR="6D9D9A23" w14:paraId="3EEDF54F" w14:textId="77777777" w:rsidTr="0066512D">
        <w:trPr>
          <w:trHeight w:val="1253"/>
        </w:trPr>
        <w:tc>
          <w:tcPr>
            <w:tcW w:w="1276" w:type="dxa"/>
          </w:tcPr>
          <w:p w14:paraId="13D9A6EB" w14:textId="4894C1EF" w:rsidR="6D9D9A23" w:rsidRPr="00874040" w:rsidRDefault="6D9D9A23" w:rsidP="00874040">
            <w:pPr>
              <w:rPr>
                <w:rFonts w:eastAsiaTheme="minorEastAsia"/>
              </w:rPr>
            </w:pPr>
            <w:r w:rsidRPr="00874040">
              <w:rPr>
                <w:rFonts w:eastAsiaTheme="minorEastAsia"/>
              </w:rPr>
              <w:t>AS2024-2</w:t>
            </w:r>
          </w:p>
        </w:tc>
        <w:tc>
          <w:tcPr>
            <w:tcW w:w="1446" w:type="dxa"/>
          </w:tcPr>
          <w:p w14:paraId="50C6BF66" w14:textId="0016251F" w:rsidR="6D9D9A23" w:rsidRPr="00874040" w:rsidRDefault="6D9D9A23" w:rsidP="00874040">
            <w:pPr>
              <w:rPr>
                <w:rFonts w:eastAsiaTheme="minorEastAsia"/>
              </w:rPr>
            </w:pPr>
            <w:r w:rsidRPr="00874040">
              <w:rPr>
                <w:rFonts w:eastAsiaTheme="minorEastAsia"/>
              </w:rPr>
              <w:t>06/06/2024</w:t>
            </w:r>
          </w:p>
        </w:tc>
        <w:tc>
          <w:tcPr>
            <w:tcW w:w="3374" w:type="dxa"/>
          </w:tcPr>
          <w:p w14:paraId="79301D5F" w14:textId="26019C97" w:rsidR="6D9D9A23" w:rsidRDefault="6D9D9A23" w:rsidP="7BCA6A47">
            <w:pPr>
              <w:rPr>
                <w:rFonts w:eastAsiaTheme="minorEastAsia" w:cstheme="minorBidi"/>
              </w:rPr>
            </w:pPr>
            <w:r w:rsidRPr="7BCA6A47">
              <w:rPr>
                <w:rFonts w:eastAsiaTheme="minorEastAsia" w:cstheme="minorBidi"/>
              </w:rPr>
              <w:t xml:space="preserve">Some products meet the criteria for Category 2D – Dairy Foods but because they are a frozen product they are not eligible for 2D.  Using Category 2 they receive a lower HSR. These products should be </w:t>
            </w:r>
            <w:r w:rsidR="6B1F788D" w:rsidRPr="7BCA6A47">
              <w:rPr>
                <w:rFonts w:eastAsiaTheme="minorEastAsia" w:cstheme="minorBidi"/>
              </w:rPr>
              <w:t>c</w:t>
            </w:r>
            <w:r w:rsidRPr="7BCA6A47">
              <w:rPr>
                <w:rFonts w:eastAsiaTheme="minorEastAsia" w:cstheme="minorBidi"/>
              </w:rPr>
              <w:t xml:space="preserve">ategorised </w:t>
            </w:r>
            <w:r w:rsidR="1725E08D" w:rsidRPr="7BCA6A47">
              <w:rPr>
                <w:rFonts w:eastAsiaTheme="minorEastAsia" w:cstheme="minorBidi"/>
              </w:rPr>
              <w:t>as</w:t>
            </w:r>
            <w:r w:rsidRPr="7BCA6A47">
              <w:rPr>
                <w:rFonts w:eastAsiaTheme="minorEastAsia" w:cstheme="minorBidi"/>
              </w:rPr>
              <w:t xml:space="preserve"> 2D- Dairy Foods. </w:t>
            </w:r>
          </w:p>
        </w:tc>
        <w:tc>
          <w:tcPr>
            <w:tcW w:w="1842" w:type="dxa"/>
          </w:tcPr>
          <w:p w14:paraId="7F79695E" w14:textId="130E5F5F" w:rsidR="6D9D9A23" w:rsidRPr="00874040" w:rsidRDefault="6D9D9A23" w:rsidP="00874040">
            <w:pPr>
              <w:rPr>
                <w:rFonts w:eastAsiaTheme="minorEastAsia"/>
              </w:rPr>
            </w:pPr>
            <w:r w:rsidRPr="00874040">
              <w:rPr>
                <w:rFonts w:eastAsiaTheme="minorEastAsia"/>
              </w:rPr>
              <w:t>12/07/2024</w:t>
            </w:r>
          </w:p>
        </w:tc>
        <w:tc>
          <w:tcPr>
            <w:tcW w:w="2265" w:type="dxa"/>
          </w:tcPr>
          <w:p w14:paraId="53AC955E" w14:textId="42F4BCCC" w:rsidR="6D9D9A23" w:rsidRPr="00874040" w:rsidRDefault="6D9D9A23" w:rsidP="0066512D">
            <w:pPr>
              <w:jc w:val="center"/>
              <w:rPr>
                <w:rFonts w:eastAsiaTheme="minorEastAsia"/>
              </w:rPr>
            </w:pPr>
            <w:r w:rsidRPr="00874040">
              <w:rPr>
                <w:rStyle w:val="Strong"/>
                <w:rFonts w:eastAsiaTheme="minorEastAsia"/>
              </w:rPr>
              <w:t>Rejected</w:t>
            </w:r>
            <w:r w:rsidRPr="00874040">
              <w:rPr>
                <w:rFonts w:eastAsiaTheme="minorEastAsia"/>
              </w:rPr>
              <w:t>: application</w:t>
            </w:r>
          </w:p>
          <w:p w14:paraId="563A22C6" w14:textId="41FBB361" w:rsidR="6D9D9A23" w:rsidRPr="00874040" w:rsidRDefault="6D9D9A23" w:rsidP="0066512D">
            <w:pPr>
              <w:jc w:val="center"/>
              <w:rPr>
                <w:rFonts w:eastAsiaTheme="minorEastAsia"/>
              </w:rPr>
            </w:pPr>
            <w:r w:rsidRPr="00874040">
              <w:rPr>
                <w:rFonts w:eastAsiaTheme="minorEastAsia"/>
              </w:rPr>
              <w:t>is deemed not an</w:t>
            </w:r>
          </w:p>
          <w:p w14:paraId="75FEF580" w14:textId="6BE8B462" w:rsidR="6D9D9A23" w:rsidRPr="00874040" w:rsidRDefault="6D9D9A23" w:rsidP="0066512D">
            <w:pPr>
              <w:jc w:val="center"/>
              <w:rPr>
                <w:rFonts w:eastAsiaTheme="minorEastAsia"/>
              </w:rPr>
            </w:pPr>
            <w:r w:rsidRPr="00874040">
              <w:rPr>
                <w:rFonts w:eastAsiaTheme="minorEastAsia"/>
              </w:rPr>
              <w:t>anomaly</w:t>
            </w:r>
          </w:p>
        </w:tc>
        <w:tc>
          <w:tcPr>
            <w:tcW w:w="3831" w:type="dxa"/>
          </w:tcPr>
          <w:p w14:paraId="7CB36FF7" w14:textId="7882128F" w:rsidR="5FC07250" w:rsidRPr="00874040" w:rsidRDefault="5FC07250" w:rsidP="00874040">
            <w:pPr>
              <w:rPr>
                <w:rFonts w:eastAsiaTheme="minorEastAsia"/>
              </w:rPr>
            </w:pPr>
            <w:r w:rsidRPr="00874040">
              <w:rPr>
                <w:rFonts w:eastAsiaTheme="minorEastAsia"/>
              </w:rPr>
              <w:t xml:space="preserve">Category 2D is intended for core dairy products. Some refrigerated dairy desserts which are considered discretionary foods are also eligible for this category to enable comparison across products which </w:t>
            </w:r>
            <w:r w:rsidR="63955D80" w:rsidRPr="00874040">
              <w:rPr>
                <w:rFonts w:eastAsiaTheme="minorEastAsia"/>
              </w:rPr>
              <w:t xml:space="preserve">consumers are likely to be choosing between. </w:t>
            </w:r>
            <w:r w:rsidR="0C98EC9B" w:rsidRPr="00874040">
              <w:rPr>
                <w:rFonts w:eastAsiaTheme="minorEastAsia"/>
              </w:rPr>
              <w:t>I</w:t>
            </w:r>
            <w:r w:rsidR="63955D80" w:rsidRPr="00874040">
              <w:rPr>
                <w:rFonts w:eastAsiaTheme="minorEastAsia"/>
              </w:rPr>
              <w:t xml:space="preserve">ce-cream and other frozen products are not considered core dairy products and </w:t>
            </w:r>
            <w:r w:rsidR="63955D80" w:rsidRPr="00874040">
              <w:rPr>
                <w:rFonts w:eastAsiaTheme="minorEastAsia"/>
              </w:rPr>
              <w:lastRenderedPageBreak/>
              <w:t>consumers are unlikely to be comparing an ice-cream to a core dairy product such as yo</w:t>
            </w:r>
            <w:r w:rsidR="4099B46A" w:rsidRPr="00874040">
              <w:rPr>
                <w:rFonts w:eastAsiaTheme="minorEastAsia"/>
              </w:rPr>
              <w:t>ghurt</w:t>
            </w:r>
            <w:r w:rsidR="3F58EBEF" w:rsidRPr="00874040">
              <w:rPr>
                <w:rFonts w:eastAsiaTheme="minorEastAsia"/>
              </w:rPr>
              <w:t xml:space="preserve">. </w:t>
            </w:r>
            <w:proofErr w:type="gramStart"/>
            <w:r w:rsidR="3F58EBEF" w:rsidRPr="00874040">
              <w:rPr>
                <w:rFonts w:eastAsiaTheme="minorEastAsia"/>
              </w:rPr>
              <w:t>Therefore</w:t>
            </w:r>
            <w:proofErr w:type="gramEnd"/>
            <w:r w:rsidR="4099B46A" w:rsidRPr="00874040">
              <w:rPr>
                <w:rFonts w:eastAsiaTheme="minorEastAsia"/>
              </w:rPr>
              <w:t xml:space="preserve"> it is not appropriate to expand category 2D to include frozen products.</w:t>
            </w:r>
          </w:p>
          <w:p w14:paraId="13D74B11" w14:textId="5AADB2BE" w:rsidR="6D9D9A23" w:rsidRPr="00874040" w:rsidRDefault="6D9D9A23" w:rsidP="00874040">
            <w:pPr>
              <w:rPr>
                <w:rFonts w:eastAsiaTheme="minorEastAsia"/>
              </w:rPr>
            </w:pPr>
            <w:r w:rsidRPr="00874040">
              <w:rPr>
                <w:rFonts w:eastAsiaTheme="minorEastAsia"/>
              </w:rPr>
              <w:t xml:space="preserve">3 stars is an appropriate rating for ice cream products, noting that there may be scope for them to be reformulated to achieve a better rating. </w:t>
            </w:r>
          </w:p>
        </w:tc>
        <w:tc>
          <w:tcPr>
            <w:tcW w:w="1559" w:type="dxa"/>
          </w:tcPr>
          <w:p w14:paraId="4A2A6201" w14:textId="77777777" w:rsidR="6D9D9A23" w:rsidRPr="00874040" w:rsidRDefault="6D9D9A23" w:rsidP="00874040">
            <w:pPr>
              <w:rPr>
                <w:rFonts w:eastAsiaTheme="minorEastAsia"/>
              </w:rPr>
            </w:pPr>
            <w:r w:rsidRPr="00874040">
              <w:rPr>
                <w:rFonts w:eastAsiaTheme="minorEastAsia"/>
              </w:rPr>
              <w:lastRenderedPageBreak/>
              <w:t xml:space="preserve">No further </w:t>
            </w:r>
          </w:p>
          <w:p w14:paraId="11887749" w14:textId="5515DBF3" w:rsidR="6D9D9A23" w:rsidRDefault="6D9D9A23" w:rsidP="00874040">
            <w:pPr>
              <w:rPr>
                <w:rFonts w:eastAsiaTheme="minorEastAsia" w:cstheme="minorBidi"/>
                <w:color w:val="000000" w:themeColor="text1"/>
                <w:szCs w:val="22"/>
                <w:highlight w:val="yellow"/>
              </w:rPr>
            </w:pPr>
            <w:r w:rsidRPr="00874040">
              <w:rPr>
                <w:rFonts w:eastAsiaTheme="minorEastAsia"/>
              </w:rPr>
              <w:t>action.</w:t>
            </w:r>
          </w:p>
        </w:tc>
      </w:tr>
      <w:tr w:rsidR="007A2EF4" w14:paraId="312AC374" w14:textId="77777777" w:rsidTr="0066512D">
        <w:trPr>
          <w:trHeight w:val="1253"/>
        </w:trPr>
        <w:tc>
          <w:tcPr>
            <w:tcW w:w="1276" w:type="dxa"/>
          </w:tcPr>
          <w:p w14:paraId="29176A75" w14:textId="0271914B" w:rsidR="007A2EF4" w:rsidRPr="00874040" w:rsidRDefault="007A2EF4" w:rsidP="00874040">
            <w:pPr>
              <w:rPr>
                <w:rFonts w:eastAsiaTheme="minorEastAsia"/>
              </w:rPr>
            </w:pPr>
            <w:r w:rsidRPr="00874040">
              <w:t>AS2023-1</w:t>
            </w:r>
          </w:p>
        </w:tc>
        <w:tc>
          <w:tcPr>
            <w:tcW w:w="1446" w:type="dxa"/>
          </w:tcPr>
          <w:p w14:paraId="025BC57A" w14:textId="59DF95EE" w:rsidR="007A2EF4" w:rsidRPr="00874040" w:rsidRDefault="007A2EF4" w:rsidP="00874040">
            <w:pPr>
              <w:rPr>
                <w:rFonts w:eastAsiaTheme="minorEastAsia"/>
              </w:rPr>
            </w:pPr>
            <w:r w:rsidRPr="00874040">
              <w:t>18/05/2023</w:t>
            </w:r>
          </w:p>
        </w:tc>
        <w:tc>
          <w:tcPr>
            <w:tcW w:w="3374" w:type="dxa"/>
          </w:tcPr>
          <w:p w14:paraId="15B38AED" w14:textId="7187A154" w:rsidR="007A2EF4" w:rsidRPr="00874040" w:rsidRDefault="007A2EF4" w:rsidP="00874040">
            <w:pPr>
              <w:rPr>
                <w:rFonts w:eastAsiaTheme="minorEastAsia"/>
              </w:rPr>
            </w:pPr>
            <w:r w:rsidRPr="00874040">
              <w:t xml:space="preserve">Our product is a </w:t>
            </w:r>
            <w:proofErr w:type="spellStart"/>
            <w:r w:rsidRPr="00874040">
              <w:t>flavoured</w:t>
            </w:r>
            <w:proofErr w:type="spellEnd"/>
            <w:r w:rsidRPr="00874040">
              <w:t xml:space="preserve"> water. However, we have zero across the nutrition panel with zero sugar, zero calories/kilojoules, and zero on every category. Our product took years of research and development and is backed by science to create a </w:t>
            </w:r>
            <w:proofErr w:type="spellStart"/>
            <w:r w:rsidRPr="00874040">
              <w:t>flavoured</w:t>
            </w:r>
            <w:proofErr w:type="spellEnd"/>
            <w:r w:rsidRPr="00874040">
              <w:t xml:space="preserve"> water product that is 100% healthy in every way and is just like drinking plain water but with a little taste of </w:t>
            </w:r>
            <w:proofErr w:type="spellStart"/>
            <w:r w:rsidRPr="00874040">
              <w:t>flavour</w:t>
            </w:r>
            <w:proofErr w:type="spellEnd"/>
            <w:r w:rsidRPr="00874040">
              <w:t>.</w:t>
            </w:r>
          </w:p>
        </w:tc>
        <w:tc>
          <w:tcPr>
            <w:tcW w:w="1842" w:type="dxa"/>
          </w:tcPr>
          <w:p w14:paraId="23E56305" w14:textId="7B450A80" w:rsidR="007A2EF4" w:rsidRPr="00874040" w:rsidRDefault="007A2EF4" w:rsidP="00874040">
            <w:pPr>
              <w:rPr>
                <w:rFonts w:eastAsiaTheme="minorEastAsia"/>
              </w:rPr>
            </w:pPr>
            <w:r w:rsidRPr="00874040">
              <w:t>26/05/2023</w:t>
            </w:r>
          </w:p>
        </w:tc>
        <w:tc>
          <w:tcPr>
            <w:tcW w:w="2265" w:type="dxa"/>
          </w:tcPr>
          <w:p w14:paraId="22B0BB6D" w14:textId="701D5ED6" w:rsidR="007A2EF4" w:rsidRPr="00874040" w:rsidRDefault="007A2EF4" w:rsidP="0066512D">
            <w:pPr>
              <w:jc w:val="center"/>
            </w:pPr>
            <w:r w:rsidRPr="00874040">
              <w:rPr>
                <w:rStyle w:val="Strong"/>
              </w:rPr>
              <w:t>Rejected</w:t>
            </w:r>
            <w:r w:rsidRPr="00874040">
              <w:t>: application</w:t>
            </w:r>
          </w:p>
          <w:p w14:paraId="7112FFDD" w14:textId="31CC2656" w:rsidR="007A2EF4" w:rsidRPr="00874040" w:rsidRDefault="007A2EF4" w:rsidP="0066512D">
            <w:pPr>
              <w:jc w:val="center"/>
            </w:pPr>
            <w:r w:rsidRPr="00874040">
              <w:t>is deemed not an</w:t>
            </w:r>
          </w:p>
          <w:p w14:paraId="321474C9" w14:textId="00EEB521" w:rsidR="007A2EF4" w:rsidRPr="00874040" w:rsidRDefault="007A2EF4" w:rsidP="0066512D">
            <w:pPr>
              <w:jc w:val="center"/>
              <w:rPr>
                <w:rFonts w:eastAsiaTheme="minorEastAsia"/>
              </w:rPr>
            </w:pPr>
            <w:r w:rsidRPr="00874040">
              <w:t>anomaly</w:t>
            </w:r>
          </w:p>
        </w:tc>
        <w:tc>
          <w:tcPr>
            <w:tcW w:w="3831" w:type="dxa"/>
          </w:tcPr>
          <w:p w14:paraId="60A75F92" w14:textId="77777777" w:rsidR="007A2EF4" w:rsidRPr="00D86AD5" w:rsidRDefault="007A2EF4" w:rsidP="007A2EF4">
            <w:pPr>
              <w:rPr>
                <w:szCs w:val="22"/>
                <w:lang w:val="en-AU"/>
              </w:rPr>
            </w:pPr>
            <w:r w:rsidRPr="00D86AD5">
              <w:t xml:space="preserve">Upon further discussions, we acknowledge your statement regarding the product has zero nutrient values. The </w:t>
            </w:r>
            <w:proofErr w:type="spellStart"/>
            <w:r w:rsidRPr="00D86AD5">
              <w:t>FoPL</w:t>
            </w:r>
            <w:proofErr w:type="spellEnd"/>
            <w:r w:rsidRPr="00D86AD5">
              <w:t xml:space="preserve"> Secretariat cannot state zero values when the report states for example energy at 10kj/100ml. Below is the link to the NSW Food Authority which can assist manufacturers with product enquiries. Furthermore, the products ingredients </w:t>
            </w:r>
            <w:proofErr w:type="gramStart"/>
            <w:r w:rsidRPr="00D86AD5">
              <w:t>contains</w:t>
            </w:r>
            <w:proofErr w:type="gramEnd"/>
            <w:r w:rsidRPr="00D86AD5">
              <w:t xml:space="preserve"> a permitted </w:t>
            </w:r>
            <w:proofErr w:type="spellStart"/>
            <w:r w:rsidRPr="00D86AD5">
              <w:t>flavouring</w:t>
            </w:r>
            <w:proofErr w:type="spellEnd"/>
            <w:r w:rsidRPr="00D86AD5">
              <w:t xml:space="preserve"> substance (as defined by Standard 1.1.2-2 of the Code) and therefore has a HSR of 4.5 stars.</w:t>
            </w:r>
          </w:p>
          <w:p w14:paraId="55D0FED0" w14:textId="77777777" w:rsidR="007A2EF4" w:rsidRPr="6D9D9A23" w:rsidRDefault="007A2EF4" w:rsidP="007A2EF4">
            <w:pPr>
              <w:spacing w:line="259" w:lineRule="auto"/>
              <w:rPr>
                <w:rStyle w:val="normaltextrun"/>
                <w:rFonts w:eastAsiaTheme="minorEastAsia" w:cstheme="minorBidi"/>
                <w:color w:val="000000" w:themeColor="text1"/>
              </w:rPr>
            </w:pPr>
          </w:p>
        </w:tc>
        <w:tc>
          <w:tcPr>
            <w:tcW w:w="1559" w:type="dxa"/>
          </w:tcPr>
          <w:p w14:paraId="100A40CE" w14:textId="77777777" w:rsidR="007A2EF4" w:rsidRPr="00874040" w:rsidRDefault="007A2EF4" w:rsidP="00874040">
            <w:r w:rsidRPr="00874040">
              <w:t xml:space="preserve">No further </w:t>
            </w:r>
          </w:p>
          <w:p w14:paraId="4DCC4974" w14:textId="7464D8D4" w:rsidR="007A2EF4" w:rsidRPr="6D9D9A23" w:rsidRDefault="007A2EF4" w:rsidP="00874040">
            <w:pPr>
              <w:rPr>
                <w:rFonts w:eastAsiaTheme="minorEastAsia" w:cstheme="minorBidi"/>
                <w:color w:val="000000" w:themeColor="text1"/>
                <w:szCs w:val="22"/>
              </w:rPr>
            </w:pPr>
            <w:r w:rsidRPr="00874040">
              <w:t>action.</w:t>
            </w:r>
          </w:p>
        </w:tc>
      </w:tr>
      <w:tr w:rsidR="00D455B5" w:rsidRPr="009B667E" w14:paraId="3C16A447" w14:textId="77777777" w:rsidTr="0066512D">
        <w:trPr>
          <w:trHeight w:val="1253"/>
        </w:trPr>
        <w:tc>
          <w:tcPr>
            <w:tcW w:w="1276" w:type="dxa"/>
          </w:tcPr>
          <w:p w14:paraId="6E519D5E" w14:textId="005FD35A" w:rsidR="00D455B5" w:rsidRPr="00874040" w:rsidRDefault="00B63671" w:rsidP="00874040">
            <w:r w:rsidRPr="00874040">
              <w:t>AS</w:t>
            </w:r>
            <w:r w:rsidR="00D455B5" w:rsidRPr="00874040">
              <w:t>2021</w:t>
            </w:r>
            <w:r w:rsidR="00540077" w:rsidRPr="00874040">
              <w:t>-</w:t>
            </w:r>
            <w:r w:rsidR="00D455B5" w:rsidRPr="00874040">
              <w:t>1</w:t>
            </w:r>
          </w:p>
        </w:tc>
        <w:tc>
          <w:tcPr>
            <w:tcW w:w="1446" w:type="dxa"/>
          </w:tcPr>
          <w:p w14:paraId="4C0F2246" w14:textId="646443B9" w:rsidR="00D455B5" w:rsidRPr="00874040" w:rsidRDefault="00DF27C0" w:rsidP="00874040">
            <w:r w:rsidRPr="00874040">
              <w:t xml:space="preserve">1/10/2020 </w:t>
            </w:r>
          </w:p>
        </w:tc>
        <w:tc>
          <w:tcPr>
            <w:tcW w:w="3374" w:type="dxa"/>
          </w:tcPr>
          <w:p w14:paraId="7BA2AC78" w14:textId="01DAFF99" w:rsidR="00D455B5" w:rsidRPr="00874040" w:rsidRDefault="00C151F6" w:rsidP="00874040">
            <w:r w:rsidRPr="00874040">
              <w:t>The reclassification of water-based ice confections out of Category 2 – Foods, and into Category 1 - non-dairy beverages means HSR no longer guides towards healthier choices in the ice cream category.</w:t>
            </w:r>
          </w:p>
        </w:tc>
        <w:tc>
          <w:tcPr>
            <w:tcW w:w="1842" w:type="dxa"/>
          </w:tcPr>
          <w:p w14:paraId="2ABF7E04" w14:textId="3E6887AE" w:rsidR="00D455B5" w:rsidRPr="00874040" w:rsidRDefault="00DF27C0" w:rsidP="00874040">
            <w:r w:rsidRPr="00874040">
              <w:t xml:space="preserve">5/8/21 </w:t>
            </w:r>
          </w:p>
        </w:tc>
        <w:tc>
          <w:tcPr>
            <w:tcW w:w="2265" w:type="dxa"/>
          </w:tcPr>
          <w:p w14:paraId="0F523433" w14:textId="74545C3C" w:rsidR="00D455B5" w:rsidRPr="0066512D" w:rsidRDefault="00DF27C0" w:rsidP="0066512D">
            <w:pPr>
              <w:jc w:val="center"/>
              <w:rPr>
                <w:rStyle w:val="Strong"/>
              </w:rPr>
            </w:pPr>
            <w:r w:rsidRPr="0066512D">
              <w:rPr>
                <w:rStyle w:val="Strong"/>
              </w:rPr>
              <w:t>Rejected</w:t>
            </w:r>
          </w:p>
        </w:tc>
        <w:tc>
          <w:tcPr>
            <w:tcW w:w="3831" w:type="dxa"/>
          </w:tcPr>
          <w:p w14:paraId="5FA94CB6" w14:textId="62CF4DAE" w:rsidR="000B4F1B" w:rsidRPr="000B4F1B" w:rsidRDefault="0034439B" w:rsidP="00DF27C0">
            <w:pPr>
              <w:rPr>
                <w:rFonts w:cstheme="minorHAnsi"/>
                <w:szCs w:val="22"/>
              </w:rPr>
            </w:pPr>
            <w:r>
              <w:rPr>
                <w:rFonts w:cstheme="minorHAnsi"/>
                <w:szCs w:val="22"/>
              </w:rPr>
              <w:t>N</w:t>
            </w:r>
            <w:r w:rsidR="000B4F1B" w:rsidRPr="000B4F1B">
              <w:rPr>
                <w:rFonts w:cstheme="minorHAnsi"/>
                <w:szCs w:val="22"/>
              </w:rPr>
              <w:t>oting the decision to re-</w:t>
            </w:r>
            <w:proofErr w:type="spellStart"/>
            <w:r w:rsidR="000B4F1B" w:rsidRPr="000B4F1B">
              <w:rPr>
                <w:rFonts w:cstheme="minorHAnsi"/>
                <w:szCs w:val="22"/>
              </w:rPr>
              <w:t>categorise</w:t>
            </w:r>
            <w:proofErr w:type="spellEnd"/>
            <w:r w:rsidR="000B4F1B" w:rsidRPr="000B4F1B">
              <w:rPr>
                <w:rFonts w:cstheme="minorHAnsi"/>
                <w:szCs w:val="22"/>
              </w:rPr>
              <w:t xml:space="preserve"> ice confections as non-dairy beverages during the Five-Year Review of the HSR System</w:t>
            </w:r>
            <w:r>
              <w:rPr>
                <w:rFonts w:cstheme="minorHAnsi"/>
                <w:szCs w:val="22"/>
              </w:rPr>
              <w:t xml:space="preserve">, the </w:t>
            </w:r>
            <w:r w:rsidRPr="000B4F1B">
              <w:rPr>
                <w:rFonts w:cstheme="minorHAnsi"/>
                <w:szCs w:val="22"/>
              </w:rPr>
              <w:t>HSR</w:t>
            </w:r>
            <w:r>
              <w:rPr>
                <w:rFonts w:cstheme="minorHAnsi"/>
                <w:szCs w:val="22"/>
              </w:rPr>
              <w:t xml:space="preserve">AC considers it is </w:t>
            </w:r>
            <w:r w:rsidRPr="000B4F1B">
              <w:rPr>
                <w:rFonts w:cstheme="minorHAnsi"/>
                <w:szCs w:val="22"/>
              </w:rPr>
              <w:t>not appropriate to class this submission as an anomaly</w:t>
            </w:r>
            <w:r>
              <w:rPr>
                <w:rFonts w:cstheme="minorHAnsi"/>
                <w:szCs w:val="22"/>
              </w:rPr>
              <w:t xml:space="preserve">. </w:t>
            </w:r>
          </w:p>
        </w:tc>
        <w:tc>
          <w:tcPr>
            <w:tcW w:w="1559" w:type="dxa"/>
          </w:tcPr>
          <w:p w14:paraId="7CF0C731" w14:textId="6CDABA1B" w:rsidR="00D455B5" w:rsidRPr="00874040" w:rsidRDefault="00DF27C0" w:rsidP="00874040">
            <w:r w:rsidRPr="00874040">
              <w:t xml:space="preserve">No further action. </w:t>
            </w:r>
          </w:p>
        </w:tc>
      </w:tr>
      <w:tr w:rsidR="00692C9F" w:rsidRPr="009B667E" w14:paraId="63E940CD" w14:textId="77777777" w:rsidTr="0066512D">
        <w:trPr>
          <w:trHeight w:val="3000"/>
        </w:trPr>
        <w:tc>
          <w:tcPr>
            <w:tcW w:w="1276" w:type="dxa"/>
            <w:hideMark/>
          </w:tcPr>
          <w:p w14:paraId="0B0516CE" w14:textId="04365223" w:rsidR="00692C9F" w:rsidRPr="00874040" w:rsidRDefault="00B63671" w:rsidP="00874040">
            <w:r w:rsidRPr="00874040">
              <w:lastRenderedPageBreak/>
              <w:t>AS</w:t>
            </w:r>
            <w:r w:rsidR="00D455B5" w:rsidRPr="00874040">
              <w:t>2021-2</w:t>
            </w:r>
          </w:p>
        </w:tc>
        <w:tc>
          <w:tcPr>
            <w:tcW w:w="1446" w:type="dxa"/>
            <w:hideMark/>
          </w:tcPr>
          <w:p w14:paraId="5D48A032" w14:textId="1F350A07" w:rsidR="00692C9F" w:rsidRPr="00874040" w:rsidRDefault="00D455B5" w:rsidP="00874040">
            <w:r w:rsidRPr="00874040">
              <w:t>04/08/21</w:t>
            </w:r>
          </w:p>
        </w:tc>
        <w:tc>
          <w:tcPr>
            <w:tcW w:w="3374" w:type="dxa"/>
            <w:hideMark/>
          </w:tcPr>
          <w:p w14:paraId="46368351" w14:textId="70DCFB77" w:rsidR="00692C9F" w:rsidRPr="00874040" w:rsidRDefault="00FD6810" w:rsidP="00874040">
            <w:r w:rsidRPr="00874040">
              <w:t xml:space="preserve">Dairy protein products </w:t>
            </w:r>
            <w:r w:rsidR="00C27A62" w:rsidRPr="00874040">
              <w:t>utilising Whey</w:t>
            </w:r>
            <w:r w:rsidRPr="00874040">
              <w:t xml:space="preserve"> Protein can benefit from the Dairy Calculator as it’s a dairy based product. Th</w:t>
            </w:r>
            <w:r w:rsidR="00C27A62" w:rsidRPr="00874040">
              <w:t xml:space="preserve">is results in </w:t>
            </w:r>
            <w:r w:rsidRPr="00874040">
              <w:t xml:space="preserve">higher ratings compared to the </w:t>
            </w:r>
            <w:r w:rsidR="00C27A62" w:rsidRPr="00874040">
              <w:t>n</w:t>
            </w:r>
            <w:r w:rsidRPr="00874040">
              <w:t>on</w:t>
            </w:r>
            <w:r w:rsidR="00C27A62" w:rsidRPr="00874040">
              <w:t>-d</w:t>
            </w:r>
            <w:r w:rsidRPr="00874040">
              <w:t xml:space="preserve">airy </w:t>
            </w:r>
            <w:r w:rsidR="00C27A62" w:rsidRPr="00874040">
              <w:t>beverages calculator.</w:t>
            </w:r>
            <w:r w:rsidRPr="00874040">
              <w:t xml:space="preserve"> Non</w:t>
            </w:r>
            <w:r w:rsidR="00C27A62" w:rsidRPr="00874040">
              <w:t>-</w:t>
            </w:r>
            <w:r w:rsidRPr="00874040">
              <w:t xml:space="preserve">dairy protein should be reflected similarly. </w:t>
            </w:r>
          </w:p>
        </w:tc>
        <w:tc>
          <w:tcPr>
            <w:tcW w:w="1842" w:type="dxa"/>
            <w:hideMark/>
          </w:tcPr>
          <w:p w14:paraId="34589C82" w14:textId="45444270" w:rsidR="00692C9F" w:rsidRPr="00874040" w:rsidRDefault="00D455B5" w:rsidP="00874040">
            <w:r w:rsidRPr="00874040">
              <w:t>30/11/21</w:t>
            </w:r>
          </w:p>
        </w:tc>
        <w:tc>
          <w:tcPr>
            <w:tcW w:w="2265" w:type="dxa"/>
            <w:hideMark/>
          </w:tcPr>
          <w:p w14:paraId="4678F826" w14:textId="5D467DC8" w:rsidR="00692C9F" w:rsidRPr="0066512D" w:rsidRDefault="00D455B5" w:rsidP="0066512D">
            <w:pPr>
              <w:jc w:val="center"/>
              <w:rPr>
                <w:rStyle w:val="Strong"/>
              </w:rPr>
            </w:pPr>
            <w:r w:rsidRPr="0066512D">
              <w:rPr>
                <w:rStyle w:val="Strong"/>
              </w:rPr>
              <w:t>Rejected</w:t>
            </w:r>
          </w:p>
        </w:tc>
        <w:tc>
          <w:tcPr>
            <w:tcW w:w="3831" w:type="dxa"/>
            <w:hideMark/>
          </w:tcPr>
          <w:p w14:paraId="29D4AA3D" w14:textId="49F49CC4" w:rsidR="00692C9F" w:rsidRPr="00874040" w:rsidRDefault="00C27A62" w:rsidP="00874040">
            <w:r w:rsidRPr="00874040">
              <w:t>The p</w:t>
            </w:r>
            <w:r w:rsidR="00DF27C0" w:rsidRPr="00874040">
              <w:t>ea protein product</w:t>
            </w:r>
            <w:r w:rsidR="000B4F1B" w:rsidRPr="00874040">
              <w:t xml:space="preserve">s referenced in the submission </w:t>
            </w:r>
            <w:r w:rsidR="00DF27C0" w:rsidRPr="00874040">
              <w:t xml:space="preserve">do not </w:t>
            </w:r>
            <w:r w:rsidRPr="00874040">
              <w:t xml:space="preserve">appear to </w:t>
            </w:r>
            <w:r w:rsidR="00DF27C0" w:rsidRPr="00874040">
              <w:t xml:space="preserve">contain sufficient calcium required to be considered a Category 1D dairy beverage. </w:t>
            </w:r>
            <w:r w:rsidR="000B4F1B" w:rsidRPr="00874040">
              <w:t>Dairy beverage alternatives derived from legumes</w:t>
            </w:r>
            <w:r w:rsidRPr="00874040">
              <w:t xml:space="preserve"> </w:t>
            </w:r>
            <w:r w:rsidR="000B4F1B" w:rsidRPr="00874040">
              <w:t xml:space="preserve">are </w:t>
            </w:r>
            <w:r w:rsidR="00DF27C0" w:rsidRPr="00874040">
              <w:t xml:space="preserve">eligible for this category </w:t>
            </w:r>
            <w:r w:rsidR="000B4F1B" w:rsidRPr="00874040">
              <w:t>if</w:t>
            </w:r>
            <w:r w:rsidR="00DF27C0" w:rsidRPr="00874040">
              <w:t xml:space="preserve"> they contain at least 100mg calcium per 100ml</w:t>
            </w:r>
            <w:r w:rsidRPr="00874040">
              <w:t xml:space="preserve"> and contain no less than 3% m/m protein derived from that legume.</w:t>
            </w:r>
          </w:p>
        </w:tc>
        <w:tc>
          <w:tcPr>
            <w:tcW w:w="1559" w:type="dxa"/>
            <w:hideMark/>
          </w:tcPr>
          <w:p w14:paraId="5E93B73B" w14:textId="2265960C" w:rsidR="00692C9F" w:rsidRPr="00874040" w:rsidRDefault="00D455B5" w:rsidP="00874040">
            <w:r w:rsidRPr="00874040">
              <w:t>No further action.</w:t>
            </w:r>
          </w:p>
        </w:tc>
      </w:tr>
    </w:tbl>
    <w:p w14:paraId="51E538EA" w14:textId="77777777" w:rsidR="00B42851" w:rsidRPr="00E36D17" w:rsidRDefault="00B42851" w:rsidP="00E36D17"/>
    <w:sectPr w:rsidR="00B42851" w:rsidRPr="00E36D17" w:rsidSect="009B667E">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C2B28" w14:textId="77777777" w:rsidR="00E2303C" w:rsidRDefault="00E2303C" w:rsidP="00E905C0">
      <w:r>
        <w:separator/>
      </w:r>
    </w:p>
  </w:endnote>
  <w:endnote w:type="continuationSeparator" w:id="0">
    <w:p w14:paraId="69CFA5B2" w14:textId="77777777" w:rsidR="00E2303C" w:rsidRDefault="00E2303C" w:rsidP="00E9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7CDAB" w14:textId="77777777" w:rsidR="00E2303C" w:rsidRDefault="00E2303C" w:rsidP="00E905C0">
      <w:r>
        <w:separator/>
      </w:r>
    </w:p>
  </w:footnote>
  <w:footnote w:type="continuationSeparator" w:id="0">
    <w:p w14:paraId="67CCD72B" w14:textId="77777777" w:rsidR="00E2303C" w:rsidRDefault="00E2303C" w:rsidP="00E90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0C49C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10B39B8"/>
    <w:multiLevelType w:val="hybridMultilevel"/>
    <w:tmpl w:val="1B2E3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63351F"/>
    <w:multiLevelType w:val="hybridMultilevel"/>
    <w:tmpl w:val="A4E8E65E"/>
    <w:lvl w:ilvl="0" w:tplc="46E885DC">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6060545"/>
    <w:multiLevelType w:val="hybridMultilevel"/>
    <w:tmpl w:val="1E7E4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4996590">
    <w:abstractNumId w:val="2"/>
  </w:num>
  <w:num w:numId="2" w16cid:durableId="1560360761">
    <w:abstractNumId w:val="3"/>
  </w:num>
  <w:num w:numId="3" w16cid:durableId="1406486703">
    <w:abstractNumId w:val="1"/>
  </w:num>
  <w:num w:numId="4" w16cid:durableId="117476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9F"/>
    <w:rsid w:val="00035B9B"/>
    <w:rsid w:val="00035E59"/>
    <w:rsid w:val="00037D4F"/>
    <w:rsid w:val="00053F6B"/>
    <w:rsid w:val="00062517"/>
    <w:rsid w:val="00086F24"/>
    <w:rsid w:val="000A5EED"/>
    <w:rsid w:val="000A7EBB"/>
    <w:rsid w:val="000B4F1B"/>
    <w:rsid w:val="000B579F"/>
    <w:rsid w:val="000D4866"/>
    <w:rsid w:val="000D4FA6"/>
    <w:rsid w:val="000E6F04"/>
    <w:rsid w:val="000E79BD"/>
    <w:rsid w:val="00105CAB"/>
    <w:rsid w:val="0011493C"/>
    <w:rsid w:val="00123E19"/>
    <w:rsid w:val="001277D5"/>
    <w:rsid w:val="00131BBB"/>
    <w:rsid w:val="00131E9E"/>
    <w:rsid w:val="00132D70"/>
    <w:rsid w:val="0018556A"/>
    <w:rsid w:val="0019560D"/>
    <w:rsid w:val="001A7FCB"/>
    <w:rsid w:val="001B3443"/>
    <w:rsid w:val="001C4A51"/>
    <w:rsid w:val="001D147C"/>
    <w:rsid w:val="001E3E11"/>
    <w:rsid w:val="001F0546"/>
    <w:rsid w:val="001F2F31"/>
    <w:rsid w:val="001F4171"/>
    <w:rsid w:val="0020028D"/>
    <w:rsid w:val="00207A1D"/>
    <w:rsid w:val="00225558"/>
    <w:rsid w:val="002271CB"/>
    <w:rsid w:val="00255005"/>
    <w:rsid w:val="00273E20"/>
    <w:rsid w:val="00273E99"/>
    <w:rsid w:val="002802C6"/>
    <w:rsid w:val="00284E59"/>
    <w:rsid w:val="0029696E"/>
    <w:rsid w:val="002A2DEA"/>
    <w:rsid w:val="002D3DCF"/>
    <w:rsid w:val="00300F86"/>
    <w:rsid w:val="0030786C"/>
    <w:rsid w:val="003268F0"/>
    <w:rsid w:val="00335E98"/>
    <w:rsid w:val="00337D0F"/>
    <w:rsid w:val="0034439B"/>
    <w:rsid w:val="0037539A"/>
    <w:rsid w:val="00392FA8"/>
    <w:rsid w:val="003A3FFE"/>
    <w:rsid w:val="003B08E9"/>
    <w:rsid w:val="003B3080"/>
    <w:rsid w:val="003B333A"/>
    <w:rsid w:val="003B34BB"/>
    <w:rsid w:val="003B43E1"/>
    <w:rsid w:val="003D2516"/>
    <w:rsid w:val="003D4499"/>
    <w:rsid w:val="003D5536"/>
    <w:rsid w:val="003D6A9C"/>
    <w:rsid w:val="003E1E44"/>
    <w:rsid w:val="003F0B62"/>
    <w:rsid w:val="004033BA"/>
    <w:rsid w:val="00403DE9"/>
    <w:rsid w:val="00406EFF"/>
    <w:rsid w:val="0041396B"/>
    <w:rsid w:val="004418A5"/>
    <w:rsid w:val="00463343"/>
    <w:rsid w:val="004668A6"/>
    <w:rsid w:val="004731B4"/>
    <w:rsid w:val="00476FF9"/>
    <w:rsid w:val="004867E2"/>
    <w:rsid w:val="004B0076"/>
    <w:rsid w:val="004C0A1D"/>
    <w:rsid w:val="004D1876"/>
    <w:rsid w:val="004D4C0A"/>
    <w:rsid w:val="004E69C5"/>
    <w:rsid w:val="004F3D5B"/>
    <w:rsid w:val="00505FDA"/>
    <w:rsid w:val="0050615F"/>
    <w:rsid w:val="0051579B"/>
    <w:rsid w:val="00520CE3"/>
    <w:rsid w:val="00540077"/>
    <w:rsid w:val="005746C8"/>
    <w:rsid w:val="005858AB"/>
    <w:rsid w:val="005A2FAE"/>
    <w:rsid w:val="005A43EE"/>
    <w:rsid w:val="005A6F1C"/>
    <w:rsid w:val="005D6BA1"/>
    <w:rsid w:val="005F4D29"/>
    <w:rsid w:val="00640094"/>
    <w:rsid w:val="00641A90"/>
    <w:rsid w:val="00642194"/>
    <w:rsid w:val="006607FE"/>
    <w:rsid w:val="0066512D"/>
    <w:rsid w:val="00673144"/>
    <w:rsid w:val="00681A9F"/>
    <w:rsid w:val="00692C9F"/>
    <w:rsid w:val="00695DE3"/>
    <w:rsid w:val="006A3DD6"/>
    <w:rsid w:val="006B61F8"/>
    <w:rsid w:val="006D65C4"/>
    <w:rsid w:val="0071797E"/>
    <w:rsid w:val="00727AC2"/>
    <w:rsid w:val="0076366E"/>
    <w:rsid w:val="007654EF"/>
    <w:rsid w:val="00775F1D"/>
    <w:rsid w:val="007A2EF4"/>
    <w:rsid w:val="007A783F"/>
    <w:rsid w:val="007B11C8"/>
    <w:rsid w:val="007B223A"/>
    <w:rsid w:val="007C22EF"/>
    <w:rsid w:val="00802767"/>
    <w:rsid w:val="00807F69"/>
    <w:rsid w:val="008264EB"/>
    <w:rsid w:val="00833B45"/>
    <w:rsid w:val="00835975"/>
    <w:rsid w:val="008553D2"/>
    <w:rsid w:val="0086203A"/>
    <w:rsid w:val="00873C66"/>
    <w:rsid w:val="00874040"/>
    <w:rsid w:val="00877A53"/>
    <w:rsid w:val="008853E3"/>
    <w:rsid w:val="008C5AA1"/>
    <w:rsid w:val="008C5B94"/>
    <w:rsid w:val="008D137F"/>
    <w:rsid w:val="008D75F5"/>
    <w:rsid w:val="008E7095"/>
    <w:rsid w:val="008F44F6"/>
    <w:rsid w:val="0090422D"/>
    <w:rsid w:val="00936FFD"/>
    <w:rsid w:val="0098163B"/>
    <w:rsid w:val="0099209A"/>
    <w:rsid w:val="009B667E"/>
    <w:rsid w:val="009D5B24"/>
    <w:rsid w:val="009E1112"/>
    <w:rsid w:val="009F3B23"/>
    <w:rsid w:val="00A11123"/>
    <w:rsid w:val="00A22FFB"/>
    <w:rsid w:val="00A26F0D"/>
    <w:rsid w:val="00AA2786"/>
    <w:rsid w:val="00AB12D4"/>
    <w:rsid w:val="00AC2BD3"/>
    <w:rsid w:val="00AC5ABF"/>
    <w:rsid w:val="00AC6805"/>
    <w:rsid w:val="00AE02CF"/>
    <w:rsid w:val="00AE7473"/>
    <w:rsid w:val="00AF4FAD"/>
    <w:rsid w:val="00B24A3D"/>
    <w:rsid w:val="00B24D6C"/>
    <w:rsid w:val="00B32F63"/>
    <w:rsid w:val="00B3505F"/>
    <w:rsid w:val="00B41508"/>
    <w:rsid w:val="00B42851"/>
    <w:rsid w:val="00B63671"/>
    <w:rsid w:val="00B66E1B"/>
    <w:rsid w:val="00B94282"/>
    <w:rsid w:val="00BA11AA"/>
    <w:rsid w:val="00BD0BE0"/>
    <w:rsid w:val="00BE3EBA"/>
    <w:rsid w:val="00BF3424"/>
    <w:rsid w:val="00BF5DE9"/>
    <w:rsid w:val="00C04669"/>
    <w:rsid w:val="00C06005"/>
    <w:rsid w:val="00C151F6"/>
    <w:rsid w:val="00C2224E"/>
    <w:rsid w:val="00C26714"/>
    <w:rsid w:val="00C27A62"/>
    <w:rsid w:val="00C425B0"/>
    <w:rsid w:val="00C46F31"/>
    <w:rsid w:val="00C94F13"/>
    <w:rsid w:val="00C96414"/>
    <w:rsid w:val="00CA02CC"/>
    <w:rsid w:val="00CB5B1A"/>
    <w:rsid w:val="00CB6996"/>
    <w:rsid w:val="00CC3523"/>
    <w:rsid w:val="00CD4AA9"/>
    <w:rsid w:val="00D01CB7"/>
    <w:rsid w:val="00D0561D"/>
    <w:rsid w:val="00D16E6D"/>
    <w:rsid w:val="00D20906"/>
    <w:rsid w:val="00D37696"/>
    <w:rsid w:val="00D37DDB"/>
    <w:rsid w:val="00D455B5"/>
    <w:rsid w:val="00D61A40"/>
    <w:rsid w:val="00D763DD"/>
    <w:rsid w:val="00D86AD5"/>
    <w:rsid w:val="00DC345E"/>
    <w:rsid w:val="00DD6139"/>
    <w:rsid w:val="00DE0AB9"/>
    <w:rsid w:val="00DE7800"/>
    <w:rsid w:val="00DF27C0"/>
    <w:rsid w:val="00E12476"/>
    <w:rsid w:val="00E2303C"/>
    <w:rsid w:val="00E27AEA"/>
    <w:rsid w:val="00E36D17"/>
    <w:rsid w:val="00E42829"/>
    <w:rsid w:val="00E905C0"/>
    <w:rsid w:val="00EA137D"/>
    <w:rsid w:val="00EA40FD"/>
    <w:rsid w:val="00EA5B26"/>
    <w:rsid w:val="00EF2970"/>
    <w:rsid w:val="00F07B9E"/>
    <w:rsid w:val="00F2262F"/>
    <w:rsid w:val="00F35277"/>
    <w:rsid w:val="00F43FBE"/>
    <w:rsid w:val="00F50AA8"/>
    <w:rsid w:val="00F558F2"/>
    <w:rsid w:val="00F63C90"/>
    <w:rsid w:val="00F928B7"/>
    <w:rsid w:val="00F9737B"/>
    <w:rsid w:val="00FA16CE"/>
    <w:rsid w:val="00FD1A29"/>
    <w:rsid w:val="00FD6810"/>
    <w:rsid w:val="00FF26DF"/>
    <w:rsid w:val="078CFEAE"/>
    <w:rsid w:val="0C98EC9B"/>
    <w:rsid w:val="14D50E89"/>
    <w:rsid w:val="1725E08D"/>
    <w:rsid w:val="1BE506DE"/>
    <w:rsid w:val="246A4BBA"/>
    <w:rsid w:val="28933339"/>
    <w:rsid w:val="3F430067"/>
    <w:rsid w:val="3F58EBEF"/>
    <w:rsid w:val="4099B46A"/>
    <w:rsid w:val="5FC07250"/>
    <w:rsid w:val="63955D80"/>
    <w:rsid w:val="63B9A88F"/>
    <w:rsid w:val="64BA893A"/>
    <w:rsid w:val="65B5B787"/>
    <w:rsid w:val="6B1F788D"/>
    <w:rsid w:val="6D9D9A23"/>
    <w:rsid w:val="72080BF1"/>
    <w:rsid w:val="723B689B"/>
    <w:rsid w:val="7BCA6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94710"/>
  <w15:docId w15:val="{85CF481A-128B-4802-9238-5D45D00D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040"/>
    <w:rPr>
      <w:rFonts w:asciiTheme="minorHAnsi" w:hAnsiTheme="minorHAnsi"/>
      <w:sz w:val="22"/>
      <w:szCs w:val="24"/>
      <w:lang w:val="en-US" w:eastAsia="en-US"/>
    </w:rPr>
  </w:style>
  <w:style w:type="paragraph" w:styleId="Heading1">
    <w:name w:val="heading 1"/>
    <w:basedOn w:val="Normal"/>
    <w:next w:val="Normal"/>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740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2C9F"/>
    <w:rPr>
      <w:rFonts w:cs="Arial"/>
      <w:b/>
      <w:bCs/>
      <w:sz w:val="26"/>
      <w:szCs w:val="26"/>
      <w:lang w:val="en-US" w:eastAsia="en-US"/>
    </w:rPr>
  </w:style>
  <w:style w:type="paragraph" w:customStyle="1" w:styleId="FRSCHeading">
    <w:name w:val="FRSC Heading"/>
    <w:basedOn w:val="Normal"/>
    <w:uiPriority w:val="99"/>
    <w:rsid w:val="00692C9F"/>
    <w:pPr>
      <w:jc w:val="center"/>
    </w:pPr>
    <w:rPr>
      <w:b/>
      <w:bCs/>
      <w:lang w:val="en-AU" w:eastAsia="en-AU"/>
    </w:rPr>
  </w:style>
  <w:style w:type="paragraph" w:styleId="Header">
    <w:name w:val="header"/>
    <w:basedOn w:val="Normal"/>
    <w:link w:val="HeaderChar"/>
    <w:uiPriority w:val="99"/>
    <w:rsid w:val="00E905C0"/>
    <w:pPr>
      <w:tabs>
        <w:tab w:val="center" w:pos="4513"/>
        <w:tab w:val="right" w:pos="9026"/>
      </w:tabs>
    </w:pPr>
  </w:style>
  <w:style w:type="character" w:customStyle="1" w:styleId="HeaderChar">
    <w:name w:val="Header Char"/>
    <w:basedOn w:val="DefaultParagraphFont"/>
    <w:link w:val="Header"/>
    <w:uiPriority w:val="99"/>
    <w:rsid w:val="00E905C0"/>
    <w:rPr>
      <w:sz w:val="24"/>
      <w:szCs w:val="24"/>
      <w:lang w:val="en-US" w:eastAsia="en-US"/>
    </w:rPr>
  </w:style>
  <w:style w:type="paragraph" w:styleId="Footer">
    <w:name w:val="footer"/>
    <w:basedOn w:val="Normal"/>
    <w:link w:val="FooterChar"/>
    <w:uiPriority w:val="99"/>
    <w:rsid w:val="00E905C0"/>
    <w:pPr>
      <w:tabs>
        <w:tab w:val="center" w:pos="4513"/>
        <w:tab w:val="right" w:pos="9026"/>
      </w:tabs>
    </w:pPr>
  </w:style>
  <w:style w:type="character" w:customStyle="1" w:styleId="FooterChar">
    <w:name w:val="Footer Char"/>
    <w:basedOn w:val="DefaultParagraphFont"/>
    <w:link w:val="Footer"/>
    <w:uiPriority w:val="99"/>
    <w:rsid w:val="00E905C0"/>
    <w:rPr>
      <w:sz w:val="24"/>
      <w:szCs w:val="24"/>
      <w:lang w:val="en-US" w:eastAsia="en-US"/>
    </w:rPr>
  </w:style>
  <w:style w:type="paragraph" w:styleId="BalloonText">
    <w:name w:val="Balloon Text"/>
    <w:basedOn w:val="Normal"/>
    <w:link w:val="BalloonTextChar"/>
    <w:rsid w:val="00E905C0"/>
    <w:rPr>
      <w:rFonts w:ascii="Tahoma" w:hAnsi="Tahoma" w:cs="Tahoma"/>
      <w:sz w:val="16"/>
      <w:szCs w:val="16"/>
    </w:rPr>
  </w:style>
  <w:style w:type="character" w:customStyle="1" w:styleId="BalloonTextChar">
    <w:name w:val="Balloon Text Char"/>
    <w:basedOn w:val="DefaultParagraphFont"/>
    <w:link w:val="BalloonText"/>
    <w:rsid w:val="00E905C0"/>
    <w:rPr>
      <w:rFonts w:ascii="Tahoma" w:hAnsi="Tahoma" w:cs="Tahoma"/>
      <w:sz w:val="16"/>
      <w:szCs w:val="16"/>
      <w:lang w:val="en-US" w:eastAsia="en-US"/>
    </w:rPr>
  </w:style>
  <w:style w:type="paragraph" w:styleId="ListParagraph">
    <w:name w:val="List Paragraph"/>
    <w:basedOn w:val="Normal"/>
    <w:uiPriority w:val="34"/>
    <w:qFormat/>
    <w:rsid w:val="00B94282"/>
    <w:pPr>
      <w:ind w:left="720"/>
      <w:contextualSpacing/>
    </w:pPr>
  </w:style>
  <w:style w:type="character" w:styleId="CommentReference">
    <w:name w:val="annotation reference"/>
    <w:basedOn w:val="DefaultParagraphFont"/>
    <w:rsid w:val="00EA5B26"/>
    <w:rPr>
      <w:sz w:val="16"/>
      <w:szCs w:val="16"/>
    </w:rPr>
  </w:style>
  <w:style w:type="paragraph" w:styleId="CommentText">
    <w:name w:val="annotation text"/>
    <w:basedOn w:val="Normal"/>
    <w:link w:val="CommentTextChar"/>
    <w:rsid w:val="00EA5B26"/>
    <w:rPr>
      <w:sz w:val="20"/>
      <w:szCs w:val="20"/>
    </w:rPr>
  </w:style>
  <w:style w:type="character" w:customStyle="1" w:styleId="CommentTextChar">
    <w:name w:val="Comment Text Char"/>
    <w:basedOn w:val="DefaultParagraphFont"/>
    <w:link w:val="CommentText"/>
    <w:rsid w:val="00EA5B26"/>
    <w:rPr>
      <w:lang w:val="en-US" w:eastAsia="en-US"/>
    </w:rPr>
  </w:style>
  <w:style w:type="paragraph" w:styleId="CommentSubject">
    <w:name w:val="annotation subject"/>
    <w:basedOn w:val="CommentText"/>
    <w:next w:val="CommentText"/>
    <w:link w:val="CommentSubjectChar"/>
    <w:rsid w:val="00EA5B26"/>
    <w:rPr>
      <w:b/>
      <w:bCs/>
    </w:rPr>
  </w:style>
  <w:style w:type="character" w:customStyle="1" w:styleId="CommentSubjectChar">
    <w:name w:val="Comment Subject Char"/>
    <w:basedOn w:val="CommentTextChar"/>
    <w:link w:val="CommentSubject"/>
    <w:rsid w:val="00EA5B26"/>
    <w:rPr>
      <w:b/>
      <w:bCs/>
      <w:lang w:val="en-US" w:eastAsia="en-US"/>
    </w:rPr>
  </w:style>
  <w:style w:type="paragraph" w:customStyle="1" w:styleId="paragraph">
    <w:name w:val="paragraph"/>
    <w:basedOn w:val="Normal"/>
    <w:rsid w:val="00DD6139"/>
    <w:pPr>
      <w:spacing w:before="100" w:beforeAutospacing="1" w:after="100" w:afterAutospacing="1"/>
    </w:pPr>
    <w:rPr>
      <w:lang w:val="en-AU" w:eastAsia="en-AU"/>
    </w:rPr>
  </w:style>
  <w:style w:type="character" w:customStyle="1" w:styleId="normaltextrun">
    <w:name w:val="normaltextrun"/>
    <w:basedOn w:val="DefaultParagraphFont"/>
    <w:rsid w:val="00DD6139"/>
  </w:style>
  <w:style w:type="character" w:customStyle="1" w:styleId="eop">
    <w:name w:val="eop"/>
    <w:basedOn w:val="DefaultParagraphFont"/>
    <w:rsid w:val="00DD6139"/>
  </w:style>
  <w:style w:type="paragraph" w:styleId="ListBullet">
    <w:name w:val="List Bullet"/>
    <w:basedOn w:val="Normal"/>
    <w:unhideWhenUsed/>
    <w:rsid w:val="00874040"/>
    <w:pPr>
      <w:numPr>
        <w:numId w:val="4"/>
      </w:numPr>
      <w:spacing w:after="120"/>
      <w:ind w:left="357" w:hanging="357"/>
    </w:pPr>
  </w:style>
  <w:style w:type="character" w:styleId="Strong">
    <w:name w:val="Strong"/>
    <w:basedOn w:val="DefaultParagraphFont"/>
    <w:qFormat/>
    <w:rsid w:val="00874040"/>
    <w:rPr>
      <w:b/>
      <w:bCs/>
    </w:rPr>
  </w:style>
  <w:style w:type="table" w:styleId="TableGrid">
    <w:name w:val="Table Grid"/>
    <w:basedOn w:val="TableNormal"/>
    <w:rsid w:val="0087404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450900">
      <w:bodyDiv w:val="1"/>
      <w:marLeft w:val="0"/>
      <w:marRight w:val="0"/>
      <w:marTop w:val="0"/>
      <w:marBottom w:val="0"/>
      <w:divBdr>
        <w:top w:val="none" w:sz="0" w:space="0" w:color="auto"/>
        <w:left w:val="none" w:sz="0" w:space="0" w:color="auto"/>
        <w:bottom w:val="none" w:sz="0" w:space="0" w:color="auto"/>
        <w:right w:val="none" w:sz="0" w:space="0" w:color="auto"/>
      </w:divBdr>
    </w:div>
    <w:div w:id="1732344798">
      <w:bodyDiv w:val="1"/>
      <w:marLeft w:val="0"/>
      <w:marRight w:val="0"/>
      <w:marTop w:val="0"/>
      <w:marBottom w:val="0"/>
      <w:divBdr>
        <w:top w:val="none" w:sz="0" w:space="0" w:color="auto"/>
        <w:left w:val="none" w:sz="0" w:space="0" w:color="auto"/>
        <w:bottom w:val="none" w:sz="0" w:space="0" w:color="auto"/>
        <w:right w:val="none" w:sz="0" w:space="0" w:color="auto"/>
      </w:divBdr>
    </w:div>
    <w:div w:id="1805805454">
      <w:bodyDiv w:val="1"/>
      <w:marLeft w:val="0"/>
      <w:marRight w:val="0"/>
      <w:marTop w:val="0"/>
      <w:marBottom w:val="0"/>
      <w:divBdr>
        <w:top w:val="none" w:sz="0" w:space="0" w:color="auto"/>
        <w:left w:val="none" w:sz="0" w:space="0" w:color="auto"/>
        <w:bottom w:val="none" w:sz="0" w:space="0" w:color="auto"/>
        <w:right w:val="none" w:sz="0" w:space="0" w:color="auto"/>
      </w:divBdr>
      <w:divsChild>
        <w:div w:id="345522264">
          <w:marLeft w:val="0"/>
          <w:marRight w:val="0"/>
          <w:marTop w:val="0"/>
          <w:marBottom w:val="0"/>
          <w:divBdr>
            <w:top w:val="none" w:sz="0" w:space="0" w:color="auto"/>
            <w:left w:val="none" w:sz="0" w:space="0" w:color="auto"/>
            <w:bottom w:val="none" w:sz="0" w:space="0" w:color="auto"/>
            <w:right w:val="none" w:sz="0" w:space="0" w:color="auto"/>
          </w:divBdr>
        </w:div>
        <w:div w:id="17924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66aa01-0ab0-4f9f-8965-639376a97469">
      <Terms xmlns="http://schemas.microsoft.com/office/infopath/2007/PartnerControls"/>
    </lcf76f155ced4ddcb4097134ff3c332f>
    <TaxCatchAll xmlns="5407af2e-3f9a-4cec-a92d-e1072daaff0d" xsi:nil="true"/>
    <Preview xmlns="2b66aa01-0ab0-4f9f-8965-639376a9746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5934C1D747641BB41D14BD017123F" ma:contentTypeVersion="17" ma:contentTypeDescription="Create a new document." ma:contentTypeScope="" ma:versionID="b1eb52901e25f8f7c5a5502238958216">
  <xsd:schema xmlns:xsd="http://www.w3.org/2001/XMLSchema" xmlns:xs="http://www.w3.org/2001/XMLSchema" xmlns:p="http://schemas.microsoft.com/office/2006/metadata/properties" xmlns:ns2="2b66aa01-0ab0-4f9f-8965-639376a97469" xmlns:ns3="5407af2e-3f9a-4cec-a92d-e1072daaff0d" targetNamespace="http://schemas.microsoft.com/office/2006/metadata/properties" ma:root="true" ma:fieldsID="868b97b2e08b16c9065a4e9d10635ecb" ns2:_="" ns3:_="">
    <xsd:import namespace="2b66aa01-0ab0-4f9f-8965-639376a97469"/>
    <xsd:import namespace="5407af2e-3f9a-4cec-a92d-e1072daaff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Preview"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6aa01-0ab0-4f9f-8965-639376a97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Preview" ma:index="15" nillable="true" ma:displayName="Preview" ma:format="Thumbnail" ma:internalName="Preview">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7af2e-3f9a-4cec-a92d-e1072daaff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c5bc378-ef43-4c28-871c-088455ddca57}" ma:internalName="TaxCatchAll" ma:showField="CatchAllData" ma:web="5407af2e-3f9a-4cec-a92d-e1072daaf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5C554-77F4-4E5D-A168-EB02962BF42D}">
  <ds:schemaRefs>
    <ds:schemaRef ds:uri="http://schemas.microsoft.com/office/2006/metadata/properties"/>
    <ds:schemaRef ds:uri="http://schemas.microsoft.com/office/infopath/2007/PartnerControls"/>
    <ds:schemaRef ds:uri="2b66aa01-0ab0-4f9f-8965-639376a97469"/>
    <ds:schemaRef ds:uri="5407af2e-3f9a-4cec-a92d-e1072daaff0d"/>
  </ds:schemaRefs>
</ds:datastoreItem>
</file>

<file path=customXml/itemProps2.xml><?xml version="1.0" encoding="utf-8"?>
<ds:datastoreItem xmlns:ds="http://schemas.openxmlformats.org/officeDocument/2006/customXml" ds:itemID="{2756BADA-3015-440D-9F22-359B08E372A8}">
  <ds:schemaRefs>
    <ds:schemaRef ds:uri="http://schemas.openxmlformats.org/officeDocument/2006/bibliography"/>
  </ds:schemaRefs>
</ds:datastoreItem>
</file>

<file path=customXml/itemProps3.xml><?xml version="1.0" encoding="utf-8"?>
<ds:datastoreItem xmlns:ds="http://schemas.openxmlformats.org/officeDocument/2006/customXml" ds:itemID="{68697276-A2F6-4910-A59C-2AD52B1D9544}">
  <ds:schemaRefs>
    <ds:schemaRef ds:uri="http://schemas.microsoft.com/sharepoint/v3/contenttype/forms"/>
  </ds:schemaRefs>
</ds:datastoreItem>
</file>

<file path=customXml/itemProps4.xml><?xml version="1.0" encoding="utf-8"?>
<ds:datastoreItem xmlns:ds="http://schemas.openxmlformats.org/officeDocument/2006/customXml" ds:itemID="{953F43EF-6513-46BE-A9F6-2B04AF7D1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6aa01-0ab0-4f9f-8965-639376a97469"/>
    <ds:schemaRef ds:uri="5407af2e-3f9a-4cec-a92d-e1072daaf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4009</Characters>
  <Application>Microsoft Office Word</Application>
  <DocSecurity>0</DocSecurity>
  <Lines>87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Star Rating Advisory Committee (HSRAC)</dc:title>
  <dc:subject>Health Star Rating</dc:subject>
  <dc:creator>Australian Government Department of Health and Aged Care</dc:creator>
  <cp:lastModifiedBy>BLADES, Jessica</cp:lastModifiedBy>
  <cp:revision>2</cp:revision>
  <cp:lastPrinted>2015-03-23T04:07:00Z</cp:lastPrinted>
  <dcterms:created xsi:type="dcterms:W3CDTF">2024-12-02T03:52:00Z</dcterms:created>
  <dcterms:modified xsi:type="dcterms:W3CDTF">2024-12-02T03:52:00Z</dcterms:modified>
</cp:coreProperties>
</file>