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Title_Page"/>
    <w:p w14:paraId="64285713" w14:textId="7FD9D50A" w:rsidR="00C41380" w:rsidRPr="00CC1ADD" w:rsidRDefault="00B33EE3" w:rsidP="005A25A2">
      <w:r w:rsidRPr="00CC1ADD">
        <w:rPr>
          <w:noProof/>
          <w:lang w:eastAsia="en-AU"/>
        </w:rPr>
        <mc:AlternateContent>
          <mc:Choice Requires="wps">
            <w:drawing>
              <wp:anchor distT="0" distB="0" distL="114300" distR="114300" simplePos="0" relativeHeight="251659264" behindDoc="1" locked="0" layoutInCell="1" allowOverlap="1" wp14:anchorId="62CEE661" wp14:editId="6FBBE5C3">
                <wp:simplePos x="0" y="0"/>
                <wp:positionH relativeFrom="column">
                  <wp:posOffset>-298450</wp:posOffset>
                </wp:positionH>
                <wp:positionV relativeFrom="paragraph">
                  <wp:posOffset>-541020</wp:posOffset>
                </wp:positionV>
                <wp:extent cx="6782435" cy="9946640"/>
                <wp:effectExtent l="0" t="0" r="0" b="10160"/>
                <wp:wrapNone/>
                <wp:docPr id="1" name="Rounded 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82435" cy="9946640"/>
                        </a:xfrm>
                        <a:prstGeom prst="roundRect">
                          <a:avLst>
                            <a:gd name="adj" fmla="val 4981"/>
                          </a:avLst>
                        </a:prstGeom>
                        <a:solidFill>
                          <a:srgbClr val="516A8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748895" id="Rounded Rectangle 1" o:spid="_x0000_s1026" style="position:absolute;margin-left:-23.5pt;margin-top:-42.6pt;width:534.05pt;height:783.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" fillcolor="#516a8e" stroked="f" strokeweight="1pt">
                <v:stroke joinstyle="miter"/>
              </v:roundrect>
            </w:pict>
          </mc:Fallback>
        </mc:AlternateContent>
      </w:r>
      <w:bookmarkEnd w:id="0"/>
      <w:r w:rsidR="00C41380" w:rsidRPr="00CC1ADD">
        <w:rPr>
          <w:noProof/>
          <w:lang w:eastAsia="en-AU"/>
        </w:rPr>
        <mc:AlternateContent>
          <mc:Choice Requires="wpg">
            <w:drawing>
              <wp:anchor distT="0" distB="0" distL="114300" distR="114300" simplePos="0" relativeHeight="251655168" behindDoc="0" locked="0" layoutInCell="1" allowOverlap="1" wp14:anchorId="00CCC42C" wp14:editId="166A4F85">
                <wp:simplePos x="0" y="0"/>
                <wp:positionH relativeFrom="column">
                  <wp:posOffset>4629150</wp:posOffset>
                </wp:positionH>
                <wp:positionV relativeFrom="paragraph">
                  <wp:posOffset>-4898390</wp:posOffset>
                </wp:positionV>
                <wp:extent cx="1819275" cy="771525"/>
                <wp:effectExtent l="6350" t="3810" r="3175" b="0"/>
                <wp:wrapNone/>
                <wp:docPr id="18" name="Group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19" name="Text Box 19"/>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C31B9" w14:textId="77777777" w:rsidR="00E254FE" w:rsidRDefault="00E254FE" w:rsidP="00C41380">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0" name="AutoShape 6"/>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21" name="Text Box 21"/>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63272" w14:textId="77777777" w:rsidR="00E254FE" w:rsidRDefault="00E254FE" w:rsidP="00C41380">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CCC42C" id="Group 18" o:spid="_x0000_s1026" style="position:absolute;margin-left:364.5pt;margin-top:-385.7pt;width:143.25pt;height:60.75pt;z-index:251655168" coordorigin="8895,1230" coordsize="286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">
                <v:shapetype id="_x0000_t202" coordsize="21600,21600" o:spt="202" path="m,l,21600r21600,l21600,xe">
                  <v:stroke joinstyle="miter"/>
                  <v:path gradientshapeok="t" o:connecttype="rect"/>
                </v:shapetype>
                <v:shape id="Text Box 19" o:spid="_x0000_s1027" type="#_x0000_t202" style="position:absolute;left:10290;top:1230;width:147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" filled="f" stroked="f">
                  <v:textbox>
                    <w:txbxContent>
                      <w:p w14:paraId="705C31B9" w14:textId="77777777" w:rsidR="00E254FE" w:rsidRDefault="00E254FE" w:rsidP="00C41380">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6" o:spid="_x0000_s1028" type="#_x0000_t32" style="position:absolute;left:10290;top:1590;width:0;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" strokecolor="white" strokeweight="1.5pt"/>
                <v:shape id="Text Box 21" o:spid="_x0000_s1029" type="#_x0000_t202" style="position:absolute;left:8895;top:1455;width:13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" filled="f" stroked="f">
                  <v:textbox>
                    <w:txbxContent>
                      <w:p w14:paraId="59F63272" w14:textId="77777777" w:rsidR="00E254FE" w:rsidRDefault="00E254FE" w:rsidP="00C41380">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73FBE2B7" w14:textId="77777777" w:rsidR="006D7CDB" w:rsidRDefault="006D7CDB" w:rsidP="005A25A2">
      <w:pPr>
        <w:pStyle w:val="mpctitle1"/>
        <w:spacing w:before="1440"/>
        <w:rPr>
          <w:lang w:val="en-AU"/>
        </w:rPr>
      </w:pPr>
      <w:bookmarkStart w:id="1" w:name="_Toc438649428"/>
    </w:p>
    <w:p w14:paraId="03754E0C" w14:textId="67D1BAE5" w:rsidR="001220E4" w:rsidRPr="00CC1ADD" w:rsidRDefault="001220E4" w:rsidP="005A25A2">
      <w:pPr>
        <w:pStyle w:val="mpctitle1"/>
        <w:spacing w:before="1440"/>
        <w:rPr>
          <w:b/>
          <w:lang w:val="en-AU"/>
        </w:rPr>
      </w:pPr>
      <w:r w:rsidRPr="00CC1ADD">
        <w:rPr>
          <w:lang w:val="en-AU"/>
        </w:rPr>
        <w:t>Health Star Rating System</w:t>
      </w:r>
    </w:p>
    <w:p w14:paraId="463FCB92" w14:textId="77777777" w:rsidR="001220E4" w:rsidRPr="00CC1ADD" w:rsidRDefault="001220E4" w:rsidP="005A25A2">
      <w:pPr>
        <w:pStyle w:val="mpctitle1"/>
        <w:rPr>
          <w:b/>
          <w:lang w:val="en-AU"/>
        </w:rPr>
      </w:pPr>
      <w:r w:rsidRPr="00CC1ADD">
        <w:rPr>
          <w:lang w:val="en-AU"/>
        </w:rPr>
        <w:t>Five Year Review Report</w:t>
      </w:r>
    </w:p>
    <w:p w14:paraId="18717622" w14:textId="564673B5" w:rsidR="001220E4" w:rsidRPr="00CC1ADD" w:rsidRDefault="001220E4" w:rsidP="00B06350">
      <w:pPr>
        <w:pStyle w:val="mpctitle2"/>
        <w:spacing w:line="240" w:lineRule="auto"/>
        <w:rPr>
          <w:lang w:val="en-AU"/>
        </w:rPr>
      </w:pPr>
      <w:r w:rsidRPr="00CC1ADD">
        <w:rPr>
          <w:lang w:val="en-AU"/>
        </w:rPr>
        <w:br/>
      </w:r>
      <w:r w:rsidR="006D7CDB">
        <w:rPr>
          <w:lang w:val="en-AU"/>
        </w:rPr>
        <w:t>May</w:t>
      </w:r>
      <w:r w:rsidR="00862FD6" w:rsidRPr="00CC1ADD">
        <w:rPr>
          <w:lang w:val="en-AU"/>
        </w:rPr>
        <w:t xml:space="preserve"> </w:t>
      </w:r>
      <w:bookmarkEnd w:id="1"/>
      <w:r w:rsidR="00CE34EA" w:rsidRPr="00CC1ADD">
        <w:rPr>
          <w:lang w:val="en-AU"/>
        </w:rPr>
        <w:t>2019</w:t>
      </w:r>
    </w:p>
    <w:p w14:paraId="728C35BA" w14:textId="07F62280" w:rsidR="001220E4" w:rsidRPr="00CC1ADD" w:rsidRDefault="001220E4" w:rsidP="005A3631">
      <w:pPr>
        <w:ind w:left="284"/>
        <w:rPr>
          <w:lang w:eastAsia="ja-JP"/>
        </w:rPr>
      </w:pPr>
      <w:r w:rsidRPr="00CC1ADD">
        <w:rPr>
          <w:noProof/>
          <w:lang w:eastAsia="en-AU"/>
        </w:rPr>
        <w:drawing>
          <wp:inline distT="0" distB="0" distL="0" distR="0" wp14:anchorId="08964904" wp14:editId="07796787">
            <wp:extent cx="2223135" cy="389652"/>
            <wp:effectExtent l="0" t="0" r="0" b="0"/>
            <wp:docPr id="6" name="Picture 6" descr="mpconsulting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pc-logo-white.png"/>
                    <pic:cNvPicPr/>
                  </pic:nvPicPr>
                  <pic:blipFill>
                    <a:blip r:embed="rId8" cstate="email">
                      <a:extLst>
                        <a:ext uri="{28A0092B-C50C-407E-A947-70E740481C1C}">
                          <a14:useLocalDpi xmlns:a14="http://schemas.microsoft.com/office/drawing/2010/main"/>
                        </a:ext>
                      </a:extLst>
                    </a:blip>
                    <a:stretch>
                      <a:fillRect/>
                    </a:stretch>
                  </pic:blipFill>
                  <pic:spPr>
                    <a:xfrm>
                      <a:off x="0" y="0"/>
                      <a:ext cx="2223135" cy="389652"/>
                    </a:xfrm>
                    <a:prstGeom prst="rect">
                      <a:avLst/>
                    </a:prstGeom>
                  </pic:spPr>
                </pic:pic>
              </a:graphicData>
            </a:graphic>
          </wp:inline>
        </w:drawing>
      </w:r>
    </w:p>
    <w:p w14:paraId="2A0EB0CE" w14:textId="77777777" w:rsidR="00037EC7" w:rsidRPr="00CC1ADD" w:rsidRDefault="00037EC7" w:rsidP="005A3631"/>
    <w:p w14:paraId="10A19C51" w14:textId="77777777" w:rsidR="00037EC7" w:rsidRPr="00CC1ADD" w:rsidRDefault="00037EC7">
      <w:pPr>
        <w:sectPr w:rsidR="00037EC7" w:rsidRPr="00CC1ADD" w:rsidSect="00A6237D">
          <w:pgSz w:w="11900" w:h="16840"/>
          <w:pgMar w:top="1440" w:right="1080" w:bottom="1440" w:left="1080" w:header="709" w:footer="709" w:gutter="0"/>
          <w:cols w:space="708"/>
          <w:docGrid w:linePitch="360"/>
        </w:sectPr>
      </w:pPr>
    </w:p>
    <w:p w14:paraId="1C637ED7" w14:textId="77777777" w:rsidR="00C41380" w:rsidRPr="00CC1ADD" w:rsidRDefault="00C41380" w:rsidP="00B06350">
      <w:pPr>
        <w:pStyle w:val="mpcheading1"/>
      </w:pPr>
      <w:bookmarkStart w:id="2" w:name="Table_of_Contents"/>
      <w:bookmarkStart w:id="3" w:name="_Toc9943461"/>
      <w:bookmarkStart w:id="4" w:name="_Toc9955027"/>
      <w:bookmarkEnd w:id="2"/>
      <w:r w:rsidRPr="00CC1ADD">
        <w:lastRenderedPageBreak/>
        <w:t>Table of Contents</w:t>
      </w:r>
      <w:bookmarkEnd w:id="3"/>
      <w:bookmarkEnd w:id="4"/>
    </w:p>
    <w:bookmarkStart w:id="5" w:name="_Toc450649510"/>
    <w:p w14:paraId="6C84CE3F" w14:textId="14060B69" w:rsidR="004702C5" w:rsidRDefault="00A27699">
      <w:pPr>
        <w:pStyle w:val="TOC1"/>
        <w:rPr>
          <w:rFonts w:eastAsiaTheme="minorEastAsia"/>
          <w:b w:val="0"/>
          <w:bCs w:val="0"/>
          <w:noProof/>
        </w:rPr>
      </w:pPr>
      <w:r w:rsidRPr="00CC1ADD">
        <w:rPr>
          <w:rFonts w:cstheme="minorHAnsi"/>
          <w:sz w:val="21"/>
        </w:rPr>
        <w:fldChar w:fldCharType="begin"/>
      </w:r>
      <w:r w:rsidRPr="00CC1ADD">
        <w:rPr>
          <w:rFonts w:cstheme="minorHAnsi"/>
          <w:sz w:val="21"/>
        </w:rPr>
        <w:instrText xml:space="preserve"> TOC \t "mpc heading 1,1,mpc heading 2,2</w:instrText>
      </w:r>
      <w:r w:rsidR="005235DE" w:rsidRPr="00CC1ADD">
        <w:rPr>
          <w:rFonts w:cstheme="minorHAnsi"/>
          <w:sz w:val="21"/>
        </w:rPr>
        <w:instrText xml:space="preserve"> </w:instrText>
      </w:r>
      <w:r w:rsidRPr="00CC1ADD">
        <w:rPr>
          <w:rFonts w:cstheme="minorHAnsi"/>
          <w:sz w:val="21"/>
        </w:rPr>
        <w:instrText xml:space="preserve">" </w:instrText>
      </w:r>
      <w:r w:rsidRPr="00CC1ADD">
        <w:rPr>
          <w:rFonts w:cstheme="minorHAnsi"/>
          <w:sz w:val="21"/>
        </w:rPr>
        <w:fldChar w:fldCharType="separate"/>
      </w:r>
      <w:r w:rsidR="004702C5">
        <w:rPr>
          <w:noProof/>
        </w:rPr>
        <w:t>Executive Summary</w:t>
      </w:r>
      <w:r w:rsidR="004702C5">
        <w:rPr>
          <w:noProof/>
        </w:rPr>
        <w:tab/>
      </w:r>
      <w:r w:rsidR="004702C5">
        <w:rPr>
          <w:noProof/>
        </w:rPr>
        <w:fldChar w:fldCharType="begin"/>
      </w:r>
      <w:r w:rsidR="004702C5">
        <w:rPr>
          <w:noProof/>
        </w:rPr>
        <w:instrText xml:space="preserve"> PAGEREF _Toc9955028 \h </w:instrText>
      </w:r>
      <w:r w:rsidR="004702C5">
        <w:rPr>
          <w:noProof/>
        </w:rPr>
      </w:r>
      <w:r w:rsidR="004702C5">
        <w:rPr>
          <w:noProof/>
        </w:rPr>
        <w:fldChar w:fldCharType="separate"/>
      </w:r>
      <w:r w:rsidR="004702C5">
        <w:rPr>
          <w:noProof/>
        </w:rPr>
        <w:t>4</w:t>
      </w:r>
      <w:r w:rsidR="004702C5">
        <w:rPr>
          <w:noProof/>
        </w:rPr>
        <w:fldChar w:fldCharType="end"/>
      </w:r>
    </w:p>
    <w:p w14:paraId="3DE947D7" w14:textId="3582F58E" w:rsidR="004702C5" w:rsidRDefault="004702C5">
      <w:pPr>
        <w:pStyle w:val="TOC1"/>
        <w:rPr>
          <w:rFonts w:eastAsiaTheme="minorEastAsia"/>
          <w:b w:val="0"/>
          <w:bCs w:val="0"/>
          <w:noProof/>
        </w:rPr>
      </w:pPr>
      <w:r>
        <w:rPr>
          <w:noProof/>
        </w:rPr>
        <w:t>Recommendations</w:t>
      </w:r>
      <w:r>
        <w:rPr>
          <w:noProof/>
        </w:rPr>
        <w:tab/>
      </w:r>
      <w:r>
        <w:rPr>
          <w:noProof/>
        </w:rPr>
        <w:fldChar w:fldCharType="begin"/>
      </w:r>
      <w:r>
        <w:rPr>
          <w:noProof/>
        </w:rPr>
        <w:instrText xml:space="preserve"> PAGEREF _Toc9955029 \h </w:instrText>
      </w:r>
      <w:r>
        <w:rPr>
          <w:noProof/>
        </w:rPr>
      </w:r>
      <w:r>
        <w:rPr>
          <w:noProof/>
        </w:rPr>
        <w:fldChar w:fldCharType="separate"/>
      </w:r>
      <w:r>
        <w:rPr>
          <w:noProof/>
        </w:rPr>
        <w:t>6</w:t>
      </w:r>
      <w:r>
        <w:rPr>
          <w:noProof/>
        </w:rPr>
        <w:fldChar w:fldCharType="end"/>
      </w:r>
    </w:p>
    <w:p w14:paraId="3975CDCF" w14:textId="3C136AC8" w:rsidR="004702C5" w:rsidRDefault="004702C5">
      <w:pPr>
        <w:pStyle w:val="TOC1"/>
        <w:rPr>
          <w:rFonts w:eastAsiaTheme="minorEastAsia"/>
          <w:b w:val="0"/>
          <w:bCs w:val="0"/>
          <w:noProof/>
        </w:rPr>
      </w:pPr>
      <w:r>
        <w:rPr>
          <w:noProof/>
        </w:rPr>
        <w:t>Chapter 1 – About the Health Star Rating System</w:t>
      </w:r>
      <w:r>
        <w:rPr>
          <w:noProof/>
        </w:rPr>
        <w:tab/>
      </w:r>
      <w:r>
        <w:rPr>
          <w:noProof/>
        </w:rPr>
        <w:fldChar w:fldCharType="begin"/>
      </w:r>
      <w:r>
        <w:rPr>
          <w:noProof/>
        </w:rPr>
        <w:instrText xml:space="preserve"> PAGEREF _Toc9955030 \h </w:instrText>
      </w:r>
      <w:r>
        <w:rPr>
          <w:noProof/>
        </w:rPr>
      </w:r>
      <w:r>
        <w:rPr>
          <w:noProof/>
        </w:rPr>
        <w:fldChar w:fldCharType="separate"/>
      </w:r>
      <w:r>
        <w:rPr>
          <w:noProof/>
        </w:rPr>
        <w:t>10</w:t>
      </w:r>
      <w:r>
        <w:rPr>
          <w:noProof/>
        </w:rPr>
        <w:fldChar w:fldCharType="end"/>
      </w:r>
    </w:p>
    <w:p w14:paraId="77655BB5" w14:textId="3BF07058" w:rsidR="004702C5" w:rsidRDefault="004702C5">
      <w:pPr>
        <w:pStyle w:val="TOC2"/>
        <w:rPr>
          <w:rFonts w:eastAsiaTheme="minorEastAsia" w:cstheme="minorBidi"/>
          <w:bCs w:val="0"/>
          <w:sz w:val="24"/>
          <w:szCs w:val="24"/>
        </w:rPr>
      </w:pPr>
      <w:r w:rsidRPr="00735B9C">
        <w:t>Development of the HSR System</w:t>
      </w:r>
      <w:r>
        <w:tab/>
      </w:r>
      <w:r>
        <w:fldChar w:fldCharType="begin"/>
      </w:r>
      <w:r>
        <w:instrText xml:space="preserve"> PAGEREF _Toc9955031 \h </w:instrText>
      </w:r>
      <w:r>
        <w:fldChar w:fldCharType="separate"/>
      </w:r>
      <w:r>
        <w:t>10</w:t>
      </w:r>
      <w:r>
        <w:fldChar w:fldCharType="end"/>
      </w:r>
    </w:p>
    <w:p w14:paraId="067C22F9" w14:textId="56ED677A" w:rsidR="004702C5" w:rsidRDefault="004702C5">
      <w:pPr>
        <w:pStyle w:val="TOC2"/>
        <w:rPr>
          <w:rFonts w:eastAsiaTheme="minorEastAsia" w:cstheme="minorBidi"/>
          <w:bCs w:val="0"/>
          <w:sz w:val="24"/>
          <w:szCs w:val="24"/>
        </w:rPr>
      </w:pPr>
      <w:r w:rsidRPr="00735B9C">
        <w:t>The HSR graphic</w:t>
      </w:r>
      <w:r>
        <w:tab/>
      </w:r>
      <w:r>
        <w:fldChar w:fldCharType="begin"/>
      </w:r>
      <w:r>
        <w:instrText xml:space="preserve"> PAGEREF _Toc9955032 \h </w:instrText>
      </w:r>
      <w:r>
        <w:fldChar w:fldCharType="separate"/>
      </w:r>
      <w:r>
        <w:t>11</w:t>
      </w:r>
      <w:r>
        <w:fldChar w:fldCharType="end"/>
      </w:r>
    </w:p>
    <w:p w14:paraId="63565371" w14:textId="2FCDDA5A" w:rsidR="004702C5" w:rsidRDefault="004702C5">
      <w:pPr>
        <w:pStyle w:val="TOC2"/>
        <w:rPr>
          <w:rFonts w:eastAsiaTheme="minorEastAsia" w:cstheme="minorBidi"/>
          <w:bCs w:val="0"/>
          <w:sz w:val="24"/>
          <w:szCs w:val="24"/>
        </w:rPr>
      </w:pPr>
      <w:r w:rsidRPr="00735B9C">
        <w:t>Calculating the HSR</w:t>
      </w:r>
      <w:r>
        <w:tab/>
      </w:r>
      <w:r>
        <w:fldChar w:fldCharType="begin"/>
      </w:r>
      <w:r>
        <w:instrText xml:space="preserve"> PAGEREF _Toc9955033 \h </w:instrText>
      </w:r>
      <w:r>
        <w:fldChar w:fldCharType="separate"/>
      </w:r>
      <w:r>
        <w:t>11</w:t>
      </w:r>
      <w:r>
        <w:fldChar w:fldCharType="end"/>
      </w:r>
    </w:p>
    <w:p w14:paraId="01CBFD9B" w14:textId="7955C98E" w:rsidR="004702C5" w:rsidRDefault="004702C5">
      <w:pPr>
        <w:pStyle w:val="TOC2"/>
        <w:rPr>
          <w:rFonts w:eastAsiaTheme="minorEastAsia" w:cstheme="minorBidi"/>
          <w:bCs w:val="0"/>
          <w:sz w:val="24"/>
          <w:szCs w:val="24"/>
        </w:rPr>
      </w:pPr>
      <w:r w:rsidRPr="00735B9C">
        <w:t>Products expected to display the HSR</w:t>
      </w:r>
      <w:r>
        <w:tab/>
      </w:r>
      <w:r>
        <w:fldChar w:fldCharType="begin"/>
      </w:r>
      <w:r>
        <w:instrText xml:space="preserve"> PAGEREF _Toc9955034 \h </w:instrText>
      </w:r>
      <w:r>
        <w:fldChar w:fldCharType="separate"/>
      </w:r>
      <w:r>
        <w:t>13</w:t>
      </w:r>
      <w:r>
        <w:fldChar w:fldCharType="end"/>
      </w:r>
    </w:p>
    <w:p w14:paraId="09CCD7D6" w14:textId="0E98394C" w:rsidR="004702C5" w:rsidRDefault="004702C5">
      <w:pPr>
        <w:pStyle w:val="TOC2"/>
        <w:rPr>
          <w:rFonts w:eastAsiaTheme="minorEastAsia" w:cstheme="minorBidi"/>
          <w:bCs w:val="0"/>
          <w:sz w:val="24"/>
          <w:szCs w:val="24"/>
        </w:rPr>
      </w:pPr>
      <w:r w:rsidRPr="00735B9C">
        <w:t>Governance of the HSR System</w:t>
      </w:r>
      <w:r>
        <w:tab/>
      </w:r>
      <w:r>
        <w:fldChar w:fldCharType="begin"/>
      </w:r>
      <w:r>
        <w:instrText xml:space="preserve"> PAGEREF _Toc9955035 \h </w:instrText>
      </w:r>
      <w:r>
        <w:fldChar w:fldCharType="separate"/>
      </w:r>
      <w:r>
        <w:t>13</w:t>
      </w:r>
      <w:r>
        <w:fldChar w:fldCharType="end"/>
      </w:r>
    </w:p>
    <w:p w14:paraId="1280ECE3" w14:textId="483D7DA3" w:rsidR="004702C5" w:rsidRDefault="004702C5">
      <w:pPr>
        <w:pStyle w:val="TOC2"/>
        <w:rPr>
          <w:rFonts w:eastAsiaTheme="minorEastAsia" w:cstheme="minorBidi"/>
          <w:bCs w:val="0"/>
          <w:sz w:val="24"/>
          <w:szCs w:val="24"/>
        </w:rPr>
      </w:pPr>
      <w:r w:rsidRPr="00735B9C">
        <w:t>Monitoring of the HSR System</w:t>
      </w:r>
      <w:r>
        <w:tab/>
      </w:r>
      <w:r>
        <w:fldChar w:fldCharType="begin"/>
      </w:r>
      <w:r>
        <w:instrText xml:space="preserve"> PAGEREF _Toc9955036 \h </w:instrText>
      </w:r>
      <w:r>
        <w:fldChar w:fldCharType="separate"/>
      </w:r>
      <w:r>
        <w:t>17</w:t>
      </w:r>
      <w:r>
        <w:fldChar w:fldCharType="end"/>
      </w:r>
    </w:p>
    <w:p w14:paraId="770C7726" w14:textId="3F25CD97" w:rsidR="004702C5" w:rsidRDefault="004702C5">
      <w:pPr>
        <w:pStyle w:val="TOC1"/>
        <w:rPr>
          <w:rFonts w:eastAsiaTheme="minorEastAsia"/>
          <w:b w:val="0"/>
          <w:bCs w:val="0"/>
          <w:noProof/>
        </w:rPr>
      </w:pPr>
      <w:r>
        <w:rPr>
          <w:noProof/>
        </w:rPr>
        <w:t>Chapter 2 – About the Five Year Review</w:t>
      </w:r>
      <w:r>
        <w:rPr>
          <w:noProof/>
        </w:rPr>
        <w:tab/>
      </w:r>
      <w:r>
        <w:rPr>
          <w:noProof/>
        </w:rPr>
        <w:fldChar w:fldCharType="begin"/>
      </w:r>
      <w:r>
        <w:rPr>
          <w:noProof/>
        </w:rPr>
        <w:instrText xml:space="preserve"> PAGEREF _Toc9955037 \h </w:instrText>
      </w:r>
      <w:r>
        <w:rPr>
          <w:noProof/>
        </w:rPr>
      </w:r>
      <w:r>
        <w:rPr>
          <w:noProof/>
        </w:rPr>
        <w:fldChar w:fldCharType="separate"/>
      </w:r>
      <w:r>
        <w:rPr>
          <w:noProof/>
        </w:rPr>
        <w:t>18</w:t>
      </w:r>
      <w:r>
        <w:rPr>
          <w:noProof/>
        </w:rPr>
        <w:fldChar w:fldCharType="end"/>
      </w:r>
    </w:p>
    <w:p w14:paraId="3443F4B0" w14:textId="58B3869F" w:rsidR="004702C5" w:rsidRDefault="004702C5">
      <w:pPr>
        <w:pStyle w:val="TOC2"/>
        <w:rPr>
          <w:rFonts w:eastAsiaTheme="minorEastAsia" w:cstheme="minorBidi"/>
          <w:bCs w:val="0"/>
          <w:sz w:val="24"/>
          <w:szCs w:val="24"/>
        </w:rPr>
      </w:pPr>
      <w:r w:rsidRPr="00735B9C">
        <w:t>Purpose of the Five Year Review</w:t>
      </w:r>
      <w:r>
        <w:tab/>
      </w:r>
      <w:r>
        <w:fldChar w:fldCharType="begin"/>
      </w:r>
      <w:r>
        <w:instrText xml:space="preserve"> PAGEREF _Toc9955038 \h </w:instrText>
      </w:r>
      <w:r>
        <w:fldChar w:fldCharType="separate"/>
      </w:r>
      <w:r>
        <w:t>18</w:t>
      </w:r>
      <w:r>
        <w:fldChar w:fldCharType="end"/>
      </w:r>
    </w:p>
    <w:p w14:paraId="2E0EDA2E" w14:textId="2C1562D0" w:rsidR="004702C5" w:rsidRDefault="004702C5">
      <w:pPr>
        <w:pStyle w:val="TOC2"/>
        <w:rPr>
          <w:rFonts w:eastAsiaTheme="minorEastAsia" w:cstheme="minorBidi"/>
          <w:bCs w:val="0"/>
          <w:sz w:val="24"/>
          <w:szCs w:val="24"/>
        </w:rPr>
      </w:pPr>
      <w:r w:rsidRPr="00735B9C">
        <w:t>Five Year Review Process</w:t>
      </w:r>
      <w:r>
        <w:tab/>
      </w:r>
      <w:r>
        <w:fldChar w:fldCharType="begin"/>
      </w:r>
      <w:r>
        <w:instrText xml:space="preserve"> PAGEREF _Toc9955039 \h </w:instrText>
      </w:r>
      <w:r>
        <w:fldChar w:fldCharType="separate"/>
      </w:r>
      <w:r>
        <w:t>18</w:t>
      </w:r>
      <w:r>
        <w:fldChar w:fldCharType="end"/>
      </w:r>
    </w:p>
    <w:p w14:paraId="0AD4F32D" w14:textId="54B7A9B7" w:rsidR="004702C5" w:rsidRDefault="004702C5">
      <w:pPr>
        <w:pStyle w:val="TOC2"/>
        <w:rPr>
          <w:rFonts w:eastAsiaTheme="minorEastAsia" w:cstheme="minorBidi"/>
          <w:bCs w:val="0"/>
          <w:sz w:val="24"/>
          <w:szCs w:val="24"/>
        </w:rPr>
      </w:pPr>
      <w:r w:rsidRPr="00735B9C">
        <w:t>Principles guiding the Five Year Review</w:t>
      </w:r>
      <w:r>
        <w:tab/>
      </w:r>
      <w:r>
        <w:fldChar w:fldCharType="begin"/>
      </w:r>
      <w:r>
        <w:instrText xml:space="preserve"> PAGEREF _Toc9955040 \h </w:instrText>
      </w:r>
      <w:r>
        <w:fldChar w:fldCharType="separate"/>
      </w:r>
      <w:r>
        <w:t>19</w:t>
      </w:r>
      <w:r>
        <w:fldChar w:fldCharType="end"/>
      </w:r>
    </w:p>
    <w:p w14:paraId="2681BE5F" w14:textId="3BD3A770" w:rsidR="004702C5" w:rsidRDefault="004702C5">
      <w:pPr>
        <w:pStyle w:val="TOC2"/>
        <w:rPr>
          <w:rFonts w:eastAsiaTheme="minorEastAsia" w:cstheme="minorBidi"/>
          <w:bCs w:val="0"/>
          <w:sz w:val="24"/>
          <w:szCs w:val="24"/>
        </w:rPr>
      </w:pPr>
      <w:r>
        <w:t>Important note</w:t>
      </w:r>
      <w:r>
        <w:tab/>
      </w:r>
      <w:r>
        <w:fldChar w:fldCharType="begin"/>
      </w:r>
      <w:r>
        <w:instrText xml:space="preserve"> PAGEREF _Toc9955041 \h </w:instrText>
      </w:r>
      <w:r>
        <w:fldChar w:fldCharType="separate"/>
      </w:r>
      <w:r>
        <w:t>20</w:t>
      </w:r>
      <w:r>
        <w:fldChar w:fldCharType="end"/>
      </w:r>
    </w:p>
    <w:p w14:paraId="5A70FEC1" w14:textId="1537DF00" w:rsidR="004702C5" w:rsidRDefault="004702C5">
      <w:pPr>
        <w:pStyle w:val="TOC1"/>
        <w:rPr>
          <w:rFonts w:eastAsiaTheme="minorEastAsia"/>
          <w:b w:val="0"/>
          <w:bCs w:val="0"/>
          <w:noProof/>
        </w:rPr>
      </w:pPr>
      <w:r>
        <w:rPr>
          <w:noProof/>
        </w:rPr>
        <w:t>Chapter 3 – Impact of the Health Star Rating System</w:t>
      </w:r>
      <w:r>
        <w:rPr>
          <w:noProof/>
        </w:rPr>
        <w:tab/>
      </w:r>
      <w:r>
        <w:rPr>
          <w:noProof/>
        </w:rPr>
        <w:fldChar w:fldCharType="begin"/>
      </w:r>
      <w:r>
        <w:rPr>
          <w:noProof/>
        </w:rPr>
        <w:instrText xml:space="preserve"> PAGEREF _Toc9955042 \h </w:instrText>
      </w:r>
      <w:r>
        <w:rPr>
          <w:noProof/>
        </w:rPr>
      </w:r>
      <w:r>
        <w:rPr>
          <w:noProof/>
        </w:rPr>
        <w:fldChar w:fldCharType="separate"/>
      </w:r>
      <w:r>
        <w:rPr>
          <w:noProof/>
        </w:rPr>
        <w:t>21</w:t>
      </w:r>
      <w:r>
        <w:rPr>
          <w:noProof/>
        </w:rPr>
        <w:fldChar w:fldCharType="end"/>
      </w:r>
    </w:p>
    <w:p w14:paraId="3BEA0D74" w14:textId="6906B03F" w:rsidR="004702C5" w:rsidRDefault="004702C5">
      <w:pPr>
        <w:pStyle w:val="TOC2"/>
        <w:rPr>
          <w:rFonts w:eastAsiaTheme="minorEastAsia" w:cstheme="minorBidi"/>
          <w:bCs w:val="0"/>
          <w:sz w:val="24"/>
          <w:szCs w:val="24"/>
        </w:rPr>
      </w:pPr>
      <w:r>
        <w:t>Summary</w:t>
      </w:r>
      <w:r>
        <w:tab/>
      </w:r>
      <w:r>
        <w:fldChar w:fldCharType="begin"/>
      </w:r>
      <w:r>
        <w:instrText xml:space="preserve"> PAGEREF _Toc9955043 \h </w:instrText>
      </w:r>
      <w:r>
        <w:fldChar w:fldCharType="separate"/>
      </w:r>
      <w:r>
        <w:t>21</w:t>
      </w:r>
      <w:r>
        <w:fldChar w:fldCharType="end"/>
      </w:r>
    </w:p>
    <w:p w14:paraId="1D12DEBA" w14:textId="7F600FC4" w:rsidR="004702C5" w:rsidRDefault="004702C5">
      <w:pPr>
        <w:pStyle w:val="TOC2"/>
        <w:rPr>
          <w:rFonts w:eastAsiaTheme="minorEastAsia" w:cstheme="minorBidi"/>
          <w:bCs w:val="0"/>
          <w:sz w:val="24"/>
          <w:szCs w:val="24"/>
        </w:rPr>
      </w:pPr>
      <w:r>
        <w:t>Uptake of the HSR and consistency with the HSR System guidance</w:t>
      </w:r>
      <w:r>
        <w:tab/>
      </w:r>
      <w:r>
        <w:fldChar w:fldCharType="begin"/>
      </w:r>
      <w:r>
        <w:instrText xml:space="preserve"> PAGEREF _Toc9955044 \h </w:instrText>
      </w:r>
      <w:r>
        <w:fldChar w:fldCharType="separate"/>
      </w:r>
      <w:r>
        <w:t>23</w:t>
      </w:r>
      <w:r>
        <w:fldChar w:fldCharType="end"/>
      </w:r>
    </w:p>
    <w:p w14:paraId="77F75943" w14:textId="223DC578" w:rsidR="004702C5" w:rsidRDefault="004702C5">
      <w:pPr>
        <w:pStyle w:val="TOC2"/>
        <w:rPr>
          <w:rFonts w:eastAsiaTheme="minorEastAsia" w:cstheme="minorBidi"/>
          <w:bCs w:val="0"/>
          <w:sz w:val="24"/>
          <w:szCs w:val="24"/>
        </w:rPr>
      </w:pPr>
      <w:r w:rsidRPr="00735B9C">
        <w:t>Consumer awareness and ability to use the HSR System correctly</w:t>
      </w:r>
      <w:r>
        <w:tab/>
      </w:r>
      <w:r>
        <w:fldChar w:fldCharType="begin"/>
      </w:r>
      <w:r>
        <w:instrText xml:space="preserve"> PAGEREF _Toc9955045 \h </w:instrText>
      </w:r>
      <w:r>
        <w:fldChar w:fldCharType="separate"/>
      </w:r>
      <w:r>
        <w:t>26</w:t>
      </w:r>
      <w:r>
        <w:fldChar w:fldCharType="end"/>
      </w:r>
    </w:p>
    <w:p w14:paraId="67285B6B" w14:textId="787B194C" w:rsidR="004702C5" w:rsidRDefault="004702C5">
      <w:pPr>
        <w:pStyle w:val="TOC2"/>
        <w:rPr>
          <w:rFonts w:eastAsiaTheme="minorEastAsia" w:cstheme="minorBidi"/>
          <w:bCs w:val="0"/>
          <w:sz w:val="24"/>
          <w:szCs w:val="24"/>
        </w:rPr>
      </w:pPr>
      <w:r w:rsidRPr="00735B9C">
        <w:t>Reformulation</w:t>
      </w:r>
      <w:r>
        <w:tab/>
      </w:r>
      <w:r>
        <w:fldChar w:fldCharType="begin"/>
      </w:r>
      <w:r>
        <w:instrText xml:space="preserve"> PAGEREF _Toc9955046 \h </w:instrText>
      </w:r>
      <w:r>
        <w:fldChar w:fldCharType="separate"/>
      </w:r>
      <w:r>
        <w:t>28</w:t>
      </w:r>
      <w:r>
        <w:fldChar w:fldCharType="end"/>
      </w:r>
    </w:p>
    <w:p w14:paraId="12481049" w14:textId="64CA924C" w:rsidR="004702C5" w:rsidRDefault="004702C5">
      <w:pPr>
        <w:pStyle w:val="TOC2"/>
        <w:rPr>
          <w:rFonts w:eastAsiaTheme="minorEastAsia" w:cstheme="minorBidi"/>
          <w:bCs w:val="0"/>
          <w:sz w:val="24"/>
          <w:szCs w:val="24"/>
        </w:rPr>
      </w:pPr>
      <w:r w:rsidRPr="00735B9C">
        <w:t>Alignment with Dietary Guidelines</w:t>
      </w:r>
      <w:r>
        <w:tab/>
      </w:r>
      <w:r>
        <w:fldChar w:fldCharType="begin"/>
      </w:r>
      <w:r>
        <w:instrText xml:space="preserve"> PAGEREF _Toc9955047 \h </w:instrText>
      </w:r>
      <w:r>
        <w:fldChar w:fldCharType="separate"/>
      </w:r>
      <w:r>
        <w:t>30</w:t>
      </w:r>
      <w:r>
        <w:fldChar w:fldCharType="end"/>
      </w:r>
    </w:p>
    <w:p w14:paraId="71A57005" w14:textId="6FB4AB63" w:rsidR="004702C5" w:rsidRDefault="004702C5">
      <w:pPr>
        <w:pStyle w:val="TOC2"/>
        <w:rPr>
          <w:rFonts w:eastAsiaTheme="minorEastAsia" w:cstheme="minorBidi"/>
          <w:bCs w:val="0"/>
          <w:sz w:val="24"/>
          <w:szCs w:val="24"/>
        </w:rPr>
      </w:pPr>
      <w:r>
        <w:t>HSR System graphics</w:t>
      </w:r>
      <w:r>
        <w:tab/>
      </w:r>
      <w:r>
        <w:fldChar w:fldCharType="begin"/>
      </w:r>
      <w:r>
        <w:instrText xml:space="preserve"> PAGEREF _Toc9955048 \h </w:instrText>
      </w:r>
      <w:r>
        <w:fldChar w:fldCharType="separate"/>
      </w:r>
      <w:r>
        <w:t>31</w:t>
      </w:r>
      <w:r>
        <w:fldChar w:fldCharType="end"/>
      </w:r>
    </w:p>
    <w:p w14:paraId="72C77629" w14:textId="21DA3C6D" w:rsidR="004702C5" w:rsidRDefault="004702C5">
      <w:pPr>
        <w:pStyle w:val="TOC1"/>
        <w:rPr>
          <w:rFonts w:eastAsiaTheme="minorEastAsia"/>
          <w:b w:val="0"/>
          <w:bCs w:val="0"/>
          <w:noProof/>
        </w:rPr>
      </w:pPr>
      <w:r>
        <w:rPr>
          <w:noProof/>
        </w:rPr>
        <w:t>Chapter 4 – Promotion of the Health Star Rating System</w:t>
      </w:r>
      <w:r>
        <w:rPr>
          <w:noProof/>
        </w:rPr>
        <w:tab/>
      </w:r>
      <w:r>
        <w:rPr>
          <w:noProof/>
        </w:rPr>
        <w:fldChar w:fldCharType="begin"/>
      </w:r>
      <w:r>
        <w:rPr>
          <w:noProof/>
        </w:rPr>
        <w:instrText xml:space="preserve"> PAGEREF _Toc9955049 \h </w:instrText>
      </w:r>
      <w:r>
        <w:rPr>
          <w:noProof/>
        </w:rPr>
      </w:r>
      <w:r>
        <w:rPr>
          <w:noProof/>
        </w:rPr>
        <w:fldChar w:fldCharType="separate"/>
      </w:r>
      <w:r>
        <w:rPr>
          <w:noProof/>
        </w:rPr>
        <w:t>37</w:t>
      </w:r>
      <w:r>
        <w:rPr>
          <w:noProof/>
        </w:rPr>
        <w:fldChar w:fldCharType="end"/>
      </w:r>
    </w:p>
    <w:p w14:paraId="690CF6F5" w14:textId="6CC6CE48" w:rsidR="004702C5" w:rsidRDefault="004702C5">
      <w:pPr>
        <w:pStyle w:val="TOC2"/>
        <w:rPr>
          <w:rFonts w:eastAsiaTheme="minorEastAsia" w:cstheme="minorBidi"/>
          <w:bCs w:val="0"/>
          <w:sz w:val="24"/>
          <w:szCs w:val="24"/>
        </w:rPr>
      </w:pPr>
      <w:r>
        <w:t>Summary</w:t>
      </w:r>
      <w:r>
        <w:tab/>
      </w:r>
      <w:r>
        <w:fldChar w:fldCharType="begin"/>
      </w:r>
      <w:r>
        <w:instrText xml:space="preserve"> PAGEREF _Toc9955050 \h </w:instrText>
      </w:r>
      <w:r>
        <w:fldChar w:fldCharType="separate"/>
      </w:r>
      <w:r>
        <w:t>37</w:t>
      </w:r>
      <w:r>
        <w:fldChar w:fldCharType="end"/>
      </w:r>
    </w:p>
    <w:p w14:paraId="316AFCC8" w14:textId="60C63C59" w:rsidR="004702C5" w:rsidRDefault="004702C5">
      <w:pPr>
        <w:pStyle w:val="TOC2"/>
        <w:rPr>
          <w:rFonts w:eastAsiaTheme="minorEastAsia" w:cstheme="minorBidi"/>
          <w:bCs w:val="0"/>
          <w:sz w:val="24"/>
          <w:szCs w:val="24"/>
        </w:rPr>
      </w:pPr>
      <w:r>
        <w:t>HSR System campaigns</w:t>
      </w:r>
      <w:r>
        <w:tab/>
      </w:r>
      <w:r>
        <w:fldChar w:fldCharType="begin"/>
      </w:r>
      <w:r>
        <w:instrText xml:space="preserve"> PAGEREF _Toc9955051 \h </w:instrText>
      </w:r>
      <w:r>
        <w:fldChar w:fldCharType="separate"/>
      </w:r>
      <w:r>
        <w:t>38</w:t>
      </w:r>
      <w:r>
        <w:fldChar w:fldCharType="end"/>
      </w:r>
    </w:p>
    <w:p w14:paraId="70704E15" w14:textId="1B65A347" w:rsidR="004702C5" w:rsidRDefault="004702C5">
      <w:pPr>
        <w:pStyle w:val="TOC2"/>
        <w:rPr>
          <w:rFonts w:eastAsiaTheme="minorEastAsia" w:cstheme="minorBidi"/>
          <w:bCs w:val="0"/>
          <w:sz w:val="24"/>
          <w:szCs w:val="24"/>
        </w:rPr>
      </w:pPr>
      <w:r>
        <w:t>Other promotion of the HSR System</w:t>
      </w:r>
      <w:r>
        <w:tab/>
      </w:r>
      <w:r>
        <w:fldChar w:fldCharType="begin"/>
      </w:r>
      <w:r>
        <w:instrText xml:space="preserve"> PAGEREF _Toc9955052 \h </w:instrText>
      </w:r>
      <w:r>
        <w:fldChar w:fldCharType="separate"/>
      </w:r>
      <w:r>
        <w:t>41</w:t>
      </w:r>
      <w:r>
        <w:fldChar w:fldCharType="end"/>
      </w:r>
    </w:p>
    <w:p w14:paraId="1F707C22" w14:textId="5DB5FA1F" w:rsidR="004702C5" w:rsidRDefault="004702C5">
      <w:pPr>
        <w:pStyle w:val="TOC2"/>
        <w:rPr>
          <w:rFonts w:eastAsiaTheme="minorEastAsia" w:cstheme="minorBidi"/>
          <w:bCs w:val="0"/>
          <w:sz w:val="24"/>
          <w:szCs w:val="24"/>
        </w:rPr>
      </w:pPr>
      <w:r>
        <w:t>Complementary initiatives</w:t>
      </w:r>
      <w:r>
        <w:tab/>
      </w:r>
      <w:r>
        <w:fldChar w:fldCharType="begin"/>
      </w:r>
      <w:r>
        <w:instrText xml:space="preserve"> PAGEREF _Toc9955053 \h </w:instrText>
      </w:r>
      <w:r>
        <w:fldChar w:fldCharType="separate"/>
      </w:r>
      <w:r>
        <w:t>42</w:t>
      </w:r>
      <w:r>
        <w:fldChar w:fldCharType="end"/>
      </w:r>
    </w:p>
    <w:p w14:paraId="3956EB9C" w14:textId="70F5A790" w:rsidR="004702C5" w:rsidRDefault="004702C5">
      <w:pPr>
        <w:pStyle w:val="TOC2"/>
        <w:rPr>
          <w:rFonts w:eastAsiaTheme="minorEastAsia" w:cstheme="minorBidi"/>
          <w:bCs w:val="0"/>
          <w:sz w:val="24"/>
          <w:szCs w:val="24"/>
        </w:rPr>
      </w:pPr>
      <w:r>
        <w:t>Future promotion</w:t>
      </w:r>
      <w:r>
        <w:tab/>
      </w:r>
      <w:r>
        <w:fldChar w:fldCharType="begin"/>
      </w:r>
      <w:r>
        <w:instrText xml:space="preserve"> PAGEREF _Toc9955054 \h </w:instrText>
      </w:r>
      <w:r>
        <w:fldChar w:fldCharType="separate"/>
      </w:r>
      <w:r>
        <w:t>43</w:t>
      </w:r>
      <w:r>
        <w:fldChar w:fldCharType="end"/>
      </w:r>
    </w:p>
    <w:p w14:paraId="56998F8B" w14:textId="7C46466F" w:rsidR="004702C5" w:rsidRDefault="004702C5">
      <w:pPr>
        <w:pStyle w:val="TOC1"/>
        <w:rPr>
          <w:rFonts w:eastAsiaTheme="minorEastAsia"/>
          <w:b w:val="0"/>
          <w:bCs w:val="0"/>
          <w:noProof/>
        </w:rPr>
      </w:pPr>
      <w:r>
        <w:rPr>
          <w:noProof/>
        </w:rPr>
        <w:t>Chapter 5 – The Health Star Rating Calculator</w:t>
      </w:r>
      <w:r>
        <w:rPr>
          <w:noProof/>
        </w:rPr>
        <w:tab/>
      </w:r>
      <w:r>
        <w:rPr>
          <w:noProof/>
        </w:rPr>
        <w:fldChar w:fldCharType="begin"/>
      </w:r>
      <w:r>
        <w:rPr>
          <w:noProof/>
        </w:rPr>
        <w:instrText xml:space="preserve"> PAGEREF _Toc9955055 \h </w:instrText>
      </w:r>
      <w:r>
        <w:rPr>
          <w:noProof/>
        </w:rPr>
      </w:r>
      <w:r>
        <w:rPr>
          <w:noProof/>
        </w:rPr>
        <w:fldChar w:fldCharType="separate"/>
      </w:r>
      <w:r>
        <w:rPr>
          <w:noProof/>
        </w:rPr>
        <w:t>44</w:t>
      </w:r>
      <w:r>
        <w:rPr>
          <w:noProof/>
        </w:rPr>
        <w:fldChar w:fldCharType="end"/>
      </w:r>
    </w:p>
    <w:p w14:paraId="5C24B976" w14:textId="6F073004" w:rsidR="004702C5" w:rsidRDefault="004702C5">
      <w:pPr>
        <w:pStyle w:val="TOC2"/>
        <w:rPr>
          <w:rFonts w:eastAsiaTheme="minorEastAsia" w:cstheme="minorBidi"/>
          <w:bCs w:val="0"/>
          <w:sz w:val="24"/>
          <w:szCs w:val="24"/>
        </w:rPr>
      </w:pPr>
      <w:r>
        <w:t>Summary</w:t>
      </w:r>
      <w:r>
        <w:tab/>
      </w:r>
      <w:r>
        <w:fldChar w:fldCharType="begin"/>
      </w:r>
      <w:r>
        <w:instrText xml:space="preserve"> PAGEREF _Toc9955056 \h </w:instrText>
      </w:r>
      <w:r>
        <w:fldChar w:fldCharType="separate"/>
      </w:r>
      <w:r>
        <w:t>44</w:t>
      </w:r>
      <w:r>
        <w:fldChar w:fldCharType="end"/>
      </w:r>
    </w:p>
    <w:p w14:paraId="07EBC846" w14:textId="04BC8C07" w:rsidR="004702C5" w:rsidRDefault="004702C5">
      <w:pPr>
        <w:pStyle w:val="TOC2"/>
        <w:rPr>
          <w:rFonts w:eastAsiaTheme="minorEastAsia" w:cstheme="minorBidi"/>
          <w:bCs w:val="0"/>
          <w:sz w:val="24"/>
          <w:szCs w:val="24"/>
        </w:rPr>
      </w:pPr>
      <w:r>
        <w:t>The HSR Calculator</w:t>
      </w:r>
      <w:r>
        <w:tab/>
      </w:r>
      <w:r>
        <w:fldChar w:fldCharType="begin"/>
      </w:r>
      <w:r>
        <w:instrText xml:space="preserve"> PAGEREF _Toc9955057 \h </w:instrText>
      </w:r>
      <w:r>
        <w:fldChar w:fldCharType="separate"/>
      </w:r>
      <w:r>
        <w:t>46</w:t>
      </w:r>
      <w:r>
        <w:fldChar w:fldCharType="end"/>
      </w:r>
    </w:p>
    <w:p w14:paraId="7B6EE830" w14:textId="5EA4310E" w:rsidR="004702C5" w:rsidRDefault="004702C5">
      <w:pPr>
        <w:pStyle w:val="TOC2"/>
        <w:rPr>
          <w:rFonts w:eastAsiaTheme="minorEastAsia" w:cstheme="minorBidi"/>
          <w:bCs w:val="0"/>
          <w:sz w:val="24"/>
          <w:szCs w:val="24"/>
        </w:rPr>
      </w:pPr>
      <w:r>
        <w:t>Proposed HSR System enhancements</w:t>
      </w:r>
      <w:r>
        <w:tab/>
      </w:r>
      <w:r>
        <w:fldChar w:fldCharType="begin"/>
      </w:r>
      <w:r>
        <w:instrText xml:space="preserve"> PAGEREF _Toc9955058 \h </w:instrText>
      </w:r>
      <w:r>
        <w:fldChar w:fldCharType="separate"/>
      </w:r>
      <w:r>
        <w:t>48</w:t>
      </w:r>
      <w:r>
        <w:fldChar w:fldCharType="end"/>
      </w:r>
    </w:p>
    <w:p w14:paraId="68CE7392" w14:textId="5A63B23F" w:rsidR="004702C5" w:rsidRDefault="004702C5">
      <w:pPr>
        <w:pStyle w:val="TOC2"/>
        <w:rPr>
          <w:rFonts w:eastAsiaTheme="minorEastAsia" w:cstheme="minorBidi"/>
          <w:bCs w:val="0"/>
          <w:sz w:val="24"/>
          <w:szCs w:val="24"/>
        </w:rPr>
      </w:pPr>
      <w:r>
        <w:t>Impact of all proposed System enhancements</w:t>
      </w:r>
      <w:r>
        <w:tab/>
      </w:r>
      <w:r>
        <w:fldChar w:fldCharType="begin"/>
      </w:r>
      <w:r>
        <w:instrText xml:space="preserve"> PAGEREF _Toc9955059 \h </w:instrText>
      </w:r>
      <w:r>
        <w:fldChar w:fldCharType="separate"/>
      </w:r>
      <w:r>
        <w:t>58</w:t>
      </w:r>
      <w:r>
        <w:fldChar w:fldCharType="end"/>
      </w:r>
    </w:p>
    <w:p w14:paraId="533484E0" w14:textId="33CEC045" w:rsidR="004702C5" w:rsidRDefault="004702C5">
      <w:pPr>
        <w:pStyle w:val="TOC2"/>
        <w:rPr>
          <w:rFonts w:eastAsiaTheme="minorEastAsia" w:cstheme="minorBidi"/>
          <w:bCs w:val="0"/>
          <w:sz w:val="24"/>
          <w:szCs w:val="24"/>
        </w:rPr>
      </w:pPr>
      <w:r>
        <w:t>Non-dairy beverages</w:t>
      </w:r>
      <w:r>
        <w:tab/>
      </w:r>
      <w:r>
        <w:fldChar w:fldCharType="begin"/>
      </w:r>
      <w:r>
        <w:instrText xml:space="preserve"> PAGEREF _Toc9955060 \h </w:instrText>
      </w:r>
      <w:r>
        <w:fldChar w:fldCharType="separate"/>
      </w:r>
      <w:r>
        <w:t>60</w:t>
      </w:r>
      <w:r>
        <w:fldChar w:fldCharType="end"/>
      </w:r>
    </w:p>
    <w:p w14:paraId="20DA613D" w14:textId="47154EC9" w:rsidR="004702C5" w:rsidRDefault="004702C5">
      <w:pPr>
        <w:pStyle w:val="TOC2"/>
        <w:rPr>
          <w:rFonts w:eastAsiaTheme="minorEastAsia" w:cstheme="minorBidi"/>
          <w:bCs w:val="0"/>
          <w:sz w:val="24"/>
          <w:szCs w:val="24"/>
        </w:rPr>
      </w:pPr>
      <w:r>
        <w:t>Transition period</w:t>
      </w:r>
      <w:r>
        <w:tab/>
      </w:r>
      <w:r>
        <w:fldChar w:fldCharType="begin"/>
      </w:r>
      <w:r>
        <w:instrText xml:space="preserve"> PAGEREF _Toc9955061 \h </w:instrText>
      </w:r>
      <w:r>
        <w:fldChar w:fldCharType="separate"/>
      </w:r>
      <w:r>
        <w:t>66</w:t>
      </w:r>
      <w:r>
        <w:fldChar w:fldCharType="end"/>
      </w:r>
    </w:p>
    <w:p w14:paraId="74D12F28" w14:textId="05A30B34" w:rsidR="004702C5" w:rsidRDefault="004702C5">
      <w:pPr>
        <w:pStyle w:val="TOC1"/>
        <w:rPr>
          <w:rFonts w:eastAsiaTheme="minorEastAsia"/>
          <w:b w:val="0"/>
          <w:bCs w:val="0"/>
          <w:noProof/>
        </w:rPr>
      </w:pPr>
      <w:r>
        <w:rPr>
          <w:noProof/>
        </w:rPr>
        <w:t>Chapter 6 – Management of the Health Star Rating System</w:t>
      </w:r>
      <w:r>
        <w:rPr>
          <w:noProof/>
        </w:rPr>
        <w:tab/>
      </w:r>
      <w:r>
        <w:rPr>
          <w:noProof/>
        </w:rPr>
        <w:fldChar w:fldCharType="begin"/>
      </w:r>
      <w:r>
        <w:rPr>
          <w:noProof/>
        </w:rPr>
        <w:instrText xml:space="preserve"> PAGEREF _Toc9955062 \h </w:instrText>
      </w:r>
      <w:r>
        <w:rPr>
          <w:noProof/>
        </w:rPr>
      </w:r>
      <w:r>
        <w:rPr>
          <w:noProof/>
        </w:rPr>
        <w:fldChar w:fldCharType="separate"/>
      </w:r>
      <w:r>
        <w:rPr>
          <w:noProof/>
        </w:rPr>
        <w:t>68</w:t>
      </w:r>
      <w:r>
        <w:rPr>
          <w:noProof/>
        </w:rPr>
        <w:fldChar w:fldCharType="end"/>
      </w:r>
    </w:p>
    <w:p w14:paraId="180B151C" w14:textId="608AD298" w:rsidR="004702C5" w:rsidRDefault="004702C5">
      <w:pPr>
        <w:pStyle w:val="TOC2"/>
        <w:rPr>
          <w:rFonts w:eastAsiaTheme="minorEastAsia" w:cstheme="minorBidi"/>
          <w:bCs w:val="0"/>
          <w:sz w:val="24"/>
          <w:szCs w:val="24"/>
        </w:rPr>
      </w:pPr>
      <w:r>
        <w:rPr>
          <w:lang w:eastAsia="en-GB"/>
        </w:rPr>
        <w:t>Summary</w:t>
      </w:r>
      <w:r>
        <w:tab/>
      </w:r>
      <w:r>
        <w:fldChar w:fldCharType="begin"/>
      </w:r>
      <w:r>
        <w:instrText xml:space="preserve"> PAGEREF _Toc9955063 \h </w:instrText>
      </w:r>
      <w:r>
        <w:fldChar w:fldCharType="separate"/>
      </w:r>
      <w:r>
        <w:t>68</w:t>
      </w:r>
      <w:r>
        <w:fldChar w:fldCharType="end"/>
      </w:r>
    </w:p>
    <w:p w14:paraId="7C358525" w14:textId="0DC6D638" w:rsidR="004702C5" w:rsidRDefault="004702C5">
      <w:pPr>
        <w:pStyle w:val="TOC2"/>
        <w:rPr>
          <w:rFonts w:eastAsiaTheme="minorEastAsia" w:cstheme="minorBidi"/>
          <w:bCs w:val="0"/>
          <w:sz w:val="24"/>
          <w:szCs w:val="24"/>
        </w:rPr>
      </w:pPr>
      <w:r>
        <w:rPr>
          <w:lang w:eastAsia="en-GB"/>
        </w:rPr>
        <w:t>HSR System Funding</w:t>
      </w:r>
      <w:r>
        <w:tab/>
      </w:r>
      <w:r>
        <w:fldChar w:fldCharType="begin"/>
      </w:r>
      <w:r>
        <w:instrText xml:space="preserve"> PAGEREF _Toc9955064 \h </w:instrText>
      </w:r>
      <w:r>
        <w:fldChar w:fldCharType="separate"/>
      </w:r>
      <w:r>
        <w:t>69</w:t>
      </w:r>
      <w:r>
        <w:fldChar w:fldCharType="end"/>
      </w:r>
    </w:p>
    <w:p w14:paraId="2C41E291" w14:textId="6298A184" w:rsidR="004702C5" w:rsidRDefault="004702C5">
      <w:pPr>
        <w:pStyle w:val="TOC2"/>
        <w:rPr>
          <w:rFonts w:eastAsiaTheme="minorEastAsia" w:cstheme="minorBidi"/>
          <w:bCs w:val="0"/>
          <w:sz w:val="24"/>
          <w:szCs w:val="24"/>
        </w:rPr>
      </w:pPr>
      <w:r>
        <w:rPr>
          <w:lang w:eastAsia="en-GB"/>
        </w:rPr>
        <w:t>Governance arrangements</w:t>
      </w:r>
      <w:r>
        <w:tab/>
      </w:r>
      <w:r>
        <w:fldChar w:fldCharType="begin"/>
      </w:r>
      <w:r>
        <w:instrText xml:space="preserve"> PAGEREF _Toc9955065 \h </w:instrText>
      </w:r>
      <w:r>
        <w:fldChar w:fldCharType="separate"/>
      </w:r>
      <w:r>
        <w:t>71</w:t>
      </w:r>
      <w:r>
        <w:fldChar w:fldCharType="end"/>
      </w:r>
    </w:p>
    <w:p w14:paraId="769D8D8B" w14:textId="567AD80C" w:rsidR="004702C5" w:rsidRDefault="004702C5">
      <w:pPr>
        <w:pStyle w:val="TOC2"/>
        <w:rPr>
          <w:rFonts w:eastAsiaTheme="minorEastAsia" w:cstheme="minorBidi"/>
          <w:bCs w:val="0"/>
          <w:sz w:val="24"/>
          <w:szCs w:val="24"/>
        </w:rPr>
      </w:pPr>
      <w:r>
        <w:rPr>
          <w:lang w:eastAsia="en-GB"/>
        </w:rPr>
        <w:t>Critical public health infrastructure to support the HSR System</w:t>
      </w:r>
      <w:r>
        <w:tab/>
      </w:r>
      <w:r>
        <w:fldChar w:fldCharType="begin"/>
      </w:r>
      <w:r>
        <w:instrText xml:space="preserve"> PAGEREF _Toc9955066 \h </w:instrText>
      </w:r>
      <w:r>
        <w:fldChar w:fldCharType="separate"/>
      </w:r>
      <w:r>
        <w:t>76</w:t>
      </w:r>
      <w:r>
        <w:fldChar w:fldCharType="end"/>
      </w:r>
    </w:p>
    <w:p w14:paraId="154C0888" w14:textId="1A933ECA" w:rsidR="004702C5" w:rsidRDefault="004702C5">
      <w:pPr>
        <w:pStyle w:val="TOC1"/>
        <w:rPr>
          <w:rFonts w:eastAsiaTheme="minorEastAsia"/>
          <w:b w:val="0"/>
          <w:bCs w:val="0"/>
          <w:noProof/>
        </w:rPr>
      </w:pPr>
      <w:r>
        <w:rPr>
          <w:noProof/>
        </w:rPr>
        <w:t>Chapter 7 – Optimising uptake of the Health Star Rating System</w:t>
      </w:r>
      <w:r>
        <w:rPr>
          <w:noProof/>
        </w:rPr>
        <w:tab/>
      </w:r>
      <w:r>
        <w:rPr>
          <w:noProof/>
        </w:rPr>
        <w:fldChar w:fldCharType="begin"/>
      </w:r>
      <w:r>
        <w:rPr>
          <w:noProof/>
        </w:rPr>
        <w:instrText xml:space="preserve"> PAGEREF _Toc9955067 \h </w:instrText>
      </w:r>
      <w:r>
        <w:rPr>
          <w:noProof/>
        </w:rPr>
      </w:r>
      <w:r>
        <w:rPr>
          <w:noProof/>
        </w:rPr>
        <w:fldChar w:fldCharType="separate"/>
      </w:r>
      <w:r>
        <w:rPr>
          <w:noProof/>
        </w:rPr>
        <w:t>80</w:t>
      </w:r>
      <w:r>
        <w:rPr>
          <w:noProof/>
        </w:rPr>
        <w:fldChar w:fldCharType="end"/>
      </w:r>
    </w:p>
    <w:p w14:paraId="20F006C6" w14:textId="402B8EDF" w:rsidR="004702C5" w:rsidRDefault="004702C5">
      <w:pPr>
        <w:pStyle w:val="TOC2"/>
        <w:rPr>
          <w:rFonts w:eastAsiaTheme="minorEastAsia" w:cstheme="minorBidi"/>
          <w:bCs w:val="0"/>
          <w:sz w:val="24"/>
          <w:szCs w:val="24"/>
        </w:rPr>
      </w:pPr>
      <w:r>
        <w:rPr>
          <w:lang w:eastAsia="en-GB"/>
        </w:rPr>
        <w:t>Summary</w:t>
      </w:r>
      <w:r>
        <w:tab/>
      </w:r>
      <w:r>
        <w:fldChar w:fldCharType="begin"/>
      </w:r>
      <w:r>
        <w:instrText xml:space="preserve"> PAGEREF _Toc9955068 \h </w:instrText>
      </w:r>
      <w:r>
        <w:fldChar w:fldCharType="separate"/>
      </w:r>
      <w:r>
        <w:t>80</w:t>
      </w:r>
      <w:r>
        <w:fldChar w:fldCharType="end"/>
      </w:r>
    </w:p>
    <w:p w14:paraId="3340AAB4" w14:textId="0B66C73E" w:rsidR="004702C5" w:rsidRDefault="004702C5">
      <w:pPr>
        <w:pStyle w:val="TOC2"/>
        <w:rPr>
          <w:rFonts w:eastAsiaTheme="minorEastAsia" w:cstheme="minorBidi"/>
          <w:bCs w:val="0"/>
          <w:sz w:val="24"/>
          <w:szCs w:val="24"/>
        </w:rPr>
      </w:pPr>
      <w:r>
        <w:rPr>
          <w:lang w:eastAsia="en-GB"/>
        </w:rPr>
        <w:t>Best practice regulation</w:t>
      </w:r>
      <w:r>
        <w:tab/>
      </w:r>
      <w:r>
        <w:fldChar w:fldCharType="begin"/>
      </w:r>
      <w:r>
        <w:instrText xml:space="preserve"> PAGEREF _Toc9955069 \h </w:instrText>
      </w:r>
      <w:r>
        <w:fldChar w:fldCharType="separate"/>
      </w:r>
      <w:r>
        <w:t>81</w:t>
      </w:r>
      <w:r>
        <w:fldChar w:fldCharType="end"/>
      </w:r>
    </w:p>
    <w:p w14:paraId="52E18DE3" w14:textId="7929C8DA" w:rsidR="004702C5" w:rsidRDefault="004702C5">
      <w:pPr>
        <w:pStyle w:val="TOC2"/>
        <w:rPr>
          <w:rFonts w:eastAsiaTheme="minorEastAsia" w:cstheme="minorBidi"/>
          <w:bCs w:val="0"/>
          <w:sz w:val="24"/>
          <w:szCs w:val="24"/>
        </w:rPr>
      </w:pPr>
      <w:r>
        <w:rPr>
          <w:lang w:eastAsia="en-GB"/>
        </w:rPr>
        <w:t>International experience and trade implications</w:t>
      </w:r>
      <w:r>
        <w:tab/>
      </w:r>
      <w:r>
        <w:fldChar w:fldCharType="begin"/>
      </w:r>
      <w:r>
        <w:instrText xml:space="preserve"> PAGEREF _Toc9955070 \h </w:instrText>
      </w:r>
      <w:r>
        <w:fldChar w:fldCharType="separate"/>
      </w:r>
      <w:r>
        <w:t>83</w:t>
      </w:r>
      <w:r>
        <w:fldChar w:fldCharType="end"/>
      </w:r>
    </w:p>
    <w:p w14:paraId="320D16C8" w14:textId="44D665E7" w:rsidR="004702C5" w:rsidRDefault="004702C5">
      <w:pPr>
        <w:pStyle w:val="TOC2"/>
        <w:rPr>
          <w:rFonts w:eastAsiaTheme="minorEastAsia" w:cstheme="minorBidi"/>
          <w:bCs w:val="0"/>
          <w:sz w:val="24"/>
          <w:szCs w:val="24"/>
        </w:rPr>
      </w:pPr>
      <w:r>
        <w:rPr>
          <w:lang w:eastAsia="en-GB"/>
        </w:rPr>
        <w:t>Barriers to uptake of the HSR System</w:t>
      </w:r>
      <w:r>
        <w:tab/>
      </w:r>
      <w:r>
        <w:fldChar w:fldCharType="begin"/>
      </w:r>
      <w:r>
        <w:instrText xml:space="preserve"> PAGEREF _Toc9955071 \h </w:instrText>
      </w:r>
      <w:r>
        <w:fldChar w:fldCharType="separate"/>
      </w:r>
      <w:r>
        <w:t>84</w:t>
      </w:r>
      <w:r>
        <w:fldChar w:fldCharType="end"/>
      </w:r>
    </w:p>
    <w:p w14:paraId="3B2FBDEA" w14:textId="61BF4E57" w:rsidR="004702C5" w:rsidRDefault="004702C5">
      <w:pPr>
        <w:pStyle w:val="TOC2"/>
        <w:rPr>
          <w:rFonts w:eastAsiaTheme="minorEastAsia" w:cstheme="minorBidi"/>
          <w:bCs w:val="0"/>
          <w:sz w:val="24"/>
          <w:szCs w:val="24"/>
        </w:rPr>
      </w:pPr>
      <w:r>
        <w:rPr>
          <w:lang w:eastAsia="en-GB"/>
        </w:rPr>
        <w:t>Incentivising uptake of the HSR System</w:t>
      </w:r>
      <w:r>
        <w:tab/>
      </w:r>
      <w:r>
        <w:fldChar w:fldCharType="begin"/>
      </w:r>
      <w:r>
        <w:instrText xml:space="preserve"> PAGEREF _Toc9955072 \h </w:instrText>
      </w:r>
      <w:r>
        <w:fldChar w:fldCharType="separate"/>
      </w:r>
      <w:r>
        <w:t>85</w:t>
      </w:r>
      <w:r>
        <w:fldChar w:fldCharType="end"/>
      </w:r>
    </w:p>
    <w:p w14:paraId="319589E2" w14:textId="5D240F00" w:rsidR="004702C5" w:rsidRDefault="004702C5">
      <w:pPr>
        <w:pStyle w:val="TOC2"/>
        <w:rPr>
          <w:rFonts w:eastAsiaTheme="minorEastAsia" w:cstheme="minorBidi"/>
          <w:bCs w:val="0"/>
          <w:sz w:val="24"/>
          <w:szCs w:val="24"/>
        </w:rPr>
      </w:pPr>
      <w:r>
        <w:rPr>
          <w:lang w:eastAsia="en-GB"/>
        </w:rPr>
        <w:t>Rationale for uptake targets</w:t>
      </w:r>
      <w:r>
        <w:tab/>
      </w:r>
      <w:r>
        <w:fldChar w:fldCharType="begin"/>
      </w:r>
      <w:r>
        <w:instrText xml:space="preserve"> PAGEREF _Toc9955073 \h </w:instrText>
      </w:r>
      <w:r>
        <w:fldChar w:fldCharType="separate"/>
      </w:r>
      <w:r>
        <w:t>87</w:t>
      </w:r>
      <w:r>
        <w:fldChar w:fldCharType="end"/>
      </w:r>
    </w:p>
    <w:p w14:paraId="50D76EB4" w14:textId="3FB18A01" w:rsidR="004702C5" w:rsidRDefault="004702C5">
      <w:pPr>
        <w:pStyle w:val="TOC2"/>
        <w:rPr>
          <w:rFonts w:eastAsiaTheme="minorEastAsia" w:cstheme="minorBidi"/>
          <w:bCs w:val="0"/>
          <w:sz w:val="24"/>
          <w:szCs w:val="24"/>
        </w:rPr>
      </w:pPr>
      <w:r>
        <w:t>HSR System Industry guidance</w:t>
      </w:r>
      <w:r>
        <w:tab/>
      </w:r>
      <w:r>
        <w:fldChar w:fldCharType="begin"/>
      </w:r>
      <w:r>
        <w:instrText xml:space="preserve"> PAGEREF _Toc9955074 \h </w:instrText>
      </w:r>
      <w:r>
        <w:fldChar w:fldCharType="separate"/>
      </w:r>
      <w:r>
        <w:t>89</w:t>
      </w:r>
      <w:r>
        <w:fldChar w:fldCharType="end"/>
      </w:r>
    </w:p>
    <w:p w14:paraId="73BED3CB" w14:textId="308AC138" w:rsidR="004702C5" w:rsidRDefault="004702C5">
      <w:pPr>
        <w:pStyle w:val="TOC1"/>
        <w:rPr>
          <w:rFonts w:eastAsiaTheme="minorEastAsia"/>
          <w:b w:val="0"/>
          <w:bCs w:val="0"/>
          <w:noProof/>
        </w:rPr>
      </w:pPr>
      <w:r>
        <w:rPr>
          <w:noProof/>
        </w:rPr>
        <w:lastRenderedPageBreak/>
        <w:t>Appendix A: About the Health Star Rating Calculator</w:t>
      </w:r>
      <w:r>
        <w:rPr>
          <w:noProof/>
        </w:rPr>
        <w:tab/>
      </w:r>
      <w:r>
        <w:rPr>
          <w:noProof/>
        </w:rPr>
        <w:fldChar w:fldCharType="begin"/>
      </w:r>
      <w:r>
        <w:rPr>
          <w:noProof/>
        </w:rPr>
        <w:instrText xml:space="preserve"> PAGEREF _Toc9955075 \h </w:instrText>
      </w:r>
      <w:r>
        <w:rPr>
          <w:noProof/>
        </w:rPr>
      </w:r>
      <w:r>
        <w:rPr>
          <w:noProof/>
        </w:rPr>
        <w:fldChar w:fldCharType="separate"/>
      </w:r>
      <w:r>
        <w:rPr>
          <w:noProof/>
        </w:rPr>
        <w:t>90</w:t>
      </w:r>
      <w:r>
        <w:rPr>
          <w:noProof/>
        </w:rPr>
        <w:fldChar w:fldCharType="end"/>
      </w:r>
    </w:p>
    <w:p w14:paraId="7ACFFBDE" w14:textId="0EBA8650" w:rsidR="004702C5" w:rsidRDefault="004702C5">
      <w:pPr>
        <w:pStyle w:val="TOC2"/>
        <w:rPr>
          <w:rFonts w:eastAsiaTheme="minorEastAsia" w:cstheme="minorBidi"/>
          <w:bCs w:val="0"/>
          <w:sz w:val="24"/>
          <w:szCs w:val="24"/>
        </w:rPr>
      </w:pPr>
      <w:r>
        <w:t>Overview</w:t>
      </w:r>
      <w:r>
        <w:tab/>
      </w:r>
      <w:r>
        <w:fldChar w:fldCharType="begin"/>
      </w:r>
      <w:r>
        <w:instrText xml:space="preserve"> PAGEREF _Toc9955076 \h </w:instrText>
      </w:r>
      <w:r>
        <w:fldChar w:fldCharType="separate"/>
      </w:r>
      <w:r>
        <w:t>90</w:t>
      </w:r>
      <w:r>
        <w:fldChar w:fldCharType="end"/>
      </w:r>
    </w:p>
    <w:p w14:paraId="17FE6DDC" w14:textId="1FF8F4D7" w:rsidR="004702C5" w:rsidRDefault="004702C5">
      <w:pPr>
        <w:pStyle w:val="TOC2"/>
        <w:rPr>
          <w:rFonts w:eastAsiaTheme="minorEastAsia" w:cstheme="minorBidi"/>
          <w:bCs w:val="0"/>
          <w:sz w:val="24"/>
          <w:szCs w:val="24"/>
        </w:rPr>
      </w:pPr>
      <w:r>
        <w:t>How the HSR Calculator works</w:t>
      </w:r>
      <w:r>
        <w:tab/>
      </w:r>
      <w:r>
        <w:fldChar w:fldCharType="begin"/>
      </w:r>
      <w:r>
        <w:instrText xml:space="preserve"> PAGEREF _Toc9955077 \h </w:instrText>
      </w:r>
      <w:r>
        <w:fldChar w:fldCharType="separate"/>
      </w:r>
      <w:r>
        <w:t>90</w:t>
      </w:r>
      <w:r>
        <w:fldChar w:fldCharType="end"/>
      </w:r>
    </w:p>
    <w:p w14:paraId="16C94E4A" w14:textId="15B2A6E1" w:rsidR="004702C5" w:rsidRDefault="004702C5">
      <w:pPr>
        <w:pStyle w:val="TOC1"/>
        <w:rPr>
          <w:rFonts w:eastAsiaTheme="minorEastAsia"/>
          <w:b w:val="0"/>
          <w:bCs w:val="0"/>
          <w:noProof/>
        </w:rPr>
      </w:pPr>
      <w:r>
        <w:rPr>
          <w:noProof/>
        </w:rPr>
        <w:t>Appendix B: Impact of the Health Star Rating System</w:t>
      </w:r>
      <w:r>
        <w:rPr>
          <w:noProof/>
        </w:rPr>
        <w:tab/>
      </w:r>
      <w:r>
        <w:rPr>
          <w:noProof/>
        </w:rPr>
        <w:fldChar w:fldCharType="begin"/>
      </w:r>
      <w:r>
        <w:rPr>
          <w:noProof/>
        </w:rPr>
        <w:instrText xml:space="preserve"> PAGEREF _Toc9955078 \h </w:instrText>
      </w:r>
      <w:r>
        <w:rPr>
          <w:noProof/>
        </w:rPr>
      </w:r>
      <w:r>
        <w:rPr>
          <w:noProof/>
        </w:rPr>
        <w:fldChar w:fldCharType="separate"/>
      </w:r>
      <w:r>
        <w:rPr>
          <w:noProof/>
        </w:rPr>
        <w:t>93</w:t>
      </w:r>
      <w:r>
        <w:rPr>
          <w:noProof/>
        </w:rPr>
        <w:fldChar w:fldCharType="end"/>
      </w:r>
    </w:p>
    <w:p w14:paraId="43CD3DA8" w14:textId="209CF003" w:rsidR="004702C5" w:rsidRDefault="004702C5">
      <w:pPr>
        <w:pStyle w:val="TOC2"/>
        <w:rPr>
          <w:rFonts w:eastAsiaTheme="minorEastAsia" w:cstheme="minorBidi"/>
          <w:bCs w:val="0"/>
          <w:sz w:val="24"/>
          <w:szCs w:val="24"/>
        </w:rPr>
      </w:pPr>
      <w:r>
        <w:t>Key statistics</w:t>
      </w:r>
      <w:r>
        <w:tab/>
      </w:r>
      <w:r>
        <w:fldChar w:fldCharType="begin"/>
      </w:r>
      <w:r>
        <w:instrText xml:space="preserve"> PAGEREF _Toc9955079 \h </w:instrText>
      </w:r>
      <w:r>
        <w:fldChar w:fldCharType="separate"/>
      </w:r>
      <w:r>
        <w:t>93</w:t>
      </w:r>
      <w:r>
        <w:fldChar w:fldCharType="end"/>
      </w:r>
    </w:p>
    <w:p w14:paraId="33C32887" w14:textId="79DD04DE" w:rsidR="004702C5" w:rsidRDefault="004702C5">
      <w:pPr>
        <w:pStyle w:val="TOC1"/>
        <w:rPr>
          <w:rFonts w:eastAsiaTheme="minorEastAsia"/>
          <w:b w:val="0"/>
          <w:bCs w:val="0"/>
          <w:noProof/>
        </w:rPr>
      </w:pPr>
      <w:r>
        <w:rPr>
          <w:noProof/>
        </w:rPr>
        <w:t>Appendix C: Health Star Rating System use, promotion and complementary healthy eating initiatives</w:t>
      </w:r>
      <w:r>
        <w:rPr>
          <w:noProof/>
        </w:rPr>
        <w:tab/>
      </w:r>
      <w:r>
        <w:rPr>
          <w:noProof/>
        </w:rPr>
        <w:fldChar w:fldCharType="begin"/>
      </w:r>
      <w:r>
        <w:rPr>
          <w:noProof/>
        </w:rPr>
        <w:instrText xml:space="preserve"> PAGEREF _Toc9955080 \h </w:instrText>
      </w:r>
      <w:r>
        <w:rPr>
          <w:noProof/>
        </w:rPr>
      </w:r>
      <w:r>
        <w:rPr>
          <w:noProof/>
        </w:rPr>
        <w:fldChar w:fldCharType="separate"/>
      </w:r>
      <w:r>
        <w:rPr>
          <w:noProof/>
        </w:rPr>
        <w:t>95</w:t>
      </w:r>
      <w:r>
        <w:rPr>
          <w:noProof/>
        </w:rPr>
        <w:fldChar w:fldCharType="end"/>
      </w:r>
    </w:p>
    <w:p w14:paraId="60F69C5B" w14:textId="72C8E857" w:rsidR="004702C5" w:rsidRDefault="004702C5">
      <w:pPr>
        <w:pStyle w:val="TOC2"/>
        <w:rPr>
          <w:rFonts w:eastAsiaTheme="minorEastAsia" w:cstheme="minorBidi"/>
          <w:bCs w:val="0"/>
          <w:sz w:val="24"/>
          <w:szCs w:val="24"/>
        </w:rPr>
      </w:pPr>
      <w:r>
        <w:t>HSR System use in other government initiatives</w:t>
      </w:r>
      <w:r>
        <w:tab/>
      </w:r>
      <w:r>
        <w:fldChar w:fldCharType="begin"/>
      </w:r>
      <w:r>
        <w:instrText xml:space="preserve"> PAGEREF _Toc9955081 \h </w:instrText>
      </w:r>
      <w:r>
        <w:fldChar w:fldCharType="separate"/>
      </w:r>
      <w:r>
        <w:t>95</w:t>
      </w:r>
      <w:r>
        <w:fldChar w:fldCharType="end"/>
      </w:r>
    </w:p>
    <w:p w14:paraId="6FD93CAD" w14:textId="67AC666A" w:rsidR="004702C5" w:rsidRDefault="004702C5">
      <w:pPr>
        <w:pStyle w:val="TOC2"/>
        <w:rPr>
          <w:rFonts w:eastAsiaTheme="minorEastAsia" w:cstheme="minorBidi"/>
          <w:bCs w:val="0"/>
          <w:sz w:val="24"/>
          <w:szCs w:val="24"/>
        </w:rPr>
      </w:pPr>
      <w:r>
        <w:t>Industry promotion of the HSR System</w:t>
      </w:r>
      <w:r>
        <w:tab/>
      </w:r>
      <w:r>
        <w:fldChar w:fldCharType="begin"/>
      </w:r>
      <w:r>
        <w:instrText xml:space="preserve"> PAGEREF _Toc9955082 \h </w:instrText>
      </w:r>
      <w:r>
        <w:fldChar w:fldCharType="separate"/>
      </w:r>
      <w:r>
        <w:t>95</w:t>
      </w:r>
      <w:r>
        <w:fldChar w:fldCharType="end"/>
      </w:r>
    </w:p>
    <w:p w14:paraId="7BF9AF15" w14:textId="0F1AFC82" w:rsidR="004702C5" w:rsidRDefault="004702C5">
      <w:pPr>
        <w:pStyle w:val="TOC2"/>
        <w:rPr>
          <w:rFonts w:eastAsiaTheme="minorEastAsia" w:cstheme="minorBidi"/>
          <w:bCs w:val="0"/>
          <w:sz w:val="24"/>
          <w:szCs w:val="24"/>
        </w:rPr>
      </w:pPr>
      <w:r>
        <w:t>Public health and others’ promotion of the HSR System</w:t>
      </w:r>
      <w:r>
        <w:tab/>
      </w:r>
      <w:r>
        <w:fldChar w:fldCharType="begin"/>
      </w:r>
      <w:r>
        <w:instrText xml:space="preserve"> PAGEREF _Toc9955083 \h </w:instrText>
      </w:r>
      <w:r>
        <w:fldChar w:fldCharType="separate"/>
      </w:r>
      <w:r>
        <w:t>97</w:t>
      </w:r>
      <w:r>
        <w:fldChar w:fldCharType="end"/>
      </w:r>
    </w:p>
    <w:p w14:paraId="34BEAABF" w14:textId="74616D0E" w:rsidR="004702C5" w:rsidRDefault="004702C5">
      <w:pPr>
        <w:pStyle w:val="TOC2"/>
        <w:rPr>
          <w:rFonts w:eastAsiaTheme="minorEastAsia" w:cstheme="minorBidi"/>
          <w:bCs w:val="0"/>
          <w:sz w:val="24"/>
          <w:szCs w:val="24"/>
        </w:rPr>
      </w:pPr>
      <w:r>
        <w:t>Complementary healthy eating initiatives</w:t>
      </w:r>
      <w:r>
        <w:tab/>
      </w:r>
      <w:r>
        <w:fldChar w:fldCharType="begin"/>
      </w:r>
      <w:r>
        <w:instrText xml:space="preserve"> PAGEREF _Toc9955084 \h </w:instrText>
      </w:r>
      <w:r>
        <w:fldChar w:fldCharType="separate"/>
      </w:r>
      <w:r>
        <w:t>98</w:t>
      </w:r>
      <w:r>
        <w:fldChar w:fldCharType="end"/>
      </w:r>
    </w:p>
    <w:p w14:paraId="11A92D71" w14:textId="6497A7A3" w:rsidR="004702C5" w:rsidRDefault="004702C5">
      <w:pPr>
        <w:pStyle w:val="TOC1"/>
        <w:rPr>
          <w:rFonts w:eastAsiaTheme="minorEastAsia"/>
          <w:b w:val="0"/>
          <w:bCs w:val="0"/>
          <w:noProof/>
        </w:rPr>
      </w:pPr>
      <w:r>
        <w:rPr>
          <w:noProof/>
        </w:rPr>
        <w:t>Appendix D: Issues and options raised throughout the Review</w:t>
      </w:r>
      <w:r>
        <w:rPr>
          <w:noProof/>
        </w:rPr>
        <w:tab/>
      </w:r>
      <w:r>
        <w:rPr>
          <w:noProof/>
        </w:rPr>
        <w:fldChar w:fldCharType="begin"/>
      </w:r>
      <w:r>
        <w:rPr>
          <w:noProof/>
        </w:rPr>
        <w:instrText xml:space="preserve"> PAGEREF _Toc9955085 \h </w:instrText>
      </w:r>
      <w:r>
        <w:rPr>
          <w:noProof/>
        </w:rPr>
      </w:r>
      <w:r>
        <w:rPr>
          <w:noProof/>
        </w:rPr>
        <w:fldChar w:fldCharType="separate"/>
      </w:r>
      <w:r>
        <w:rPr>
          <w:noProof/>
        </w:rPr>
        <w:t>102</w:t>
      </w:r>
      <w:r>
        <w:rPr>
          <w:noProof/>
        </w:rPr>
        <w:fldChar w:fldCharType="end"/>
      </w:r>
    </w:p>
    <w:p w14:paraId="2241098A" w14:textId="49C0CF31" w:rsidR="004702C5" w:rsidRDefault="004702C5">
      <w:pPr>
        <w:pStyle w:val="TOC2"/>
        <w:rPr>
          <w:rFonts w:eastAsiaTheme="minorEastAsia" w:cstheme="minorBidi"/>
          <w:bCs w:val="0"/>
          <w:sz w:val="24"/>
          <w:szCs w:val="24"/>
        </w:rPr>
      </w:pPr>
      <w:r>
        <w:t>HSR System</w:t>
      </w:r>
      <w:r>
        <w:tab/>
      </w:r>
      <w:r>
        <w:fldChar w:fldCharType="begin"/>
      </w:r>
      <w:r>
        <w:instrText xml:space="preserve"> PAGEREF _Toc9955086 \h </w:instrText>
      </w:r>
      <w:r>
        <w:fldChar w:fldCharType="separate"/>
      </w:r>
      <w:r>
        <w:t>102</w:t>
      </w:r>
      <w:r>
        <w:fldChar w:fldCharType="end"/>
      </w:r>
    </w:p>
    <w:p w14:paraId="3417C388" w14:textId="3AA98D2A" w:rsidR="004702C5" w:rsidRDefault="004702C5">
      <w:pPr>
        <w:pStyle w:val="TOC2"/>
        <w:rPr>
          <w:rFonts w:eastAsiaTheme="minorEastAsia" w:cstheme="minorBidi"/>
          <w:bCs w:val="0"/>
          <w:sz w:val="24"/>
          <w:szCs w:val="24"/>
        </w:rPr>
      </w:pPr>
      <w:r>
        <w:t>Positive components</w:t>
      </w:r>
      <w:r>
        <w:tab/>
      </w:r>
      <w:r>
        <w:fldChar w:fldCharType="begin"/>
      </w:r>
      <w:r>
        <w:instrText xml:space="preserve"> PAGEREF _Toc9955087 \h </w:instrText>
      </w:r>
      <w:r>
        <w:fldChar w:fldCharType="separate"/>
      </w:r>
      <w:r>
        <w:t>104</w:t>
      </w:r>
      <w:r>
        <w:fldChar w:fldCharType="end"/>
      </w:r>
    </w:p>
    <w:p w14:paraId="0EB50E6D" w14:textId="5780BC05" w:rsidR="004702C5" w:rsidRDefault="004702C5">
      <w:pPr>
        <w:pStyle w:val="TOC2"/>
        <w:rPr>
          <w:rFonts w:eastAsiaTheme="minorEastAsia" w:cstheme="minorBidi"/>
          <w:bCs w:val="0"/>
          <w:sz w:val="24"/>
          <w:szCs w:val="24"/>
        </w:rPr>
      </w:pPr>
      <w:r>
        <w:t>Negative components</w:t>
      </w:r>
      <w:r>
        <w:tab/>
      </w:r>
      <w:r>
        <w:fldChar w:fldCharType="begin"/>
      </w:r>
      <w:r>
        <w:instrText xml:space="preserve"> PAGEREF _Toc9955088 \h </w:instrText>
      </w:r>
      <w:r>
        <w:fldChar w:fldCharType="separate"/>
      </w:r>
      <w:r>
        <w:t>107</w:t>
      </w:r>
      <w:r>
        <w:fldChar w:fldCharType="end"/>
      </w:r>
    </w:p>
    <w:p w14:paraId="52F73327" w14:textId="56052366" w:rsidR="004702C5" w:rsidRDefault="004702C5">
      <w:pPr>
        <w:pStyle w:val="TOC2"/>
        <w:rPr>
          <w:rFonts w:eastAsiaTheme="minorEastAsia" w:cstheme="minorBidi"/>
          <w:bCs w:val="0"/>
          <w:sz w:val="24"/>
          <w:szCs w:val="24"/>
        </w:rPr>
      </w:pPr>
      <w:r>
        <w:t>Non-dairy beverages</w:t>
      </w:r>
      <w:r>
        <w:tab/>
      </w:r>
      <w:r>
        <w:fldChar w:fldCharType="begin"/>
      </w:r>
      <w:r>
        <w:instrText xml:space="preserve"> PAGEREF _Toc9955089 \h </w:instrText>
      </w:r>
      <w:r>
        <w:fldChar w:fldCharType="separate"/>
      </w:r>
      <w:r>
        <w:t>112</w:t>
      </w:r>
      <w:r>
        <w:fldChar w:fldCharType="end"/>
      </w:r>
    </w:p>
    <w:p w14:paraId="70724AEA" w14:textId="35BCECD6" w:rsidR="004702C5" w:rsidRDefault="004702C5">
      <w:pPr>
        <w:pStyle w:val="TOC1"/>
        <w:rPr>
          <w:rFonts w:eastAsiaTheme="minorEastAsia"/>
          <w:b w:val="0"/>
          <w:bCs w:val="0"/>
          <w:noProof/>
        </w:rPr>
      </w:pPr>
      <w:r>
        <w:rPr>
          <w:noProof/>
        </w:rPr>
        <w:t>Appendix E: Revised points tables for System enhancements</w:t>
      </w:r>
      <w:r>
        <w:rPr>
          <w:noProof/>
        </w:rPr>
        <w:tab/>
      </w:r>
      <w:r>
        <w:rPr>
          <w:noProof/>
        </w:rPr>
        <w:fldChar w:fldCharType="begin"/>
      </w:r>
      <w:r>
        <w:rPr>
          <w:noProof/>
        </w:rPr>
        <w:instrText xml:space="preserve"> PAGEREF _Toc9955090 \h </w:instrText>
      </w:r>
      <w:r>
        <w:rPr>
          <w:noProof/>
        </w:rPr>
      </w:r>
      <w:r>
        <w:rPr>
          <w:noProof/>
        </w:rPr>
        <w:fldChar w:fldCharType="separate"/>
      </w:r>
      <w:r>
        <w:rPr>
          <w:noProof/>
        </w:rPr>
        <w:t>114</w:t>
      </w:r>
      <w:r>
        <w:rPr>
          <w:noProof/>
        </w:rPr>
        <w:fldChar w:fldCharType="end"/>
      </w:r>
    </w:p>
    <w:p w14:paraId="6BB0D47D" w14:textId="32925F97" w:rsidR="004702C5" w:rsidRDefault="004702C5">
      <w:pPr>
        <w:pStyle w:val="TOC1"/>
        <w:rPr>
          <w:rFonts w:eastAsiaTheme="minorEastAsia"/>
          <w:b w:val="0"/>
          <w:bCs w:val="0"/>
          <w:noProof/>
        </w:rPr>
      </w:pPr>
      <w:r>
        <w:rPr>
          <w:noProof/>
        </w:rPr>
        <w:t>Appendix F: Modelling of System enhancement impacts</w:t>
      </w:r>
      <w:r>
        <w:rPr>
          <w:noProof/>
        </w:rPr>
        <w:tab/>
      </w:r>
      <w:r>
        <w:rPr>
          <w:noProof/>
        </w:rPr>
        <w:fldChar w:fldCharType="begin"/>
      </w:r>
      <w:r>
        <w:rPr>
          <w:noProof/>
        </w:rPr>
        <w:instrText xml:space="preserve"> PAGEREF _Toc9955091 \h </w:instrText>
      </w:r>
      <w:r>
        <w:rPr>
          <w:noProof/>
        </w:rPr>
      </w:r>
      <w:r>
        <w:rPr>
          <w:noProof/>
        </w:rPr>
        <w:fldChar w:fldCharType="separate"/>
      </w:r>
      <w:r>
        <w:rPr>
          <w:noProof/>
        </w:rPr>
        <w:t>116</w:t>
      </w:r>
      <w:r>
        <w:rPr>
          <w:noProof/>
        </w:rPr>
        <w:fldChar w:fldCharType="end"/>
      </w:r>
    </w:p>
    <w:p w14:paraId="79D4A562" w14:textId="73BDCF3F" w:rsidR="004702C5" w:rsidRDefault="004702C5">
      <w:pPr>
        <w:pStyle w:val="TOC2"/>
        <w:rPr>
          <w:rFonts w:eastAsiaTheme="minorEastAsia" w:cstheme="minorBidi"/>
          <w:bCs w:val="0"/>
          <w:sz w:val="24"/>
          <w:szCs w:val="24"/>
        </w:rPr>
      </w:pPr>
      <w:r>
        <w:t>Context</w:t>
      </w:r>
      <w:r>
        <w:tab/>
      </w:r>
      <w:r>
        <w:fldChar w:fldCharType="begin"/>
      </w:r>
      <w:r>
        <w:instrText xml:space="preserve"> PAGEREF _Toc9955092 \h </w:instrText>
      </w:r>
      <w:r>
        <w:fldChar w:fldCharType="separate"/>
      </w:r>
      <w:r>
        <w:t>116</w:t>
      </w:r>
      <w:r>
        <w:fldChar w:fldCharType="end"/>
      </w:r>
    </w:p>
    <w:p w14:paraId="6DD9A90B" w14:textId="447E1701" w:rsidR="004702C5" w:rsidRDefault="004702C5">
      <w:pPr>
        <w:pStyle w:val="TOC2"/>
        <w:rPr>
          <w:rFonts w:eastAsiaTheme="minorEastAsia" w:cstheme="minorBidi"/>
          <w:bCs w:val="0"/>
          <w:sz w:val="24"/>
          <w:szCs w:val="24"/>
        </w:rPr>
      </w:pPr>
      <w:r>
        <w:t>Modelling undertaken using the TAG database</w:t>
      </w:r>
      <w:r>
        <w:tab/>
      </w:r>
      <w:r>
        <w:fldChar w:fldCharType="begin"/>
      </w:r>
      <w:r>
        <w:instrText xml:space="preserve"> PAGEREF _Toc9955093 \h </w:instrText>
      </w:r>
      <w:r>
        <w:fldChar w:fldCharType="separate"/>
      </w:r>
      <w:r>
        <w:t>117</w:t>
      </w:r>
      <w:r>
        <w:fldChar w:fldCharType="end"/>
      </w:r>
    </w:p>
    <w:p w14:paraId="5237025B" w14:textId="05419D0B" w:rsidR="004702C5" w:rsidRDefault="004702C5">
      <w:pPr>
        <w:pStyle w:val="TOC2"/>
        <w:rPr>
          <w:rFonts w:eastAsiaTheme="minorEastAsia" w:cstheme="minorBidi"/>
          <w:bCs w:val="0"/>
          <w:sz w:val="24"/>
          <w:szCs w:val="24"/>
        </w:rPr>
      </w:pPr>
      <w:r>
        <w:t>Modelling undertaken using the Nutritrack database</w:t>
      </w:r>
      <w:r>
        <w:tab/>
      </w:r>
      <w:r>
        <w:fldChar w:fldCharType="begin"/>
      </w:r>
      <w:r>
        <w:instrText xml:space="preserve"> PAGEREF _Toc9955094 \h </w:instrText>
      </w:r>
      <w:r>
        <w:fldChar w:fldCharType="separate"/>
      </w:r>
      <w:r>
        <w:t>118</w:t>
      </w:r>
      <w:r>
        <w:fldChar w:fldCharType="end"/>
      </w:r>
    </w:p>
    <w:p w14:paraId="23624489" w14:textId="4796F78C" w:rsidR="004702C5" w:rsidRDefault="004702C5">
      <w:pPr>
        <w:pStyle w:val="TOC2"/>
        <w:rPr>
          <w:rFonts w:eastAsiaTheme="minorEastAsia" w:cstheme="minorBidi"/>
          <w:bCs w:val="0"/>
          <w:sz w:val="24"/>
          <w:szCs w:val="24"/>
        </w:rPr>
      </w:pPr>
      <w:r>
        <w:t>Modelling undertaken using the FoodSwitch database</w:t>
      </w:r>
      <w:r>
        <w:tab/>
      </w:r>
      <w:r>
        <w:fldChar w:fldCharType="begin"/>
      </w:r>
      <w:r>
        <w:instrText xml:space="preserve"> PAGEREF _Toc9955095 \h </w:instrText>
      </w:r>
      <w:r>
        <w:fldChar w:fldCharType="separate"/>
      </w:r>
      <w:r>
        <w:t>119</w:t>
      </w:r>
      <w:r>
        <w:fldChar w:fldCharType="end"/>
      </w:r>
    </w:p>
    <w:p w14:paraId="0BEC0FB1" w14:textId="203209BC" w:rsidR="004702C5" w:rsidRDefault="004702C5">
      <w:pPr>
        <w:pStyle w:val="TOC1"/>
        <w:rPr>
          <w:rFonts w:eastAsiaTheme="minorEastAsia"/>
          <w:b w:val="0"/>
          <w:bCs w:val="0"/>
          <w:noProof/>
        </w:rPr>
      </w:pPr>
      <w:r>
        <w:rPr>
          <w:noProof/>
        </w:rPr>
        <w:t>Glossary</w:t>
      </w:r>
      <w:r>
        <w:rPr>
          <w:noProof/>
        </w:rPr>
        <w:tab/>
      </w:r>
      <w:r>
        <w:rPr>
          <w:noProof/>
        </w:rPr>
        <w:fldChar w:fldCharType="begin"/>
      </w:r>
      <w:r>
        <w:rPr>
          <w:noProof/>
        </w:rPr>
        <w:instrText xml:space="preserve"> PAGEREF _Toc9955096 \h </w:instrText>
      </w:r>
      <w:r>
        <w:rPr>
          <w:noProof/>
        </w:rPr>
      </w:r>
      <w:r>
        <w:rPr>
          <w:noProof/>
        </w:rPr>
        <w:fldChar w:fldCharType="separate"/>
      </w:r>
      <w:r>
        <w:rPr>
          <w:noProof/>
        </w:rPr>
        <w:t>120</w:t>
      </w:r>
      <w:r>
        <w:rPr>
          <w:noProof/>
        </w:rPr>
        <w:fldChar w:fldCharType="end"/>
      </w:r>
    </w:p>
    <w:p w14:paraId="7A22BD8F" w14:textId="750572BE" w:rsidR="004702C5" w:rsidRDefault="004702C5">
      <w:pPr>
        <w:pStyle w:val="TOC1"/>
        <w:rPr>
          <w:rFonts w:eastAsiaTheme="minorEastAsia"/>
          <w:b w:val="0"/>
          <w:bCs w:val="0"/>
          <w:noProof/>
        </w:rPr>
      </w:pPr>
      <w:r>
        <w:rPr>
          <w:noProof/>
        </w:rPr>
        <w:t>Bibliography</w:t>
      </w:r>
      <w:r>
        <w:rPr>
          <w:noProof/>
        </w:rPr>
        <w:tab/>
      </w:r>
      <w:r>
        <w:rPr>
          <w:noProof/>
        </w:rPr>
        <w:fldChar w:fldCharType="begin"/>
      </w:r>
      <w:r>
        <w:rPr>
          <w:noProof/>
        </w:rPr>
        <w:instrText xml:space="preserve"> PAGEREF _Toc9955097 \h </w:instrText>
      </w:r>
      <w:r>
        <w:rPr>
          <w:noProof/>
        </w:rPr>
      </w:r>
      <w:r>
        <w:rPr>
          <w:noProof/>
        </w:rPr>
        <w:fldChar w:fldCharType="separate"/>
      </w:r>
      <w:r>
        <w:rPr>
          <w:noProof/>
        </w:rPr>
        <w:t>125</w:t>
      </w:r>
      <w:r>
        <w:rPr>
          <w:noProof/>
        </w:rPr>
        <w:fldChar w:fldCharType="end"/>
      </w:r>
    </w:p>
    <w:p w14:paraId="2E604B05" w14:textId="317D9395" w:rsidR="00C41380" w:rsidRPr="00CC1ADD" w:rsidRDefault="00A27699">
      <w:pPr>
        <w:pStyle w:val="TOC9"/>
        <w:rPr>
          <w:rFonts w:cstheme="minorHAnsi"/>
          <w:sz w:val="21"/>
        </w:rPr>
      </w:pPr>
      <w:r w:rsidRPr="00CC1ADD">
        <w:rPr>
          <w:rFonts w:cstheme="minorHAnsi"/>
          <w:sz w:val="20"/>
        </w:rPr>
        <w:fldChar w:fldCharType="end"/>
      </w:r>
    </w:p>
    <w:p w14:paraId="4AA38D74" w14:textId="385EF817" w:rsidR="00B76A4B" w:rsidRPr="00CC1ADD" w:rsidRDefault="00B76A4B">
      <w:pPr>
        <w:sectPr w:rsidR="00B76A4B" w:rsidRPr="00CC1ADD" w:rsidSect="00B36208">
          <w:headerReference w:type="default" r:id="rId9"/>
          <w:footerReference w:type="default" r:id="rId10"/>
          <w:pgSz w:w="11900" w:h="16840"/>
          <w:pgMar w:top="1304" w:right="1077" w:bottom="1304" w:left="1077" w:header="709" w:footer="709" w:gutter="0"/>
          <w:cols w:space="708"/>
          <w:docGrid w:linePitch="360"/>
        </w:sectPr>
      </w:pPr>
    </w:p>
    <w:p w14:paraId="2C6E8F62" w14:textId="77777777" w:rsidR="00C14D9F" w:rsidRPr="00CC1ADD" w:rsidRDefault="00C14D9F">
      <w:pPr>
        <w:pStyle w:val="mpcheading1"/>
        <w:spacing w:after="0"/>
      </w:pPr>
      <w:bookmarkStart w:id="6" w:name="Executive_Summary"/>
      <w:bookmarkStart w:id="7" w:name="_Toc523141413"/>
      <w:bookmarkStart w:id="8" w:name="_Toc9955028"/>
      <w:bookmarkStart w:id="9" w:name="_Toc450649511"/>
      <w:bookmarkEnd w:id="5"/>
      <w:bookmarkEnd w:id="6"/>
      <w:r w:rsidRPr="00CC1ADD">
        <w:lastRenderedPageBreak/>
        <w:t>Executive Summary</w:t>
      </w:r>
      <w:bookmarkEnd w:id="7"/>
      <w:bookmarkEnd w:id="8"/>
    </w:p>
    <w:p w14:paraId="287F667D" w14:textId="77777777" w:rsidR="00C14D9F" w:rsidRPr="00CC1ADD" w:rsidRDefault="00C14D9F" w:rsidP="00B06350">
      <w:pPr>
        <w:pStyle w:val="mpcNormal"/>
        <w:keepNext w:val="0"/>
      </w:pPr>
    </w:p>
    <w:p w14:paraId="6EC0927C" w14:textId="749E65FD" w:rsidR="00E63AFF" w:rsidRDefault="00E63AFF" w:rsidP="00E63AFF">
      <w:pPr>
        <w:pStyle w:val="mpcNormal"/>
        <w:keepNext w:val="0"/>
      </w:pPr>
      <w:r>
        <w:t>There are few topics that excite more passion and interest than food</w:t>
      </w:r>
      <w:r w:rsidR="00E84DD6">
        <w:t>. F</w:t>
      </w:r>
      <w:r>
        <w:t xml:space="preserve">ood provides us with energy, nutrition, enjoyment and connection to others. </w:t>
      </w:r>
      <w:r w:rsidRPr="002907A9">
        <w:t xml:space="preserve">Every day we make choices about the food we eat </w:t>
      </w:r>
      <w:r w:rsidR="003A44C8">
        <w:t>–</w:t>
      </w:r>
      <w:r w:rsidRPr="002907A9">
        <w:t xml:space="preserve"> influenced</w:t>
      </w:r>
      <w:r w:rsidR="003A44C8">
        <w:t xml:space="preserve"> </w:t>
      </w:r>
      <w:r w:rsidRPr="002907A9">
        <w:t xml:space="preserve">by taste, price, access and convenience, as well as personal circumstances, dietary needs, cultural values and perceptions of quality and healthiness.  </w:t>
      </w:r>
    </w:p>
    <w:p w14:paraId="2EF77A8F" w14:textId="6725845B" w:rsidR="00E63AFF" w:rsidRDefault="00E63AFF" w:rsidP="00E63AFF">
      <w:pPr>
        <w:pStyle w:val="mpcNormal"/>
        <w:keepNext w:val="0"/>
      </w:pPr>
    </w:p>
    <w:p w14:paraId="61CA3775" w14:textId="09A64A9C" w:rsidR="00356647" w:rsidRDefault="00E84DD6" w:rsidP="00356647">
      <w:pPr>
        <w:pStyle w:val="mpcNormal"/>
        <w:keepNext w:val="0"/>
      </w:pPr>
      <w:r>
        <w:t>Unfortunately, o</w:t>
      </w:r>
      <w:r w:rsidR="00E63AFF">
        <w:t xml:space="preserve">ur food and beverage choices are also contributing </w:t>
      </w:r>
      <w:r w:rsidR="00982E43">
        <w:t>negatively to our health</w:t>
      </w:r>
      <w:r w:rsidR="00E63AFF" w:rsidRPr="002907A9">
        <w:t xml:space="preserve">, with recent data showing that over two thirds of Australian </w:t>
      </w:r>
      <w:r w:rsidR="00E63AFF">
        <w:t xml:space="preserve">and New Zealand </w:t>
      </w:r>
      <w:r w:rsidR="00E63AFF" w:rsidRPr="002907A9">
        <w:t>adult</w:t>
      </w:r>
      <w:r w:rsidR="00E63AFF">
        <w:t>s</w:t>
      </w:r>
      <w:r w:rsidR="00E63AFF" w:rsidRPr="002907A9">
        <w:t xml:space="preserve"> are overweight </w:t>
      </w:r>
      <w:r w:rsidR="00E63AFF">
        <w:t>or</w:t>
      </w:r>
      <w:r w:rsidR="00E63AFF" w:rsidRPr="002907A9">
        <w:t xml:space="preserve"> obese</w:t>
      </w:r>
      <w:r w:rsidR="00E63AFF">
        <w:t xml:space="preserve">. </w:t>
      </w:r>
      <w:r w:rsidR="00356647">
        <w:t xml:space="preserve">While people are generally aware of the foods that are obviously healthy or unhealthy, there are many foods </w:t>
      </w:r>
      <w:r w:rsidR="00E63AFF">
        <w:t xml:space="preserve">(particularly packaged foods) </w:t>
      </w:r>
      <w:r w:rsidR="00356647">
        <w:t>that sit somewhere in the middle</w:t>
      </w:r>
      <w:r>
        <w:t>,</w:t>
      </w:r>
      <w:r w:rsidR="00356647">
        <w:t xml:space="preserve"> where it can be more difficult to identify the healthie</w:t>
      </w:r>
      <w:r w:rsidR="003A44C8">
        <w:t>r</w:t>
      </w:r>
      <w:r w:rsidR="00356647">
        <w:t xml:space="preserve"> option.</w:t>
      </w:r>
    </w:p>
    <w:p w14:paraId="25BE72B3" w14:textId="77777777" w:rsidR="00356647" w:rsidRDefault="00356647" w:rsidP="00356647">
      <w:pPr>
        <w:pStyle w:val="mpcNormal"/>
        <w:keepNext w:val="0"/>
      </w:pPr>
    </w:p>
    <w:p w14:paraId="4A627F10" w14:textId="3E6C5B0B" w:rsidR="00F000D7" w:rsidRDefault="00356647" w:rsidP="00356647">
      <w:pPr>
        <w:pStyle w:val="mpcNormal"/>
        <w:keepNext w:val="0"/>
      </w:pPr>
      <w:r w:rsidRPr="002907A9">
        <w:t>Against this backdrop, Australia and New Zealand (like more than 30 other countries worldwide) have introduced a simple</w:t>
      </w:r>
      <w:r>
        <w:t xml:space="preserve"> </w:t>
      </w:r>
      <w:r w:rsidRPr="002907A9">
        <w:t>graphic on labels to help consumers make healthier choices when purchasing packaged foods.</w:t>
      </w:r>
      <w:r w:rsidR="005A618C">
        <w:t xml:space="preserve"> </w:t>
      </w:r>
      <w:r w:rsidRPr="002907A9">
        <w:t xml:space="preserve">The Health Star Rating </w:t>
      </w:r>
      <w:r>
        <w:t xml:space="preserve">(HSR) </w:t>
      </w:r>
      <w:r w:rsidRPr="002907A9">
        <w:t>System rates the overall nutritional profile of packaged food</w:t>
      </w:r>
      <w:r>
        <w:t>s</w:t>
      </w:r>
      <w:r w:rsidRPr="002907A9">
        <w:t xml:space="preserve"> and assigns an interpretive rating from 0.5 to 5 stars – the higher the stars, the healthier the product.</w:t>
      </w:r>
      <w:r>
        <w:t xml:space="preserve"> </w:t>
      </w:r>
      <w:r w:rsidR="00E63AFF">
        <w:t>T</w:t>
      </w:r>
      <w:r w:rsidR="0094056B" w:rsidRPr="00B76FB3">
        <w:t xml:space="preserve">he </w:t>
      </w:r>
      <w:r w:rsidR="0094056B">
        <w:t>objective</w:t>
      </w:r>
      <w:r w:rsidR="00F000D7">
        <w:t xml:space="preserve"> being to </w:t>
      </w:r>
      <w:r w:rsidR="0094056B" w:rsidRPr="003320E4">
        <w:rPr>
          <w:rStyle w:val="Emphasis"/>
        </w:rPr>
        <w:t>“provide convenient, relevant and readily understood nutrition information and/or guidance on food packs to assist consumers to make informed food purchases and healthier eating choices”</w:t>
      </w:r>
      <w:r w:rsidR="00E63AFF">
        <w:t xml:space="preserve">. </w:t>
      </w:r>
    </w:p>
    <w:p w14:paraId="146D0378" w14:textId="77777777" w:rsidR="00F000D7" w:rsidRDefault="00F000D7" w:rsidP="00356647">
      <w:pPr>
        <w:pStyle w:val="mpcNormal"/>
        <w:keepNext w:val="0"/>
      </w:pPr>
    </w:p>
    <w:p w14:paraId="441083E4" w14:textId="4681C0C6" w:rsidR="00F000D7" w:rsidRDefault="00F000D7" w:rsidP="00356647">
      <w:pPr>
        <w:pStyle w:val="mpcNormal"/>
        <w:keepNext w:val="0"/>
      </w:pPr>
      <w:r>
        <w:t xml:space="preserve">To calculate </w:t>
      </w:r>
      <w:r w:rsidR="00E84DD6">
        <w:t>the</w:t>
      </w:r>
      <w:r>
        <w:t xml:space="preserve"> HSR for packaged food</w:t>
      </w:r>
      <w:r w:rsidR="00E84DD6">
        <w:t>s</w:t>
      </w:r>
      <w:r>
        <w:t xml:space="preserve"> and beverage</w:t>
      </w:r>
      <w:r w:rsidR="00E84DD6">
        <w:t>s</w:t>
      </w:r>
      <w:r>
        <w:t xml:space="preserve">, the </w:t>
      </w:r>
      <w:r w:rsidR="003A44C8">
        <w:t xml:space="preserve">HSR </w:t>
      </w:r>
      <w:r>
        <w:t xml:space="preserve">System takes into account </w:t>
      </w:r>
      <w:r w:rsidR="00982E43">
        <w:t>seven</w:t>
      </w:r>
      <w:r>
        <w:t xml:space="preserve"> components (energy, sodium, saturated fat, total sugars, protein, fibre and </w:t>
      </w:r>
      <w:r w:rsidR="00343F09">
        <w:t>fruit/vegetables/nuts/legumes (FVNL)</w:t>
      </w:r>
      <w:r>
        <w:t xml:space="preserve"> ingredients). These components </w:t>
      </w:r>
      <w:r w:rsidR="00E84DD6">
        <w:t xml:space="preserve">are based on healthy eating recommendations in Australian and New Zealand Dietary Guidelines and </w:t>
      </w:r>
      <w:r>
        <w:t xml:space="preserve">are considered in </w:t>
      </w:r>
      <w:r w:rsidR="00343F09">
        <w:t xml:space="preserve">many </w:t>
      </w:r>
      <w:r>
        <w:t>other front</w:t>
      </w:r>
      <w:r w:rsidR="003A44C8">
        <w:noBreakHyphen/>
      </w:r>
      <w:r>
        <w:t xml:space="preserve">of-pack labelling </w:t>
      </w:r>
      <w:r w:rsidR="00E84DD6">
        <w:t>(FoPL) schemes</w:t>
      </w:r>
      <w:r>
        <w:t xml:space="preserve"> worldwide</w:t>
      </w:r>
      <w:r w:rsidR="00E84DD6">
        <w:t>.</w:t>
      </w:r>
    </w:p>
    <w:p w14:paraId="540DC5F7" w14:textId="77777777" w:rsidR="00F000D7" w:rsidRDefault="00F000D7" w:rsidP="00356647">
      <w:pPr>
        <w:pStyle w:val="mpcNormal"/>
        <w:keepNext w:val="0"/>
      </w:pPr>
    </w:p>
    <w:p w14:paraId="44D785C1" w14:textId="5333C0E5" w:rsidR="00F000D7" w:rsidRDefault="00813266" w:rsidP="00356647">
      <w:pPr>
        <w:pStyle w:val="mpcNormal"/>
        <w:keepNext w:val="0"/>
      </w:pPr>
      <w:r>
        <w:t>A</w:t>
      </w:r>
      <w:r w:rsidR="00F000D7">
        <w:t>s stakeholder consultation revealed</w:t>
      </w:r>
      <w:r w:rsidR="00343F09">
        <w:t>,</w:t>
      </w:r>
      <w:r w:rsidR="00F000D7">
        <w:t xml:space="preserve"> there are </w:t>
      </w:r>
      <w:r w:rsidR="00F6540A">
        <w:t>a wide range of</w:t>
      </w:r>
      <w:r w:rsidR="00F000D7">
        <w:t xml:space="preserve"> views about the </w:t>
      </w:r>
      <w:r w:rsidR="00982E43">
        <w:t>factors</w:t>
      </w:r>
      <w:r w:rsidR="00F000D7">
        <w:t xml:space="preserve"> that should be considered in calculating the </w:t>
      </w:r>
      <w:r w:rsidR="00E84DD6">
        <w:t>HSR</w:t>
      </w:r>
      <w:r w:rsidR="00F000D7">
        <w:t>.</w:t>
      </w:r>
      <w:r w:rsidR="00F6540A">
        <w:t xml:space="preserve"> </w:t>
      </w:r>
      <w:r w:rsidR="00E84DD6">
        <w:t>S</w:t>
      </w:r>
      <w:r w:rsidR="00F000D7">
        <w:t xml:space="preserve">takeholders </w:t>
      </w:r>
      <w:r w:rsidR="00E84DD6">
        <w:t xml:space="preserve">variously </w:t>
      </w:r>
      <w:r w:rsidR="00F000D7">
        <w:t xml:space="preserve">suggested the </w:t>
      </w:r>
      <w:r w:rsidR="00E84DD6">
        <w:t>HSR System</w:t>
      </w:r>
      <w:r w:rsidR="00F000D7">
        <w:t xml:space="preserve"> should take into account the level of processing of the food, </w:t>
      </w:r>
      <w:r>
        <w:t xml:space="preserve">wholegrain content, </w:t>
      </w:r>
      <w:r w:rsidR="00E84DD6">
        <w:t>certain</w:t>
      </w:r>
      <w:r w:rsidR="00F000D7">
        <w:t xml:space="preserve"> vitamins, portion size</w:t>
      </w:r>
      <w:r w:rsidR="00E84DD6">
        <w:t xml:space="preserve"> and </w:t>
      </w:r>
      <w:r w:rsidR="00F000D7">
        <w:t xml:space="preserve">whether the food </w:t>
      </w:r>
      <w:r w:rsidR="00E84DD6">
        <w:t xml:space="preserve">is </w:t>
      </w:r>
      <w:r w:rsidR="00F000D7">
        <w:t>organi</w:t>
      </w:r>
      <w:r w:rsidR="00E84DD6">
        <w:t>c</w:t>
      </w:r>
      <w:r w:rsidR="00F6540A">
        <w:t>.</w:t>
      </w:r>
      <w:r w:rsidR="00F000D7">
        <w:t xml:space="preserve"> </w:t>
      </w:r>
      <w:r w:rsidR="00982E43">
        <w:t xml:space="preserve">There are also differing </w:t>
      </w:r>
      <w:r w:rsidR="00F6540A">
        <w:t>views about the nutrition science that underpin</w:t>
      </w:r>
      <w:r w:rsidR="00CB2C12">
        <w:t>s</w:t>
      </w:r>
      <w:r w:rsidR="00F6540A">
        <w:t xml:space="preserve"> the Dietary Guidelines and the HSR</w:t>
      </w:r>
      <w:r w:rsidR="003A44C8">
        <w:t xml:space="preserve"> System</w:t>
      </w:r>
      <w:r w:rsidR="00F6540A">
        <w:t>.</w:t>
      </w:r>
    </w:p>
    <w:p w14:paraId="12CDAE44" w14:textId="77777777" w:rsidR="00F000D7" w:rsidRDefault="00F000D7" w:rsidP="00356647">
      <w:pPr>
        <w:pStyle w:val="mpcNormal"/>
        <w:keepNext w:val="0"/>
      </w:pPr>
    </w:p>
    <w:p w14:paraId="074F181C" w14:textId="64353AEC" w:rsidR="00356647" w:rsidRPr="002907A9" w:rsidRDefault="00813266" w:rsidP="00356647">
      <w:pPr>
        <w:pStyle w:val="mpcNormal"/>
        <w:keepNext w:val="0"/>
      </w:pPr>
      <w:r>
        <w:t xml:space="preserve">The HSR System was not designed to meet the different information needs of all consumers. </w:t>
      </w:r>
      <w:r w:rsidR="00F6540A">
        <w:t>A</w:t>
      </w:r>
      <w:r w:rsidR="00356647">
        <w:t xml:space="preserve">s one </w:t>
      </w:r>
      <w:r w:rsidR="00356647" w:rsidRPr="002907A9">
        <w:t>stakeholder</w:t>
      </w:r>
      <w:r w:rsidR="00356647">
        <w:t xml:space="preserve"> succinctly </w:t>
      </w:r>
      <w:r w:rsidR="00F6540A">
        <w:t xml:space="preserve">and accurately </w:t>
      </w:r>
      <w:r w:rsidR="00356647">
        <w:t>summarised</w:t>
      </w:r>
      <w:r w:rsidR="00356647" w:rsidRPr="002907A9">
        <w:t>:</w:t>
      </w:r>
    </w:p>
    <w:p w14:paraId="005CAFB6" w14:textId="77777777" w:rsidR="00356647" w:rsidRPr="002907A9" w:rsidRDefault="00356647" w:rsidP="00356647">
      <w:pPr>
        <w:pStyle w:val="mpcNormal"/>
        <w:keepNext w:val="0"/>
      </w:pPr>
    </w:p>
    <w:p w14:paraId="7ECD7BCE" w14:textId="35590977" w:rsidR="00356647" w:rsidRPr="00111793" w:rsidRDefault="00356647" w:rsidP="00356647">
      <w:pPr>
        <w:pStyle w:val="mpcNormal"/>
        <w:keepNext w:val="0"/>
        <w:ind w:left="720" w:right="940"/>
        <w:rPr>
          <w:i/>
        </w:rPr>
      </w:pPr>
      <w:r w:rsidRPr="002907A9">
        <w:rPr>
          <w:i/>
        </w:rPr>
        <w:t xml:space="preserve">The HSR </w:t>
      </w:r>
      <w:r w:rsidR="0094056B">
        <w:rPr>
          <w:i/>
        </w:rPr>
        <w:t>System</w:t>
      </w:r>
      <w:r w:rsidRPr="002907A9">
        <w:rPr>
          <w:i/>
        </w:rPr>
        <w:t xml:space="preserve"> itself is unaware of how a food is processed, how much it is processed, or who processes it, the origins of its nutrients, who eats the food or how much is consumed, where the food is sold and at what price, and the lifestyle of the consumer…..The HSR </w:t>
      </w:r>
      <w:r w:rsidR="00E84DD6">
        <w:rPr>
          <w:i/>
        </w:rPr>
        <w:t xml:space="preserve">System </w:t>
      </w:r>
      <w:r w:rsidRPr="002907A9">
        <w:rPr>
          <w:i/>
        </w:rPr>
        <w:t>very simplistically, in the face of all other possible causal factors and scenarios related to food risk, ranks the risk associated with a food’s content relative to another, facilitating comparison of neighbours. And it does so within a category based ranking system, based on food groups of similar parentage, nutrient content and risk response as those described in Dietary Guidelines.</w:t>
      </w:r>
    </w:p>
    <w:p w14:paraId="2C1391DD" w14:textId="77777777" w:rsidR="00356647" w:rsidRPr="00111793" w:rsidRDefault="00356647" w:rsidP="00356647">
      <w:pPr>
        <w:pStyle w:val="mpcheading4"/>
      </w:pPr>
    </w:p>
    <w:p w14:paraId="05CF8F19" w14:textId="616D190B" w:rsidR="00356647" w:rsidRDefault="00982E43" w:rsidP="00356647">
      <w:pPr>
        <w:pStyle w:val="mpcNormal"/>
        <w:keepNext w:val="0"/>
      </w:pPr>
      <w:r>
        <w:t>T</w:t>
      </w:r>
      <w:r w:rsidR="002168CA">
        <w:t>he</w:t>
      </w:r>
      <w:r w:rsidR="00356647">
        <w:t xml:space="preserve"> Five Year Review </w:t>
      </w:r>
      <w:r w:rsidR="002168CA">
        <w:t>examined</w:t>
      </w:r>
      <w:r w:rsidR="00356647">
        <w:t xml:space="preserve"> the impact of the System</w:t>
      </w:r>
      <w:r>
        <w:t xml:space="preserve">, against its specific objectives. </w:t>
      </w:r>
      <w:r w:rsidR="00F6540A">
        <w:t>In summary</w:t>
      </w:r>
      <w:r w:rsidR="00482AA9">
        <w:t>,</w:t>
      </w:r>
      <w:r w:rsidR="00F6540A">
        <w:t xml:space="preserve"> the HSR System is performing well: </w:t>
      </w:r>
    </w:p>
    <w:p w14:paraId="06B17453" w14:textId="77777777" w:rsidR="00356647" w:rsidRDefault="00356647" w:rsidP="00356647">
      <w:pPr>
        <w:pStyle w:val="mpcNormal"/>
        <w:keepNext w:val="0"/>
      </w:pPr>
    </w:p>
    <w:p w14:paraId="3DBA8B33" w14:textId="45DBCC93" w:rsidR="00F6540A" w:rsidRDefault="00F6540A" w:rsidP="00901C53">
      <w:pPr>
        <w:pStyle w:val="mpcNormal"/>
        <w:keepNext w:val="0"/>
        <w:numPr>
          <w:ilvl w:val="0"/>
          <w:numId w:val="41"/>
        </w:numPr>
      </w:pPr>
      <w:r>
        <w:t>Studies</w:t>
      </w:r>
      <w:r w:rsidRPr="00B542DF">
        <w:t xml:space="preserve"> consistently show tha</w:t>
      </w:r>
      <w:r>
        <w:t>t the System</w:t>
      </w:r>
      <w:r w:rsidRPr="00B542DF">
        <w:t xml:space="preserve"> </w:t>
      </w:r>
      <w:r>
        <w:t>is</w:t>
      </w:r>
      <w:r w:rsidRPr="00B542DF">
        <w:t xml:space="preserve"> well </w:t>
      </w:r>
      <w:r>
        <w:t xml:space="preserve">aligned </w:t>
      </w:r>
      <w:r w:rsidRPr="00B542DF">
        <w:t xml:space="preserve">with </w:t>
      </w:r>
      <w:r w:rsidRPr="00EE46F2">
        <w:t>Dietary Guidelines and effectively direct</w:t>
      </w:r>
      <w:r>
        <w:t>s</w:t>
      </w:r>
      <w:r w:rsidRPr="00EE46F2">
        <w:t xml:space="preserve"> consumers towards foods lower in energy, saturated fats, sugars and sodium. </w:t>
      </w:r>
    </w:p>
    <w:p w14:paraId="60C83724" w14:textId="0C4492A5" w:rsidR="00356647" w:rsidRDefault="00356647" w:rsidP="00901C53">
      <w:pPr>
        <w:pStyle w:val="mpcNormal"/>
        <w:keepNext w:val="0"/>
        <w:numPr>
          <w:ilvl w:val="0"/>
          <w:numId w:val="41"/>
        </w:numPr>
      </w:pPr>
      <w:r>
        <w:t>The HSR is being displayed on approximately one third of packaged foods in Australian and New Zealand supermarkets, with uptake steadily increasing since implementation.</w:t>
      </w:r>
    </w:p>
    <w:p w14:paraId="7BF8599C" w14:textId="33CCF199" w:rsidR="00356647" w:rsidRDefault="00356647" w:rsidP="00901C53">
      <w:pPr>
        <w:pStyle w:val="mpcNormal"/>
        <w:keepNext w:val="0"/>
        <w:numPr>
          <w:ilvl w:val="0"/>
          <w:numId w:val="41"/>
        </w:numPr>
      </w:pPr>
      <w:r w:rsidRPr="00B542DF">
        <w:t xml:space="preserve">Most Australian and New Zealand consumers view the HSR </w:t>
      </w:r>
      <w:r>
        <w:t xml:space="preserve">System </w:t>
      </w:r>
      <w:r w:rsidRPr="00B542DF">
        <w:t>as easy to understand</w:t>
      </w:r>
      <w:r>
        <w:t xml:space="preserve"> and </w:t>
      </w:r>
      <w:r w:rsidRPr="00B542DF">
        <w:t>use</w:t>
      </w:r>
      <w:r>
        <w:t xml:space="preserve"> </w:t>
      </w:r>
      <w:r w:rsidRPr="00B542DF">
        <w:t xml:space="preserve">and </w:t>
      </w:r>
      <w:r>
        <w:t>feel that</w:t>
      </w:r>
      <w:r w:rsidRPr="00B542DF">
        <w:t xml:space="preserve"> it</w:t>
      </w:r>
      <w:r>
        <w:t xml:space="preserve"> makes</w:t>
      </w:r>
      <w:r w:rsidRPr="00B542DF">
        <w:t xml:space="preserve"> </w:t>
      </w:r>
      <w:r w:rsidR="00F6540A">
        <w:t xml:space="preserve">it </w:t>
      </w:r>
      <w:r w:rsidRPr="00B542DF">
        <w:t>easier to decide which packaged foods are healthier</w:t>
      </w:r>
      <w:r>
        <w:t xml:space="preserve">. </w:t>
      </w:r>
    </w:p>
    <w:p w14:paraId="0192A758" w14:textId="232E7E7E" w:rsidR="00356647" w:rsidRDefault="00356647" w:rsidP="00901C53">
      <w:pPr>
        <w:pStyle w:val="mpcNormal"/>
        <w:keepNext w:val="0"/>
        <w:numPr>
          <w:ilvl w:val="0"/>
          <w:numId w:val="41"/>
        </w:numPr>
      </w:pPr>
      <w:r>
        <w:t xml:space="preserve">In Australia, 23% of </w:t>
      </w:r>
      <w:r w:rsidR="00343F09">
        <w:t xml:space="preserve">surveyed </w:t>
      </w:r>
      <w:r>
        <w:t xml:space="preserve">consumers </w:t>
      </w:r>
      <w:r w:rsidR="00343F09">
        <w:t>were</w:t>
      </w:r>
      <w:r>
        <w:t xml:space="preserve"> </w:t>
      </w:r>
      <w:r w:rsidRPr="00B542DF">
        <w:t xml:space="preserve">influenced by the HSR to change their purchasing behaviour </w:t>
      </w:r>
      <w:r>
        <w:t>and</w:t>
      </w:r>
      <w:r w:rsidRPr="00B542DF">
        <w:t xml:space="preserve"> purchase a product with more stars.</w:t>
      </w:r>
      <w:r>
        <w:t xml:space="preserve"> </w:t>
      </w:r>
      <w:r w:rsidRPr="00111793">
        <w:t xml:space="preserve">In New Zealand, 28% of </w:t>
      </w:r>
      <w:r w:rsidR="00343F09">
        <w:t xml:space="preserve">surveyed </w:t>
      </w:r>
      <w:r w:rsidRPr="00111793">
        <w:t xml:space="preserve">consumers </w:t>
      </w:r>
      <w:r>
        <w:t>used</w:t>
      </w:r>
      <w:r w:rsidRPr="00111793">
        <w:t xml:space="preserve"> the HSR to help choose </w:t>
      </w:r>
      <w:r w:rsidR="002168CA">
        <w:t>a product</w:t>
      </w:r>
      <w:r w:rsidRPr="00111793">
        <w:t xml:space="preserve">, with </w:t>
      </w:r>
      <w:r>
        <w:t xml:space="preserve">the vast majority </w:t>
      </w:r>
      <w:r w:rsidRPr="00111793">
        <w:t>choosing the product with more stars.</w:t>
      </w:r>
    </w:p>
    <w:p w14:paraId="722A7D35" w14:textId="77777777" w:rsidR="00356647" w:rsidRPr="00B542DF" w:rsidRDefault="00356647" w:rsidP="00901C53">
      <w:pPr>
        <w:pStyle w:val="mpcNormal"/>
        <w:keepNext w:val="0"/>
        <w:numPr>
          <w:ilvl w:val="0"/>
          <w:numId w:val="41"/>
        </w:numPr>
      </w:pPr>
      <w:r>
        <w:t>The</w:t>
      </w:r>
      <w:r w:rsidRPr="00111793">
        <w:t xml:space="preserve"> HSR System is </w:t>
      </w:r>
      <w:r>
        <w:t xml:space="preserve">also </w:t>
      </w:r>
      <w:r w:rsidRPr="00111793">
        <w:t>encouraging positive reformulation</w:t>
      </w:r>
      <w:r>
        <w:t xml:space="preserve"> of foods</w:t>
      </w:r>
      <w:r w:rsidRPr="00111793">
        <w:t>, with New Zealand</w:t>
      </w:r>
      <w:r>
        <w:t xml:space="preserve"> research showing </w:t>
      </w:r>
      <w:r w:rsidRPr="00111793">
        <w:t>that 79% of products displaying the HSR had reformulated since 2014</w:t>
      </w:r>
      <w:r>
        <w:t>. I</w:t>
      </w:r>
      <w:r w:rsidRPr="00111793">
        <w:t xml:space="preserve">n Australia, </w:t>
      </w:r>
      <w:r>
        <w:t>a study</w:t>
      </w:r>
      <w:r w:rsidRPr="00111793">
        <w:t xml:space="preserve"> found </w:t>
      </w:r>
      <w:r>
        <w:t xml:space="preserve">that products displaying the HSR had made significant </w:t>
      </w:r>
      <w:r w:rsidRPr="00111793">
        <w:t>reductions in energy and saturated fat over the four years since the System was introduced</w:t>
      </w:r>
      <w:r>
        <w:t>,</w:t>
      </w:r>
      <w:r w:rsidRPr="00111793">
        <w:t xml:space="preserve"> compared to those not displaying the HSR.</w:t>
      </w:r>
    </w:p>
    <w:p w14:paraId="1B6BB147" w14:textId="77777777" w:rsidR="00356647" w:rsidRPr="00EE46F2" w:rsidRDefault="00356647" w:rsidP="00356647">
      <w:pPr>
        <w:pStyle w:val="mpcNormal"/>
        <w:keepNext w:val="0"/>
      </w:pPr>
    </w:p>
    <w:p w14:paraId="270E7CAE" w14:textId="08D2B8E9" w:rsidR="00356647" w:rsidRPr="00F6540A" w:rsidRDefault="00356647" w:rsidP="00482AA9">
      <w:pPr>
        <w:rPr>
          <w:sz w:val="22"/>
          <w:szCs w:val="22"/>
        </w:rPr>
      </w:pPr>
      <w:r>
        <w:rPr>
          <w:sz w:val="22"/>
          <w:szCs w:val="22"/>
        </w:rPr>
        <w:t xml:space="preserve">Given these positive </w:t>
      </w:r>
      <w:r w:rsidRPr="00EE46F2">
        <w:rPr>
          <w:sz w:val="22"/>
          <w:szCs w:val="22"/>
        </w:rPr>
        <w:t>re</w:t>
      </w:r>
      <w:r>
        <w:rPr>
          <w:sz w:val="22"/>
          <w:szCs w:val="22"/>
        </w:rPr>
        <w:t>sults</w:t>
      </w:r>
      <w:r w:rsidRPr="00EE46F2">
        <w:rPr>
          <w:sz w:val="22"/>
          <w:szCs w:val="22"/>
        </w:rPr>
        <w:t xml:space="preserve">, </w:t>
      </w:r>
      <w:r>
        <w:rPr>
          <w:sz w:val="22"/>
          <w:szCs w:val="22"/>
        </w:rPr>
        <w:t xml:space="preserve">it is not surprising that there is strong </w:t>
      </w:r>
      <w:r w:rsidRPr="00EE46F2">
        <w:rPr>
          <w:sz w:val="22"/>
          <w:szCs w:val="22"/>
        </w:rPr>
        <w:t>stakeholder support to continue the HSR</w:t>
      </w:r>
      <w:r>
        <w:rPr>
          <w:sz w:val="22"/>
          <w:szCs w:val="22"/>
        </w:rPr>
        <w:t xml:space="preserve"> System</w:t>
      </w:r>
      <w:r w:rsidR="00E84DD6">
        <w:rPr>
          <w:sz w:val="22"/>
          <w:szCs w:val="22"/>
        </w:rPr>
        <w:t>. T</w:t>
      </w:r>
      <w:r>
        <w:rPr>
          <w:sz w:val="22"/>
          <w:szCs w:val="22"/>
        </w:rPr>
        <w:t xml:space="preserve">his </w:t>
      </w:r>
      <w:r w:rsidRPr="00EE46F2">
        <w:rPr>
          <w:sz w:val="22"/>
          <w:szCs w:val="22"/>
        </w:rPr>
        <w:t>is also recommended by this Review.</w:t>
      </w:r>
      <w:r w:rsidR="00482AA9">
        <w:rPr>
          <w:sz w:val="22"/>
          <w:szCs w:val="22"/>
        </w:rPr>
        <w:t xml:space="preserve"> T</w:t>
      </w:r>
      <w:r w:rsidR="00F6540A" w:rsidRPr="00F6540A">
        <w:rPr>
          <w:sz w:val="22"/>
          <w:szCs w:val="22"/>
        </w:rPr>
        <w:t>here is</w:t>
      </w:r>
      <w:r w:rsidR="00482AA9">
        <w:rPr>
          <w:sz w:val="22"/>
          <w:szCs w:val="22"/>
        </w:rPr>
        <w:t xml:space="preserve">, however, </w:t>
      </w:r>
      <w:r w:rsidR="00F6540A" w:rsidRPr="00F6540A">
        <w:rPr>
          <w:sz w:val="22"/>
          <w:szCs w:val="22"/>
        </w:rPr>
        <w:t>opportunity to continue to improve the System. A</w:t>
      </w:r>
      <w:r w:rsidRPr="00F6540A">
        <w:rPr>
          <w:sz w:val="22"/>
          <w:szCs w:val="22"/>
        </w:rPr>
        <w:t xml:space="preserve"> package of changes is </w:t>
      </w:r>
      <w:r w:rsidR="00F6540A" w:rsidRPr="00F6540A">
        <w:rPr>
          <w:sz w:val="22"/>
          <w:szCs w:val="22"/>
        </w:rPr>
        <w:t xml:space="preserve">therefore </w:t>
      </w:r>
      <w:r w:rsidRPr="00F6540A">
        <w:rPr>
          <w:sz w:val="22"/>
          <w:szCs w:val="22"/>
        </w:rPr>
        <w:t>recommended to:</w:t>
      </w:r>
    </w:p>
    <w:p w14:paraId="7B465B99" w14:textId="77777777" w:rsidR="00356647" w:rsidRPr="00F6540A" w:rsidRDefault="00356647" w:rsidP="00F6540A">
      <w:pPr>
        <w:rPr>
          <w:sz w:val="22"/>
          <w:szCs w:val="22"/>
        </w:rPr>
      </w:pPr>
    </w:p>
    <w:p w14:paraId="6ACA343F" w14:textId="12D9F50A" w:rsidR="00356647" w:rsidRDefault="00356647" w:rsidP="00901C53">
      <w:pPr>
        <w:pStyle w:val="ListParagraph"/>
        <w:numPr>
          <w:ilvl w:val="0"/>
          <w:numId w:val="42"/>
        </w:numPr>
        <w:rPr>
          <w:sz w:val="22"/>
          <w:szCs w:val="22"/>
        </w:rPr>
      </w:pPr>
      <w:r w:rsidRPr="009117F5">
        <w:rPr>
          <w:b/>
          <w:i/>
          <w:sz w:val="22"/>
          <w:szCs w:val="22"/>
        </w:rPr>
        <w:t>improve the operation of the HSR Calculator that drives the attribution of stars</w:t>
      </w:r>
      <w:r w:rsidR="00E84DD6">
        <w:rPr>
          <w:sz w:val="22"/>
          <w:szCs w:val="22"/>
        </w:rPr>
        <w:t>.</w:t>
      </w:r>
      <w:r w:rsidRPr="009117F5">
        <w:rPr>
          <w:sz w:val="22"/>
          <w:szCs w:val="22"/>
        </w:rPr>
        <w:t xml:space="preserve"> </w:t>
      </w:r>
      <w:r w:rsidR="00417EB3" w:rsidRPr="009117F5">
        <w:rPr>
          <w:sz w:val="22"/>
          <w:szCs w:val="22"/>
        </w:rPr>
        <w:t xml:space="preserve">While the </w:t>
      </w:r>
      <w:r w:rsidRPr="009117F5">
        <w:rPr>
          <w:sz w:val="22"/>
          <w:szCs w:val="22"/>
        </w:rPr>
        <w:t xml:space="preserve">HSR System generally provides an accurate representation of the relative healthiness of </w:t>
      </w:r>
      <w:r w:rsidR="002168CA" w:rsidRPr="009117F5">
        <w:rPr>
          <w:sz w:val="22"/>
          <w:szCs w:val="22"/>
        </w:rPr>
        <w:t xml:space="preserve">packaged </w:t>
      </w:r>
      <w:r w:rsidRPr="009117F5">
        <w:rPr>
          <w:sz w:val="22"/>
          <w:szCs w:val="22"/>
        </w:rPr>
        <w:t>foods</w:t>
      </w:r>
      <w:r w:rsidR="002168CA" w:rsidRPr="009117F5">
        <w:rPr>
          <w:sz w:val="22"/>
          <w:szCs w:val="22"/>
        </w:rPr>
        <w:t xml:space="preserve"> and beverages</w:t>
      </w:r>
      <w:r w:rsidR="00417EB3" w:rsidRPr="009117F5">
        <w:rPr>
          <w:sz w:val="22"/>
          <w:szCs w:val="22"/>
        </w:rPr>
        <w:t xml:space="preserve">, some </w:t>
      </w:r>
      <w:r w:rsidRPr="009117F5">
        <w:rPr>
          <w:sz w:val="22"/>
          <w:szCs w:val="22"/>
        </w:rPr>
        <w:t>improvements can be made to better align with Dietary Guidelines</w:t>
      </w:r>
      <w:r w:rsidR="00343F09">
        <w:rPr>
          <w:sz w:val="22"/>
          <w:szCs w:val="22"/>
        </w:rPr>
        <w:t xml:space="preserve"> </w:t>
      </w:r>
      <w:r w:rsidRPr="009117F5">
        <w:rPr>
          <w:sz w:val="22"/>
          <w:szCs w:val="22"/>
        </w:rPr>
        <w:t>and encourage further positive reformulation. The</w:t>
      </w:r>
      <w:r w:rsidR="009117F5" w:rsidRPr="009117F5">
        <w:rPr>
          <w:sz w:val="22"/>
          <w:szCs w:val="22"/>
        </w:rPr>
        <w:t xml:space="preserve"> proposed changes increase the HSR</w:t>
      </w:r>
      <w:r w:rsidR="00E84DD6">
        <w:rPr>
          <w:sz w:val="22"/>
          <w:szCs w:val="22"/>
        </w:rPr>
        <w:t>s</w:t>
      </w:r>
      <w:r w:rsidR="009117F5" w:rsidRPr="009117F5">
        <w:rPr>
          <w:sz w:val="22"/>
          <w:szCs w:val="22"/>
        </w:rPr>
        <w:t xml:space="preserve"> of</w:t>
      </w:r>
      <w:r w:rsidRPr="009117F5">
        <w:rPr>
          <w:sz w:val="22"/>
          <w:szCs w:val="22"/>
        </w:rPr>
        <w:t xml:space="preserve"> </w:t>
      </w:r>
      <w:r w:rsidR="009117F5" w:rsidRPr="009117F5">
        <w:rPr>
          <w:sz w:val="22"/>
          <w:szCs w:val="22"/>
        </w:rPr>
        <w:t>certain Four/Five Food Group</w:t>
      </w:r>
      <w:r w:rsidR="009117F5" w:rsidRPr="009117F5">
        <w:rPr>
          <w:szCs w:val="22"/>
          <w:vertAlign w:val="superscript"/>
        </w:rPr>
        <w:footnoteReference w:id="1"/>
      </w:r>
      <w:r w:rsidR="009117F5" w:rsidRPr="009117F5">
        <w:rPr>
          <w:sz w:val="22"/>
          <w:szCs w:val="22"/>
        </w:rPr>
        <w:t xml:space="preserve"> (FFG) products </w:t>
      </w:r>
      <w:r w:rsidR="00E84DD6">
        <w:rPr>
          <w:sz w:val="22"/>
          <w:szCs w:val="22"/>
        </w:rPr>
        <w:t>(including</w:t>
      </w:r>
      <w:r w:rsidR="009117F5" w:rsidRPr="009117F5">
        <w:rPr>
          <w:sz w:val="22"/>
          <w:szCs w:val="22"/>
        </w:rPr>
        <w:t xml:space="preserve"> certain fruits</w:t>
      </w:r>
      <w:r w:rsidR="00E84DD6">
        <w:rPr>
          <w:sz w:val="22"/>
          <w:szCs w:val="22"/>
        </w:rPr>
        <w:t xml:space="preserve">, </w:t>
      </w:r>
      <w:r w:rsidR="009117F5" w:rsidRPr="009117F5">
        <w:rPr>
          <w:sz w:val="22"/>
          <w:szCs w:val="22"/>
        </w:rPr>
        <w:t>vegetables and dairy products</w:t>
      </w:r>
      <w:r w:rsidR="00E84DD6">
        <w:rPr>
          <w:sz w:val="22"/>
          <w:szCs w:val="22"/>
        </w:rPr>
        <w:t xml:space="preserve">), more </w:t>
      </w:r>
      <w:r w:rsidR="009117F5" w:rsidRPr="009117F5">
        <w:rPr>
          <w:sz w:val="22"/>
          <w:szCs w:val="22"/>
        </w:rPr>
        <w:t>strongly penalise total sugars, improve sodium sensitivity and recategori</w:t>
      </w:r>
      <w:r w:rsidR="00343F09">
        <w:rPr>
          <w:sz w:val="22"/>
          <w:szCs w:val="22"/>
        </w:rPr>
        <w:t>s</w:t>
      </w:r>
      <w:r w:rsidR="009117F5" w:rsidRPr="009117F5">
        <w:rPr>
          <w:sz w:val="22"/>
          <w:szCs w:val="22"/>
        </w:rPr>
        <w:t>e certain discretionary foods (such as jellies and ice confections) to decrease their HSRs</w:t>
      </w:r>
      <w:r w:rsidR="009117F5">
        <w:rPr>
          <w:sz w:val="22"/>
          <w:szCs w:val="22"/>
        </w:rPr>
        <w:t xml:space="preserve">. Recommended changes will </w:t>
      </w:r>
      <w:r w:rsidR="00E84DD6">
        <w:rPr>
          <w:sz w:val="22"/>
          <w:szCs w:val="22"/>
        </w:rPr>
        <w:t xml:space="preserve">also </w:t>
      </w:r>
      <w:r w:rsidR="009117F5">
        <w:rPr>
          <w:sz w:val="22"/>
          <w:szCs w:val="22"/>
        </w:rPr>
        <w:t xml:space="preserve">better support consumers to select </w:t>
      </w:r>
      <w:r w:rsidR="00E84DD6">
        <w:rPr>
          <w:sz w:val="22"/>
          <w:szCs w:val="22"/>
        </w:rPr>
        <w:t xml:space="preserve">non-dairy </w:t>
      </w:r>
      <w:r w:rsidR="009117F5">
        <w:rPr>
          <w:sz w:val="22"/>
          <w:szCs w:val="22"/>
        </w:rPr>
        <w:t>beverages closest in nutritional profile to water</w:t>
      </w:r>
      <w:r w:rsidR="00982E43">
        <w:rPr>
          <w:sz w:val="22"/>
          <w:szCs w:val="22"/>
        </w:rPr>
        <w:t xml:space="preserve">, specifically those </w:t>
      </w:r>
      <w:r w:rsidR="009117F5">
        <w:rPr>
          <w:sz w:val="22"/>
          <w:szCs w:val="22"/>
        </w:rPr>
        <w:t xml:space="preserve">low </w:t>
      </w:r>
      <w:r w:rsidR="00982E43">
        <w:rPr>
          <w:sz w:val="22"/>
          <w:szCs w:val="22"/>
        </w:rPr>
        <w:t xml:space="preserve">in </w:t>
      </w:r>
      <w:r w:rsidR="009117F5">
        <w:rPr>
          <w:sz w:val="22"/>
          <w:szCs w:val="22"/>
        </w:rPr>
        <w:t>energy and sugar</w:t>
      </w:r>
      <w:r w:rsidR="00E84DD6">
        <w:rPr>
          <w:sz w:val="22"/>
          <w:szCs w:val="22"/>
        </w:rPr>
        <w:t>s</w:t>
      </w:r>
      <w:r w:rsidR="009117F5">
        <w:rPr>
          <w:sz w:val="22"/>
          <w:szCs w:val="22"/>
        </w:rPr>
        <w:t>.</w:t>
      </w:r>
    </w:p>
    <w:p w14:paraId="2A3FF5AC" w14:textId="77777777" w:rsidR="009117F5" w:rsidRPr="009117F5" w:rsidRDefault="009117F5" w:rsidP="009117F5">
      <w:pPr>
        <w:rPr>
          <w:sz w:val="22"/>
          <w:szCs w:val="22"/>
        </w:rPr>
      </w:pPr>
    </w:p>
    <w:p w14:paraId="5751C20A" w14:textId="36C92AE9" w:rsidR="00F6540A" w:rsidRPr="00343F09" w:rsidRDefault="00F6540A" w:rsidP="00901C53">
      <w:pPr>
        <w:pStyle w:val="ListParagraph"/>
        <w:numPr>
          <w:ilvl w:val="0"/>
          <w:numId w:val="42"/>
        </w:numPr>
        <w:rPr>
          <w:b/>
          <w:i/>
          <w:sz w:val="22"/>
          <w:szCs w:val="22"/>
        </w:rPr>
      </w:pPr>
      <w:r w:rsidRPr="00343F09">
        <w:rPr>
          <w:b/>
          <w:i/>
          <w:sz w:val="22"/>
          <w:szCs w:val="22"/>
        </w:rPr>
        <w:t>drive further uptake of the HSR by industry</w:t>
      </w:r>
      <w:r w:rsidR="00E84DD6">
        <w:rPr>
          <w:b/>
          <w:i/>
          <w:sz w:val="22"/>
          <w:szCs w:val="22"/>
        </w:rPr>
        <w:t>.</w:t>
      </w:r>
      <w:r w:rsidRPr="00343F09">
        <w:rPr>
          <w:sz w:val="22"/>
          <w:szCs w:val="22"/>
        </w:rPr>
        <w:t xml:space="preserve"> Given the promising </w:t>
      </w:r>
      <w:r w:rsidR="00482AA9" w:rsidRPr="00343F09">
        <w:rPr>
          <w:sz w:val="22"/>
          <w:szCs w:val="22"/>
        </w:rPr>
        <w:t xml:space="preserve">public health </w:t>
      </w:r>
      <w:r w:rsidRPr="00343F09">
        <w:rPr>
          <w:sz w:val="22"/>
          <w:szCs w:val="22"/>
        </w:rPr>
        <w:t xml:space="preserve">impact of the HSR System, a key focus for the coming years is increasing </w:t>
      </w:r>
      <w:r w:rsidR="00982E43" w:rsidRPr="00343F09">
        <w:rPr>
          <w:sz w:val="22"/>
          <w:szCs w:val="22"/>
        </w:rPr>
        <w:t xml:space="preserve">its </w:t>
      </w:r>
      <w:r w:rsidRPr="00343F09">
        <w:rPr>
          <w:sz w:val="22"/>
          <w:szCs w:val="22"/>
        </w:rPr>
        <w:t xml:space="preserve">uptake. Rather than mandating the System, the Review recommends removing some of the barriers to uptake, setting a clear uptake target (70% of eligible products within five years of a government decision on these recommendations) and </w:t>
      </w:r>
      <w:r w:rsidR="00343F09" w:rsidRPr="00ED7C71">
        <w:rPr>
          <w:sz w:val="22"/>
          <w:szCs w:val="22"/>
        </w:rPr>
        <w:t>stakeholders working together to drive uptake</w:t>
      </w:r>
      <w:r w:rsidR="00396DE2">
        <w:rPr>
          <w:sz w:val="22"/>
          <w:szCs w:val="22"/>
        </w:rPr>
        <w:t>.</w:t>
      </w:r>
    </w:p>
    <w:p w14:paraId="329AD5B9" w14:textId="77777777" w:rsidR="00343F09" w:rsidRPr="00ED7C71" w:rsidRDefault="00343F09" w:rsidP="00ED7C71">
      <w:pPr>
        <w:rPr>
          <w:b/>
          <w:i/>
          <w:sz w:val="22"/>
          <w:szCs w:val="22"/>
        </w:rPr>
      </w:pPr>
    </w:p>
    <w:p w14:paraId="6A434D38" w14:textId="3D4B8103" w:rsidR="00356647" w:rsidRPr="002907A9" w:rsidRDefault="00356647" w:rsidP="00901C53">
      <w:pPr>
        <w:pStyle w:val="ListParagraph"/>
        <w:numPr>
          <w:ilvl w:val="0"/>
          <w:numId w:val="42"/>
        </w:numPr>
        <w:rPr>
          <w:b/>
          <w:i/>
          <w:sz w:val="22"/>
          <w:szCs w:val="22"/>
        </w:rPr>
      </w:pPr>
      <w:r>
        <w:rPr>
          <w:b/>
          <w:i/>
          <w:sz w:val="22"/>
          <w:szCs w:val="22"/>
        </w:rPr>
        <w:t>i</w:t>
      </w:r>
      <w:r w:rsidRPr="002907A9">
        <w:rPr>
          <w:b/>
          <w:i/>
          <w:sz w:val="22"/>
          <w:szCs w:val="22"/>
        </w:rPr>
        <w:t>mprove the management and monitoring of the HSR System</w:t>
      </w:r>
      <w:r w:rsidR="00E84DD6">
        <w:rPr>
          <w:b/>
          <w:i/>
          <w:sz w:val="22"/>
          <w:szCs w:val="22"/>
        </w:rPr>
        <w:t>.</w:t>
      </w:r>
      <w:r w:rsidRPr="00592D8B">
        <w:rPr>
          <w:i/>
          <w:sz w:val="22"/>
          <w:szCs w:val="22"/>
        </w:rPr>
        <w:t xml:space="preserve"> </w:t>
      </w:r>
      <w:r w:rsidRPr="002907A9">
        <w:rPr>
          <w:sz w:val="22"/>
          <w:szCs w:val="22"/>
        </w:rPr>
        <w:t>The</w:t>
      </w:r>
      <w:r>
        <w:rPr>
          <w:sz w:val="22"/>
          <w:szCs w:val="22"/>
        </w:rPr>
        <w:t xml:space="preserve"> </w:t>
      </w:r>
      <w:r w:rsidRPr="002907A9">
        <w:rPr>
          <w:sz w:val="22"/>
          <w:szCs w:val="22"/>
        </w:rPr>
        <w:t xml:space="preserve">proposed changes are designed to ensure the critical infrastructure is in place to </w:t>
      </w:r>
      <w:r>
        <w:rPr>
          <w:sz w:val="22"/>
          <w:szCs w:val="22"/>
        </w:rPr>
        <w:t>manage and monitor</w:t>
      </w:r>
      <w:r w:rsidRPr="002907A9">
        <w:rPr>
          <w:sz w:val="22"/>
          <w:szCs w:val="22"/>
        </w:rPr>
        <w:t xml:space="preserve"> the System</w:t>
      </w:r>
      <w:r>
        <w:rPr>
          <w:sz w:val="22"/>
          <w:szCs w:val="22"/>
        </w:rPr>
        <w:t xml:space="preserve"> (particularly in the context of the broader public health and dietary patterns of Australians and New Zealanders) </w:t>
      </w:r>
      <w:r w:rsidRPr="002907A9">
        <w:rPr>
          <w:sz w:val="22"/>
          <w:szCs w:val="22"/>
        </w:rPr>
        <w:t>and</w:t>
      </w:r>
      <w:r>
        <w:rPr>
          <w:sz w:val="22"/>
          <w:szCs w:val="22"/>
        </w:rPr>
        <w:t xml:space="preserve"> </w:t>
      </w:r>
      <w:r w:rsidR="00396DE2">
        <w:rPr>
          <w:sz w:val="22"/>
          <w:szCs w:val="22"/>
        </w:rPr>
        <w:t xml:space="preserve">improve </w:t>
      </w:r>
      <w:r w:rsidRPr="002907A9">
        <w:rPr>
          <w:sz w:val="22"/>
          <w:szCs w:val="22"/>
        </w:rPr>
        <w:t>the System</w:t>
      </w:r>
      <w:r w:rsidR="00396DE2">
        <w:rPr>
          <w:sz w:val="22"/>
          <w:szCs w:val="22"/>
        </w:rPr>
        <w:t xml:space="preserve">’s </w:t>
      </w:r>
      <w:r w:rsidRPr="002907A9">
        <w:rPr>
          <w:sz w:val="22"/>
          <w:szCs w:val="22"/>
        </w:rPr>
        <w:t>responsive</w:t>
      </w:r>
      <w:r w:rsidR="00396DE2">
        <w:rPr>
          <w:sz w:val="22"/>
          <w:szCs w:val="22"/>
        </w:rPr>
        <w:t>ness</w:t>
      </w:r>
      <w:r w:rsidRPr="002907A9">
        <w:rPr>
          <w:sz w:val="22"/>
          <w:szCs w:val="22"/>
        </w:rPr>
        <w:t xml:space="preserve"> to industry queries and consumer concerns.</w:t>
      </w:r>
    </w:p>
    <w:p w14:paraId="4FF79009" w14:textId="675D8DD2" w:rsidR="003221AC" w:rsidRDefault="003221AC" w:rsidP="00356647">
      <w:pPr>
        <w:pStyle w:val="mpcNormal"/>
        <w:keepNext w:val="0"/>
      </w:pPr>
    </w:p>
    <w:p w14:paraId="5C394C24" w14:textId="4915D802" w:rsidR="00C512E3" w:rsidRDefault="00482AA9" w:rsidP="00175CE9">
      <w:pPr>
        <w:pStyle w:val="mpcNormal"/>
        <w:keepNext w:val="0"/>
      </w:pPr>
      <w:r w:rsidRPr="00477638">
        <w:t>Noting diverse stakeholder views about nutrition science</w:t>
      </w:r>
      <w:r w:rsidR="00343F09" w:rsidRPr="00477638">
        <w:t xml:space="preserve"> </w:t>
      </w:r>
      <w:r w:rsidRPr="00477638">
        <w:t xml:space="preserve">and </w:t>
      </w:r>
      <w:r w:rsidR="00396DE2" w:rsidRPr="00477638">
        <w:t xml:space="preserve">the </w:t>
      </w:r>
      <w:r w:rsidRPr="00477638">
        <w:t>appropriate</w:t>
      </w:r>
      <w:r w:rsidR="00396DE2" w:rsidRPr="00477638">
        <w:t>ness of the</w:t>
      </w:r>
      <w:r w:rsidRPr="00477638">
        <w:t xml:space="preserve"> HSR</w:t>
      </w:r>
      <w:r w:rsidR="00396DE2" w:rsidRPr="00477638">
        <w:t>s attributed</w:t>
      </w:r>
      <w:r w:rsidRPr="00477638">
        <w:t xml:space="preserve"> </w:t>
      </w:r>
      <w:r w:rsidR="00396DE2" w:rsidRPr="00477638">
        <w:t xml:space="preserve">to </w:t>
      </w:r>
      <w:r w:rsidRPr="00477638">
        <w:t>different foods, i</w:t>
      </w:r>
      <w:r w:rsidR="003221AC" w:rsidRPr="00477638">
        <w:t xml:space="preserve">t is acknowledged that consensus regarding any changes to the HSR </w:t>
      </w:r>
      <w:r w:rsidR="00E84DD6" w:rsidRPr="00477638">
        <w:t xml:space="preserve">System </w:t>
      </w:r>
      <w:r w:rsidR="003221AC" w:rsidRPr="00477638">
        <w:t xml:space="preserve">is not achievable. </w:t>
      </w:r>
      <w:r w:rsidR="009117F5" w:rsidRPr="00477638">
        <w:t>Drawing on the invaluable input of stakeholders</w:t>
      </w:r>
      <w:r w:rsidR="00982E43" w:rsidRPr="00477638">
        <w:t>,</w:t>
      </w:r>
      <w:r w:rsidR="009117F5" w:rsidRPr="00477638">
        <w:t xml:space="preserve"> the </w:t>
      </w:r>
      <w:r w:rsidR="003221AC" w:rsidRPr="00477638">
        <w:t xml:space="preserve">Review has </w:t>
      </w:r>
      <w:r w:rsidR="009117F5" w:rsidRPr="00477638">
        <w:t xml:space="preserve">identified </w:t>
      </w:r>
      <w:r w:rsidRPr="00477638">
        <w:t xml:space="preserve">a </w:t>
      </w:r>
      <w:r w:rsidR="003221AC" w:rsidRPr="00477638">
        <w:t>pragmatic package of changes that maintain</w:t>
      </w:r>
      <w:r w:rsidR="009117F5" w:rsidRPr="00477638">
        <w:t>s</w:t>
      </w:r>
      <w:r w:rsidR="003221AC" w:rsidRPr="00477638">
        <w:t xml:space="preserve"> the integrity of the HSR System whil</w:t>
      </w:r>
      <w:r w:rsidR="00982E43" w:rsidRPr="00477638">
        <w:t>st</w:t>
      </w:r>
      <w:r w:rsidR="003221AC" w:rsidRPr="00477638">
        <w:t xml:space="preserve"> </w:t>
      </w:r>
      <w:r w:rsidR="00356647" w:rsidRPr="00477638">
        <w:t xml:space="preserve">continuously improving </w:t>
      </w:r>
      <w:r w:rsidR="00982E43" w:rsidRPr="00477638">
        <w:t>it</w:t>
      </w:r>
      <w:r w:rsidR="003221AC" w:rsidRPr="00477638">
        <w:t xml:space="preserve"> to better align with Dietary Guidelines, address consumer concerns and </w:t>
      </w:r>
      <w:r w:rsidR="00356647" w:rsidRPr="00477638">
        <w:t>respon</w:t>
      </w:r>
      <w:r w:rsidR="003221AC" w:rsidRPr="00477638">
        <w:t>d</w:t>
      </w:r>
      <w:r w:rsidR="00356647" w:rsidRPr="00477638">
        <w:t xml:space="preserve"> to changes in the food </w:t>
      </w:r>
      <w:r w:rsidR="007D7D69" w:rsidRPr="00477638">
        <w:t>supply</w:t>
      </w:r>
      <w:r w:rsidR="003221AC" w:rsidRPr="00477638">
        <w:t xml:space="preserve"> </w:t>
      </w:r>
      <w:r w:rsidR="00813266" w:rsidRPr="00477638">
        <w:t xml:space="preserve">and the </w:t>
      </w:r>
      <w:r w:rsidR="003221AC" w:rsidRPr="00477638">
        <w:t>way that both industry and consumers use the HSR</w:t>
      </w:r>
      <w:r w:rsidR="00396DE2" w:rsidRPr="00477638">
        <w:t xml:space="preserve"> System</w:t>
      </w:r>
      <w:r w:rsidR="00356647" w:rsidRPr="00477638">
        <w:t>.</w:t>
      </w:r>
    </w:p>
    <w:p w14:paraId="7181B95A" w14:textId="77777777" w:rsidR="00E84DD6" w:rsidRPr="00CC1ADD" w:rsidRDefault="00E84DD6" w:rsidP="00175CE9">
      <w:pPr>
        <w:pStyle w:val="mpcNormal"/>
        <w:keepNext w:val="0"/>
      </w:pPr>
    </w:p>
    <w:tbl>
      <w:tblPr>
        <w:tblStyle w:val="TableGrid"/>
        <w:tblW w:w="0" w:type="auto"/>
        <w:tblLook w:val="04A0" w:firstRow="1" w:lastRow="0" w:firstColumn="1" w:lastColumn="0" w:noHBand="0" w:noVBand="1"/>
        <w:tblCaption w:val="Thank You"/>
        <w:tblDescription w:val="We sincerely thank the wide range of academics, consumers, nutritionists and representatives from government, public health and industry who have shared their experiences and expertise and provided valuable information to inform the Review. "/>
      </w:tblPr>
      <w:tblGrid>
        <w:gridCol w:w="9736"/>
      </w:tblGrid>
      <w:tr w:rsidR="00FE54AF" w:rsidRPr="00CC1ADD" w14:paraId="2D0DA76C" w14:textId="77777777" w:rsidTr="00E84DD6">
        <w:trPr>
          <w:trHeight w:val="1518"/>
        </w:trPr>
        <w:tc>
          <w:tcPr>
            <w:tcW w:w="9736" w:type="dxa"/>
            <w:shd w:val="clear" w:color="auto" w:fill="D9E2F3" w:themeFill="accent1" w:themeFillTint="33"/>
            <w:vAlign w:val="center"/>
          </w:tcPr>
          <w:p w14:paraId="1992BA9C" w14:textId="443121CD" w:rsidR="00FE54AF" w:rsidRPr="00CC1ADD" w:rsidRDefault="00FE54AF" w:rsidP="00175CE9">
            <w:pPr>
              <w:pStyle w:val="mpcNormal"/>
              <w:keepNext w:val="0"/>
              <w:jc w:val="center"/>
            </w:pPr>
            <w:r w:rsidRPr="00CC1ADD">
              <w:t>We sincerely thank the</w:t>
            </w:r>
            <w:r w:rsidR="00C512E3">
              <w:t xml:space="preserve"> wide </w:t>
            </w:r>
            <w:r w:rsidRPr="00CC1ADD">
              <w:t>range of academics, consumers, nutritionists and representatives from government, public health and industry who have shared their experiences and expertise and provided valuable information to the Review. We extend our gratitude to the HSR Secretariat, Health Star Rating Advisory Committee (HSRAC) and the Technical Advisory Group (TAG) for their significant contribution to the Review.</w:t>
            </w:r>
          </w:p>
        </w:tc>
      </w:tr>
    </w:tbl>
    <w:p w14:paraId="410ED982" w14:textId="77777777" w:rsidR="00C34CE7" w:rsidRPr="00CC1ADD" w:rsidRDefault="00F43B13">
      <w:pPr>
        <w:pStyle w:val="mpcheading1"/>
        <w:spacing w:after="0"/>
      </w:pPr>
      <w:r w:rsidRPr="00CC1ADD">
        <w:br w:type="column"/>
      </w:r>
      <w:bookmarkStart w:id="10" w:name="Recommendations"/>
      <w:bookmarkStart w:id="11" w:name="_Toc523141414"/>
      <w:bookmarkStart w:id="12" w:name="_Toc9955029"/>
      <w:bookmarkEnd w:id="9"/>
      <w:bookmarkEnd w:id="10"/>
      <w:r w:rsidR="00C34CE7" w:rsidRPr="00CC1ADD">
        <w:t>Recommendations</w:t>
      </w:r>
      <w:bookmarkEnd w:id="11"/>
      <w:bookmarkEnd w:id="12"/>
    </w:p>
    <w:p w14:paraId="71BB2AD0" w14:textId="628934E5" w:rsidR="00C34CE7" w:rsidRDefault="00C34CE7" w:rsidP="00175CE9">
      <w:pPr>
        <w:pStyle w:val="mpcNormal"/>
        <w:keepNext w:val="0"/>
      </w:pPr>
    </w:p>
    <w:p w14:paraId="1A934842" w14:textId="77777777" w:rsidR="00372E4A" w:rsidRPr="00AC4A4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13" w:name="_Toc536717029"/>
      <w:bookmarkStart w:id="14" w:name="_Toc536718412"/>
      <w:bookmarkStart w:id="15" w:name="_Toc536808327"/>
      <w:bookmarkStart w:id="16" w:name="_Toc536809145"/>
      <w:bookmarkStart w:id="17" w:name="_Toc1554117"/>
      <w:r w:rsidRPr="00AC4A48">
        <w:rPr>
          <w:b/>
          <w:color w:val="FFFFFF" w:themeColor="background1"/>
          <w:sz w:val="24"/>
          <w:lang w:eastAsia="en-GB"/>
        </w:rPr>
        <w:t>HSR System impact (Chapter 3)</w:t>
      </w:r>
      <w:bookmarkEnd w:id="13"/>
      <w:bookmarkEnd w:id="14"/>
      <w:bookmarkEnd w:id="15"/>
      <w:bookmarkEnd w:id="16"/>
      <w:bookmarkEnd w:id="17"/>
    </w:p>
    <w:p w14:paraId="1F47C84C" w14:textId="77777777" w:rsidR="00372E4A" w:rsidRPr="00CC1ADD" w:rsidRDefault="00372E4A" w:rsidP="00372E4A">
      <w:pPr>
        <w:pStyle w:val="mpcNormal"/>
        <w:keepNext w:val="0"/>
      </w:pPr>
    </w:p>
    <w:tbl>
      <w:tblPr>
        <w:tblStyle w:val="TableGrid"/>
        <w:tblW w:w="0" w:type="auto"/>
        <w:tblLook w:val="04A0" w:firstRow="1" w:lastRow="0" w:firstColumn="1" w:lastColumn="0" w:noHBand="0" w:noVBand="1"/>
        <w:tblCaption w:val="Rec 1"/>
        <w:tblDescription w:val="Recommendation 1:  The HSR System be continued."/>
      </w:tblPr>
      <w:tblGrid>
        <w:gridCol w:w="9736"/>
      </w:tblGrid>
      <w:tr w:rsidR="00372E4A" w:rsidRPr="00CC1ADD" w14:paraId="28378CCD" w14:textId="77777777" w:rsidTr="00C8589B">
        <w:trPr>
          <w:trHeight w:val="3252"/>
        </w:trPr>
        <w:tc>
          <w:tcPr>
            <w:tcW w:w="9736" w:type="dxa"/>
            <w:tcBorders>
              <w:bottom w:val="single" w:sz="4" w:space="0" w:color="auto"/>
            </w:tcBorders>
            <w:shd w:val="clear" w:color="auto" w:fill="D9E2F3" w:themeFill="accent1" w:themeFillTint="33"/>
            <w:vAlign w:val="center"/>
          </w:tcPr>
          <w:p w14:paraId="1FDBC78E" w14:textId="434092E4" w:rsidR="00372E4A" w:rsidRPr="00F01046" w:rsidRDefault="00372E4A" w:rsidP="00372E4A">
            <w:pPr>
              <w:rPr>
                <w:b/>
                <w:sz w:val="22"/>
                <w:szCs w:val="22"/>
              </w:rPr>
            </w:pPr>
            <w:r w:rsidRPr="00F01046">
              <w:rPr>
                <w:b/>
                <w:sz w:val="22"/>
                <w:szCs w:val="22"/>
              </w:rPr>
              <w:t xml:space="preserve">Recommendation 1: </w:t>
            </w:r>
            <w:r w:rsidRPr="00F01046">
              <w:rPr>
                <w:b/>
                <w:sz w:val="22"/>
                <w:szCs w:val="22"/>
              </w:rPr>
              <w:tab/>
              <w:t xml:space="preserve">The </w:t>
            </w:r>
            <w:r w:rsidR="00A26FC9">
              <w:rPr>
                <w:b/>
                <w:sz w:val="22"/>
                <w:szCs w:val="22"/>
              </w:rPr>
              <w:t>HSR</w:t>
            </w:r>
            <w:r w:rsidRPr="00F01046">
              <w:rPr>
                <w:b/>
                <w:sz w:val="22"/>
                <w:szCs w:val="22"/>
              </w:rPr>
              <w:t xml:space="preserve"> System be continued.</w:t>
            </w:r>
          </w:p>
          <w:p w14:paraId="4D83520D" w14:textId="4FCE5CD6" w:rsidR="00372E4A" w:rsidRDefault="00372E4A" w:rsidP="00372E4A">
            <w:pPr>
              <w:pStyle w:val="mpcNormal"/>
              <w:keepNext w:val="0"/>
            </w:pPr>
          </w:p>
          <w:p w14:paraId="0CABB36B" w14:textId="21358C88" w:rsidR="008C5CBA" w:rsidRDefault="00CF24C5" w:rsidP="00313A51">
            <w:pPr>
              <w:pStyle w:val="mpcNormal"/>
              <w:keepNext w:val="0"/>
              <w:rPr>
                <w:i/>
              </w:rPr>
            </w:pPr>
            <w:r w:rsidRPr="008D2A83">
              <w:rPr>
                <w:i/>
                <w:lang w:bidi="ar-DZ"/>
              </w:rPr>
              <w:t>There is substantial evidence demonstrat</w:t>
            </w:r>
            <w:r w:rsidR="001C4F7D">
              <w:rPr>
                <w:i/>
                <w:lang w:bidi="ar-DZ"/>
              </w:rPr>
              <w:t>ing</w:t>
            </w:r>
            <w:r w:rsidRPr="008D2A83">
              <w:rPr>
                <w:i/>
                <w:lang w:bidi="ar-DZ"/>
              </w:rPr>
              <w:t xml:space="preserve"> that the System is working well</w:t>
            </w:r>
            <w:r w:rsidR="00C8589B">
              <w:rPr>
                <w:i/>
                <w:lang w:bidi="ar-DZ"/>
              </w:rPr>
              <w:t xml:space="preserve">. </w:t>
            </w:r>
            <w:r w:rsidR="00372E4A" w:rsidRPr="00F01046">
              <w:rPr>
                <w:i/>
              </w:rPr>
              <w:t xml:space="preserve">The System is generally well used, recognised, reliable and is assisting consumers to make healthier choices when purchasing packaged foods and beverages. </w:t>
            </w:r>
            <w:r w:rsidR="00313A51" w:rsidRPr="00F01046">
              <w:rPr>
                <w:i/>
              </w:rPr>
              <w:t>Most Australian and New Zealand consumers view the HSR as easy to understand, easy to use and making it easier to decide which packaged foods are healthier.</w:t>
            </w:r>
          </w:p>
          <w:p w14:paraId="5E78F02E" w14:textId="77777777" w:rsidR="00313A51" w:rsidRDefault="00313A51" w:rsidP="00313A51">
            <w:pPr>
              <w:pStyle w:val="mpcNormal"/>
              <w:keepNext w:val="0"/>
              <w:rPr>
                <w:i/>
              </w:rPr>
            </w:pPr>
          </w:p>
          <w:p w14:paraId="775C3A5A" w14:textId="7F1A13BD" w:rsidR="00C05B93" w:rsidRPr="00313A51" w:rsidRDefault="008C5CBA" w:rsidP="00E84DD6">
            <w:pPr>
              <w:pStyle w:val="mpcNormal"/>
              <w:keepNext w:val="0"/>
              <w:rPr>
                <w:i/>
                <w:lang w:bidi="ar-DZ"/>
              </w:rPr>
            </w:pPr>
            <w:r w:rsidRPr="008C5CBA">
              <w:rPr>
                <w:i/>
              </w:rPr>
              <w:t>Of Australian consumers purchasing a product displaying the HSR, almost two thirds stated that the HSR influenced their decision</w:t>
            </w:r>
            <w:r>
              <w:rPr>
                <w:i/>
              </w:rPr>
              <w:t xml:space="preserve"> and o</w:t>
            </w:r>
            <w:r w:rsidRPr="008C5CBA">
              <w:rPr>
                <w:i/>
              </w:rPr>
              <w:t xml:space="preserve">ne third </w:t>
            </w:r>
            <w:r w:rsidRPr="008C5CBA">
              <w:rPr>
                <w:i/>
                <w:lang w:bidi="ar-DZ"/>
              </w:rPr>
              <w:t xml:space="preserve">were influenced to purchase a product with more stars. </w:t>
            </w:r>
            <w:r w:rsidRPr="008E0D7F">
              <w:rPr>
                <w:i/>
                <w:lang w:bidi="ar-DZ"/>
              </w:rPr>
              <w:t xml:space="preserve">This equates to 23% of </w:t>
            </w:r>
            <w:r w:rsidR="00C05B93" w:rsidRPr="008E0D7F">
              <w:rPr>
                <w:i/>
                <w:lang w:bidi="ar-DZ"/>
              </w:rPr>
              <w:t>consumers</w:t>
            </w:r>
            <w:r w:rsidRPr="008E0D7F">
              <w:rPr>
                <w:i/>
                <w:lang w:bidi="ar-DZ"/>
              </w:rPr>
              <w:t xml:space="preserve"> being influenced by the HSR to change</w:t>
            </w:r>
            <w:r w:rsidR="00CF24C5" w:rsidRPr="008E0D7F">
              <w:rPr>
                <w:i/>
                <w:lang w:bidi="ar-DZ"/>
              </w:rPr>
              <w:t xml:space="preserve"> their</w:t>
            </w:r>
            <w:r w:rsidRPr="008E0D7F">
              <w:rPr>
                <w:i/>
                <w:lang w:bidi="ar-DZ"/>
              </w:rPr>
              <w:t xml:space="preserve"> purchasing behaviour to </w:t>
            </w:r>
            <w:r w:rsidR="00CF24C5" w:rsidRPr="008E0D7F">
              <w:rPr>
                <w:i/>
                <w:lang w:bidi="ar-DZ"/>
              </w:rPr>
              <w:t>select</w:t>
            </w:r>
            <w:r w:rsidRPr="008E0D7F">
              <w:rPr>
                <w:i/>
                <w:lang w:bidi="ar-DZ"/>
              </w:rPr>
              <w:t xml:space="preserve"> a </w:t>
            </w:r>
            <w:r w:rsidR="00CF24C5" w:rsidRPr="008E0D7F">
              <w:rPr>
                <w:i/>
                <w:lang w:bidi="ar-DZ"/>
              </w:rPr>
              <w:t xml:space="preserve">healthier </w:t>
            </w:r>
            <w:r w:rsidRPr="008E0D7F">
              <w:rPr>
                <w:i/>
                <w:lang w:bidi="ar-DZ"/>
              </w:rPr>
              <w:t>product</w:t>
            </w:r>
            <w:r w:rsidR="00CF24C5" w:rsidRPr="008E0D7F">
              <w:rPr>
                <w:i/>
                <w:lang w:bidi="ar-DZ"/>
              </w:rPr>
              <w:t>.</w:t>
            </w:r>
          </w:p>
        </w:tc>
      </w:tr>
    </w:tbl>
    <w:p w14:paraId="762162EB" w14:textId="1D5B672E" w:rsidR="00372E4A" w:rsidRDefault="00372E4A" w:rsidP="00372E4A">
      <w:pPr>
        <w:rPr>
          <w:b/>
          <w:sz w:val="22"/>
          <w:szCs w:val="22"/>
        </w:rPr>
      </w:pPr>
    </w:p>
    <w:tbl>
      <w:tblPr>
        <w:tblStyle w:val="TableGrid"/>
        <w:tblW w:w="0" w:type="auto"/>
        <w:tblLook w:val="04A0" w:firstRow="1" w:lastRow="0" w:firstColumn="1" w:lastColumn="0" w:noHBand="0" w:noVBand="1"/>
        <w:tblCaption w:val="Rec 2"/>
        <w:tblDescription w:val="Recommendation 2:  HSR graphic Option 5, the energy icon, be removed from the HSR System."/>
      </w:tblPr>
      <w:tblGrid>
        <w:gridCol w:w="9736"/>
      </w:tblGrid>
      <w:tr w:rsidR="00372E4A" w:rsidRPr="00CC1ADD" w14:paraId="6A897543" w14:textId="77777777" w:rsidTr="00E84DD6">
        <w:trPr>
          <w:trHeight w:val="3402"/>
        </w:trPr>
        <w:tc>
          <w:tcPr>
            <w:tcW w:w="9736" w:type="dxa"/>
            <w:shd w:val="clear" w:color="auto" w:fill="D9E2F3" w:themeFill="accent1" w:themeFillTint="33"/>
            <w:vAlign w:val="center"/>
          </w:tcPr>
          <w:p w14:paraId="65AAE409" w14:textId="276CEF6F" w:rsidR="00372E4A" w:rsidRPr="00CC1ADD" w:rsidRDefault="00372E4A" w:rsidP="00372E4A">
            <w:pPr>
              <w:ind w:left="2160" w:hanging="2160"/>
              <w:rPr>
                <w:b/>
                <w:sz w:val="22"/>
                <w:szCs w:val="22"/>
              </w:rPr>
            </w:pPr>
            <w:r w:rsidRPr="00CC1ADD">
              <w:rPr>
                <w:b/>
                <w:sz w:val="22"/>
                <w:szCs w:val="22"/>
              </w:rPr>
              <w:t xml:space="preserve">Recommendation 2: </w:t>
            </w:r>
            <w:r w:rsidRPr="00CC1ADD">
              <w:rPr>
                <w:b/>
                <w:sz w:val="22"/>
                <w:szCs w:val="22"/>
              </w:rPr>
              <w:tab/>
            </w:r>
            <w:r w:rsidR="00D93EC6" w:rsidRPr="00D93EC6">
              <w:rPr>
                <w:b/>
                <w:sz w:val="22"/>
                <w:szCs w:val="22"/>
              </w:rPr>
              <w:t>HSR graphic Option 5, the energy icon, be removed from the HSR System</w:t>
            </w:r>
            <w:r>
              <w:rPr>
                <w:b/>
                <w:sz w:val="22"/>
                <w:szCs w:val="22"/>
              </w:rPr>
              <w:t>.</w:t>
            </w:r>
          </w:p>
          <w:p w14:paraId="28665A75" w14:textId="77777777" w:rsidR="00372E4A" w:rsidRPr="003A051A" w:rsidRDefault="00372E4A" w:rsidP="00372E4A">
            <w:pPr>
              <w:pStyle w:val="mpcNormal"/>
              <w:keepNext w:val="0"/>
            </w:pPr>
          </w:p>
          <w:p w14:paraId="4EB23B81" w14:textId="6459AE54" w:rsidR="000C2CCD" w:rsidRPr="000C2CCD" w:rsidRDefault="00C7115A" w:rsidP="00372E4A">
            <w:pPr>
              <w:pStyle w:val="mpcNormal"/>
              <w:keepNext w:val="0"/>
              <w:rPr>
                <w:i/>
              </w:rPr>
            </w:pPr>
            <w:r>
              <w:rPr>
                <w:i/>
              </w:rPr>
              <w:t>One of five HSR graphic options currently available to manufacturers is Option 5, the energy icon (without the stars). This icon is most commonly used on non-dairy beverages and confection</w:t>
            </w:r>
            <w:r w:rsidR="00343F09">
              <w:rPr>
                <w:i/>
              </w:rPr>
              <w:t>e</w:t>
            </w:r>
            <w:r>
              <w:rPr>
                <w:i/>
              </w:rPr>
              <w:t>ry. However, t</w:t>
            </w:r>
            <w:r w:rsidR="00372E4A" w:rsidRPr="000A22C3">
              <w:rPr>
                <w:i/>
              </w:rPr>
              <w:t xml:space="preserve">he energy icon is not well understood by consumers and does not provide </w:t>
            </w:r>
            <w:r w:rsidR="00CF24C5">
              <w:rPr>
                <w:i/>
              </w:rPr>
              <w:t>interpretive</w:t>
            </w:r>
            <w:r w:rsidR="00372E4A" w:rsidRPr="000A22C3">
              <w:rPr>
                <w:i/>
              </w:rPr>
              <w:t xml:space="preserve"> information to support choice.</w:t>
            </w:r>
            <w:r w:rsidR="003418BA">
              <w:rPr>
                <w:i/>
              </w:rPr>
              <w:t xml:space="preserve"> In surveys, only </w:t>
            </w:r>
            <w:r w:rsidR="000C2CCD" w:rsidRPr="000C2CCD">
              <w:rPr>
                <w:i/>
              </w:rPr>
              <w:t>2</w:t>
            </w:r>
            <w:r w:rsidR="003418BA" w:rsidRPr="000C2CCD">
              <w:rPr>
                <w:i/>
              </w:rPr>
              <w:t xml:space="preserve">% of Australian consumers find the energy icon easy to </w:t>
            </w:r>
            <w:r w:rsidR="000C2CCD" w:rsidRPr="000C2CCD">
              <w:rPr>
                <w:i/>
              </w:rPr>
              <w:t>understand</w:t>
            </w:r>
            <w:r w:rsidR="003418BA" w:rsidRPr="000C2CCD">
              <w:rPr>
                <w:i/>
              </w:rPr>
              <w:t>.</w:t>
            </w:r>
            <w:r w:rsidR="00372E4A" w:rsidRPr="000C2CCD">
              <w:rPr>
                <w:i/>
              </w:rPr>
              <w:t xml:space="preserve"> </w:t>
            </w:r>
          </w:p>
          <w:p w14:paraId="2392F864" w14:textId="77777777" w:rsidR="000C2CCD" w:rsidRPr="000C2CCD" w:rsidRDefault="000C2CCD" w:rsidP="00372E4A">
            <w:pPr>
              <w:pStyle w:val="mpcNormal"/>
              <w:keepNext w:val="0"/>
              <w:rPr>
                <w:i/>
              </w:rPr>
            </w:pPr>
          </w:p>
          <w:p w14:paraId="09D925BD" w14:textId="1A9C58D2" w:rsidR="00372E4A" w:rsidRPr="00CC1ADD" w:rsidRDefault="00C7115A" w:rsidP="00372E4A">
            <w:pPr>
              <w:pStyle w:val="mpcNormal"/>
              <w:keepNext w:val="0"/>
            </w:pPr>
            <w:r>
              <w:rPr>
                <w:i/>
              </w:rPr>
              <w:t>Further, while some products may display the energy icon, others may display the stars</w:t>
            </w:r>
            <w:r w:rsidR="00372E4A" w:rsidRPr="000C2CCD">
              <w:rPr>
                <w:i/>
              </w:rPr>
              <w:t>, making it difficult for consumers to compare like products. In the non-dairy beverage category, stars are used more commonly for 5 star products and the energy icon for lower scoring products.</w:t>
            </w:r>
            <w:r w:rsidR="003418BA" w:rsidRPr="000C2CCD">
              <w:rPr>
                <w:i/>
              </w:rPr>
              <w:t xml:space="preserve"> The energy displayed is often based on serve size, which is not always comparable between products, further reducing the utility of the energy icon to support consumer choice.</w:t>
            </w:r>
          </w:p>
        </w:tc>
      </w:tr>
    </w:tbl>
    <w:p w14:paraId="36646E9F" w14:textId="77777777" w:rsidR="00372E4A" w:rsidRPr="00CC1ADD" w:rsidRDefault="00372E4A" w:rsidP="00372E4A">
      <w:pPr>
        <w:rPr>
          <w:b/>
          <w:sz w:val="22"/>
          <w:szCs w:val="22"/>
        </w:rPr>
      </w:pPr>
    </w:p>
    <w:p w14:paraId="45F49716" w14:textId="77777777" w:rsidR="00372E4A" w:rsidRPr="00AC4A4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18" w:name="_Toc536717030"/>
      <w:bookmarkStart w:id="19" w:name="_Toc536718413"/>
      <w:bookmarkStart w:id="20" w:name="_Toc536808328"/>
      <w:bookmarkStart w:id="21" w:name="_Toc536809146"/>
      <w:bookmarkStart w:id="22" w:name="_Toc1554118"/>
      <w:r w:rsidRPr="00AC4A48">
        <w:rPr>
          <w:b/>
          <w:color w:val="FFFFFF" w:themeColor="background1"/>
          <w:sz w:val="24"/>
          <w:lang w:eastAsia="en-GB"/>
        </w:rPr>
        <w:t>HSR System promotion (Chapter 4)</w:t>
      </w:r>
      <w:bookmarkEnd w:id="18"/>
      <w:bookmarkEnd w:id="19"/>
      <w:bookmarkEnd w:id="20"/>
      <w:bookmarkEnd w:id="21"/>
      <w:bookmarkEnd w:id="22"/>
    </w:p>
    <w:p w14:paraId="53551237" w14:textId="77777777" w:rsidR="00372E4A" w:rsidRPr="00CC1ADD" w:rsidRDefault="00372E4A" w:rsidP="00372E4A">
      <w:pPr>
        <w:pStyle w:val="mpcNormal"/>
        <w:keepNext w:val="0"/>
      </w:pPr>
    </w:p>
    <w:tbl>
      <w:tblPr>
        <w:tblStyle w:val="TableGrid"/>
        <w:tblW w:w="0" w:type="auto"/>
        <w:tblLook w:val="04A0" w:firstRow="1" w:lastRow="0" w:firstColumn="1" w:lastColumn="0" w:noHBand="0" w:noVBand="1"/>
        <w:tblCaption w:val="Rec 3"/>
        <w:tblDescription w:val="Recommendation 3:  Governments, industry, public health and consumer bodies continue to promote the HSR System. "/>
      </w:tblPr>
      <w:tblGrid>
        <w:gridCol w:w="9736"/>
      </w:tblGrid>
      <w:tr w:rsidR="00372E4A" w:rsidRPr="00CC1ADD" w14:paraId="31575F9B" w14:textId="77777777" w:rsidTr="00E84DD6">
        <w:trPr>
          <w:trHeight w:val="4059"/>
        </w:trPr>
        <w:tc>
          <w:tcPr>
            <w:tcW w:w="9736" w:type="dxa"/>
            <w:shd w:val="clear" w:color="auto" w:fill="D9E2F3" w:themeFill="accent1" w:themeFillTint="33"/>
            <w:vAlign w:val="center"/>
          </w:tcPr>
          <w:p w14:paraId="01A89F0D" w14:textId="713724C8" w:rsidR="00372E4A" w:rsidRPr="00B30698" w:rsidRDefault="00372E4A" w:rsidP="00372E4A">
            <w:pPr>
              <w:pStyle w:val="Default"/>
              <w:ind w:left="2160" w:hanging="2160"/>
              <w:rPr>
                <w:rFonts w:asciiTheme="minorHAnsi" w:hAnsiTheme="minorHAnsi" w:cstheme="minorBidi"/>
                <w:b/>
                <w:color w:val="auto"/>
                <w:sz w:val="22"/>
                <w:szCs w:val="22"/>
                <w:lang w:val="en-AU"/>
              </w:rPr>
            </w:pPr>
            <w:r w:rsidRPr="00B30698">
              <w:rPr>
                <w:rFonts w:asciiTheme="minorHAnsi" w:hAnsiTheme="minorHAnsi" w:cstheme="minorBidi"/>
                <w:b/>
                <w:color w:val="auto"/>
                <w:sz w:val="22"/>
                <w:szCs w:val="22"/>
                <w:lang w:val="en-AU"/>
              </w:rPr>
              <w:t xml:space="preserve">Recommendation 3: </w:t>
            </w:r>
            <w:r w:rsidRPr="00B30698">
              <w:rPr>
                <w:rFonts w:asciiTheme="minorHAnsi" w:hAnsiTheme="minorHAnsi" w:cstheme="minorBidi"/>
                <w:b/>
                <w:color w:val="auto"/>
                <w:sz w:val="22"/>
                <w:szCs w:val="22"/>
                <w:lang w:val="en-AU"/>
              </w:rPr>
              <w:tab/>
              <w:t xml:space="preserve">Governments, industry, public health and consumer bodies continue to promote the HSR System. Government promotion </w:t>
            </w:r>
            <w:r w:rsidR="00A50B66">
              <w:rPr>
                <w:rFonts w:asciiTheme="minorHAnsi" w:hAnsiTheme="minorHAnsi" w:cstheme="minorBidi"/>
                <w:b/>
                <w:color w:val="auto"/>
                <w:sz w:val="22"/>
                <w:szCs w:val="22"/>
                <w:lang w:val="en-AU"/>
              </w:rPr>
              <w:t xml:space="preserve">over the next two years </w:t>
            </w:r>
            <w:r w:rsidRPr="00B30698">
              <w:rPr>
                <w:rFonts w:asciiTheme="minorHAnsi" w:hAnsiTheme="minorHAnsi" w:cstheme="minorBidi"/>
                <w:b/>
                <w:color w:val="auto"/>
                <w:sz w:val="22"/>
                <w:szCs w:val="22"/>
                <w:lang w:val="en-AU"/>
              </w:rPr>
              <w:t>should:</w:t>
            </w:r>
          </w:p>
          <w:p w14:paraId="3CEA6BBF" w14:textId="77777777" w:rsidR="00372E4A" w:rsidRPr="00B30698" w:rsidRDefault="00372E4A" w:rsidP="00372E4A">
            <w:pPr>
              <w:rPr>
                <w:b/>
                <w:sz w:val="22"/>
                <w:szCs w:val="22"/>
              </w:rPr>
            </w:pPr>
          </w:p>
          <w:p w14:paraId="083456CF" w14:textId="580BAE8A" w:rsidR="00372E4A" w:rsidRPr="00B30698" w:rsidRDefault="00372E4A" w:rsidP="00901C53">
            <w:pPr>
              <w:pStyle w:val="ListParagraph"/>
              <w:numPr>
                <w:ilvl w:val="0"/>
                <w:numId w:val="31"/>
              </w:numPr>
              <w:rPr>
                <w:b/>
                <w:sz w:val="22"/>
                <w:szCs w:val="22"/>
              </w:rPr>
            </w:pPr>
            <w:r w:rsidRPr="00B30698">
              <w:rPr>
                <w:b/>
                <w:sz w:val="22"/>
                <w:szCs w:val="22"/>
              </w:rPr>
              <w:t>communicate the reason for changes to the HSR System</w:t>
            </w:r>
          </w:p>
          <w:p w14:paraId="5AF2E8A9" w14:textId="77777777" w:rsidR="00372E4A" w:rsidRPr="00B30698" w:rsidRDefault="00372E4A" w:rsidP="00901C53">
            <w:pPr>
              <w:pStyle w:val="ListParagraph"/>
              <w:numPr>
                <w:ilvl w:val="0"/>
                <w:numId w:val="31"/>
              </w:numPr>
              <w:rPr>
                <w:b/>
                <w:sz w:val="22"/>
                <w:szCs w:val="22"/>
              </w:rPr>
            </w:pPr>
            <w:r w:rsidRPr="00B30698">
              <w:rPr>
                <w:b/>
                <w:sz w:val="22"/>
                <w:szCs w:val="22"/>
              </w:rPr>
              <w:t xml:space="preserve">target specific areas of consumer misunderstanding or gaps in awareness </w:t>
            </w:r>
          </w:p>
          <w:p w14:paraId="33D494B4" w14:textId="77777777" w:rsidR="00372E4A" w:rsidRPr="00B30698" w:rsidRDefault="00372E4A" w:rsidP="00901C53">
            <w:pPr>
              <w:pStyle w:val="ListParagraph"/>
              <w:numPr>
                <w:ilvl w:val="0"/>
                <w:numId w:val="31"/>
              </w:numPr>
              <w:rPr>
                <w:b/>
                <w:sz w:val="22"/>
                <w:szCs w:val="22"/>
              </w:rPr>
            </w:pPr>
            <w:r w:rsidRPr="00B30698">
              <w:rPr>
                <w:b/>
                <w:sz w:val="22"/>
                <w:szCs w:val="22"/>
              </w:rPr>
              <w:t>highlight government endorsement of the HSR System</w:t>
            </w:r>
          </w:p>
          <w:p w14:paraId="7D599A26" w14:textId="77777777" w:rsidR="00372E4A" w:rsidRPr="00B30698" w:rsidRDefault="00372E4A" w:rsidP="00901C53">
            <w:pPr>
              <w:pStyle w:val="mpcNormal"/>
              <w:keepNext w:val="0"/>
              <w:numPr>
                <w:ilvl w:val="0"/>
                <w:numId w:val="31"/>
              </w:numPr>
              <w:rPr>
                <w:i/>
              </w:rPr>
            </w:pPr>
            <w:r w:rsidRPr="00B30698">
              <w:rPr>
                <w:b/>
              </w:rPr>
              <w:t xml:space="preserve">position </w:t>
            </w:r>
            <w:r>
              <w:rPr>
                <w:b/>
              </w:rPr>
              <w:t>t</w:t>
            </w:r>
            <w:r w:rsidRPr="00B30698">
              <w:rPr>
                <w:b/>
              </w:rPr>
              <w:t>he HSR System in the context of bro</w:t>
            </w:r>
            <w:r>
              <w:rPr>
                <w:b/>
              </w:rPr>
              <w:t>a</w:t>
            </w:r>
            <w:r w:rsidRPr="00B30698">
              <w:rPr>
                <w:b/>
              </w:rPr>
              <w:t>der healthy eating messages.</w:t>
            </w:r>
          </w:p>
          <w:p w14:paraId="717B9F0F" w14:textId="77777777" w:rsidR="00372E4A" w:rsidRDefault="00372E4A" w:rsidP="00372E4A">
            <w:pPr>
              <w:pStyle w:val="mpcNormal"/>
              <w:keepNext w:val="0"/>
              <w:rPr>
                <w:b/>
              </w:rPr>
            </w:pPr>
          </w:p>
          <w:p w14:paraId="2E91FB03" w14:textId="32FEF087" w:rsidR="00372E4A" w:rsidRPr="00163145" w:rsidRDefault="00A26FC9" w:rsidP="00372E4A">
            <w:pPr>
              <w:pStyle w:val="Default"/>
              <w:rPr>
                <w:rFonts w:asciiTheme="minorHAnsi" w:hAnsiTheme="minorHAnsi" w:cstheme="minorBidi"/>
                <w:i/>
                <w:color w:val="auto"/>
                <w:sz w:val="22"/>
                <w:szCs w:val="22"/>
                <w:lang w:val="en-AU"/>
              </w:rPr>
            </w:pPr>
            <w:r>
              <w:rPr>
                <w:rFonts w:asciiTheme="minorHAnsi" w:hAnsiTheme="minorHAnsi" w:cstheme="minorBidi"/>
                <w:i/>
                <w:color w:val="auto"/>
                <w:sz w:val="22"/>
                <w:szCs w:val="22"/>
                <w:lang w:val="en-AU"/>
              </w:rPr>
              <w:t xml:space="preserve">Continued </w:t>
            </w:r>
            <w:r w:rsidR="00372E4A" w:rsidRPr="00CB2709">
              <w:rPr>
                <w:rFonts w:asciiTheme="minorHAnsi" w:hAnsiTheme="minorHAnsi" w:cstheme="minorBidi"/>
                <w:i/>
                <w:color w:val="auto"/>
                <w:sz w:val="22"/>
                <w:szCs w:val="22"/>
                <w:lang w:val="en-AU"/>
              </w:rPr>
              <w:t xml:space="preserve">HSR System promotion </w:t>
            </w:r>
            <w:r w:rsidR="00A50B66">
              <w:rPr>
                <w:rFonts w:asciiTheme="minorHAnsi" w:hAnsiTheme="minorHAnsi" w:cstheme="minorBidi"/>
                <w:i/>
                <w:color w:val="auto"/>
                <w:sz w:val="22"/>
                <w:szCs w:val="22"/>
                <w:lang w:val="en-AU"/>
              </w:rPr>
              <w:t>by Government is necessary to communicate</w:t>
            </w:r>
            <w:r w:rsidR="003418BA">
              <w:rPr>
                <w:rFonts w:asciiTheme="minorHAnsi" w:hAnsiTheme="minorHAnsi" w:cstheme="minorBidi"/>
                <w:i/>
                <w:color w:val="auto"/>
                <w:sz w:val="22"/>
                <w:szCs w:val="22"/>
                <w:lang w:val="en-AU"/>
              </w:rPr>
              <w:t xml:space="preserve"> </w:t>
            </w:r>
            <w:r w:rsidR="00372E4A" w:rsidRPr="00CB2709">
              <w:rPr>
                <w:rFonts w:asciiTheme="minorHAnsi" w:hAnsiTheme="minorHAnsi" w:cstheme="minorBidi"/>
                <w:i/>
                <w:color w:val="auto"/>
                <w:sz w:val="22"/>
                <w:szCs w:val="22"/>
                <w:lang w:val="en-AU"/>
              </w:rPr>
              <w:t xml:space="preserve">changes to the System and </w:t>
            </w:r>
            <w:r w:rsidR="00C8589B">
              <w:rPr>
                <w:rFonts w:asciiTheme="minorHAnsi" w:hAnsiTheme="minorHAnsi" w:cstheme="minorBidi"/>
                <w:i/>
                <w:color w:val="auto"/>
                <w:sz w:val="22"/>
                <w:szCs w:val="22"/>
                <w:lang w:val="en-AU"/>
              </w:rPr>
              <w:t xml:space="preserve">continue to </w:t>
            </w:r>
            <w:r w:rsidR="00372E4A" w:rsidRPr="00CB2709">
              <w:rPr>
                <w:rFonts w:asciiTheme="minorHAnsi" w:hAnsiTheme="minorHAnsi" w:cstheme="minorBidi"/>
                <w:i/>
                <w:color w:val="auto"/>
                <w:sz w:val="22"/>
                <w:szCs w:val="22"/>
                <w:lang w:val="en-AU"/>
              </w:rPr>
              <w:t xml:space="preserve">address </w:t>
            </w:r>
            <w:r w:rsidR="00C8589B">
              <w:rPr>
                <w:rFonts w:asciiTheme="minorHAnsi" w:hAnsiTheme="minorHAnsi" w:cstheme="minorBidi"/>
                <w:i/>
                <w:color w:val="auto"/>
                <w:sz w:val="22"/>
                <w:szCs w:val="22"/>
                <w:lang w:val="en-AU"/>
              </w:rPr>
              <w:t xml:space="preserve">common </w:t>
            </w:r>
            <w:r w:rsidR="00372E4A" w:rsidRPr="00CB2709">
              <w:rPr>
                <w:rFonts w:asciiTheme="minorHAnsi" w:hAnsiTheme="minorHAnsi" w:cstheme="minorBidi"/>
                <w:i/>
                <w:color w:val="auto"/>
                <w:sz w:val="22"/>
                <w:szCs w:val="22"/>
                <w:lang w:val="en-AU"/>
              </w:rPr>
              <w:t>misunderstandings. Once the System is further embedded</w:t>
            </w:r>
            <w:r w:rsidR="00AE1B1D">
              <w:rPr>
                <w:rFonts w:asciiTheme="minorHAnsi" w:hAnsiTheme="minorHAnsi" w:cstheme="minorBidi"/>
                <w:i/>
                <w:color w:val="auto"/>
                <w:sz w:val="22"/>
                <w:szCs w:val="22"/>
                <w:lang w:val="en-AU"/>
              </w:rPr>
              <w:t xml:space="preserve"> into the broader public health culture and food system, </w:t>
            </w:r>
            <w:r w:rsidR="007E67AE">
              <w:rPr>
                <w:rFonts w:asciiTheme="minorHAnsi" w:hAnsiTheme="minorHAnsi" w:cstheme="minorBidi"/>
                <w:i/>
                <w:color w:val="auto"/>
                <w:sz w:val="22"/>
                <w:szCs w:val="22"/>
                <w:lang w:val="en-AU"/>
              </w:rPr>
              <w:t>specific campaigns about how to use the System will be less critical than positioning the System in the context of broader healthy eating messages. I</w:t>
            </w:r>
            <w:r w:rsidR="00AE1B1D">
              <w:rPr>
                <w:rFonts w:asciiTheme="minorHAnsi" w:hAnsiTheme="minorHAnsi" w:cstheme="minorBidi"/>
                <w:i/>
                <w:color w:val="auto"/>
                <w:sz w:val="22"/>
                <w:szCs w:val="22"/>
                <w:lang w:val="en-AU"/>
              </w:rPr>
              <w:t>t is important that all stakeholders continue to play a role in constantly refreshing public understanding</w:t>
            </w:r>
            <w:r w:rsidR="00163145">
              <w:rPr>
                <w:rFonts w:asciiTheme="minorHAnsi" w:hAnsiTheme="minorHAnsi" w:cstheme="minorBidi"/>
                <w:i/>
                <w:color w:val="auto"/>
                <w:sz w:val="22"/>
                <w:szCs w:val="22"/>
                <w:lang w:val="en-AU"/>
              </w:rPr>
              <w:t xml:space="preserve"> of the System</w:t>
            </w:r>
            <w:r w:rsidR="00C512E3">
              <w:rPr>
                <w:rFonts w:asciiTheme="minorHAnsi" w:hAnsiTheme="minorHAnsi" w:cstheme="minorBidi"/>
                <w:i/>
                <w:color w:val="auto"/>
                <w:sz w:val="22"/>
                <w:szCs w:val="22"/>
                <w:lang w:val="en-AU"/>
              </w:rPr>
              <w:t xml:space="preserve"> and promoting its use</w:t>
            </w:r>
            <w:r w:rsidR="00163145">
              <w:rPr>
                <w:rFonts w:asciiTheme="minorHAnsi" w:hAnsiTheme="minorHAnsi" w:cstheme="minorBidi"/>
                <w:i/>
                <w:color w:val="auto"/>
                <w:sz w:val="22"/>
                <w:szCs w:val="22"/>
                <w:lang w:val="en-AU"/>
              </w:rPr>
              <w:t xml:space="preserve">. </w:t>
            </w:r>
          </w:p>
        </w:tc>
      </w:tr>
    </w:tbl>
    <w:p w14:paraId="7FFB9C04" w14:textId="77777777" w:rsidR="00372E4A" w:rsidRPr="00CC1ADD" w:rsidRDefault="00372E4A" w:rsidP="00372E4A">
      <w:pPr>
        <w:rPr>
          <w:b/>
          <w:sz w:val="22"/>
          <w:szCs w:val="22"/>
        </w:rPr>
      </w:pPr>
    </w:p>
    <w:p w14:paraId="729D3611" w14:textId="77777777" w:rsidR="00372E4A" w:rsidRPr="008C5CBA"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23" w:name="_Toc536717031"/>
      <w:bookmarkStart w:id="24" w:name="_Toc536718414"/>
      <w:bookmarkStart w:id="25" w:name="_Toc536808329"/>
      <w:bookmarkStart w:id="26" w:name="_Toc536809147"/>
      <w:bookmarkStart w:id="27" w:name="_Toc1554119"/>
      <w:r w:rsidRPr="008C5CBA">
        <w:rPr>
          <w:b/>
          <w:color w:val="FFFFFF" w:themeColor="background1"/>
          <w:sz w:val="24"/>
          <w:lang w:eastAsia="en-GB"/>
        </w:rPr>
        <w:t>HSR System enhancements (Chapter 5)</w:t>
      </w:r>
      <w:bookmarkEnd w:id="23"/>
      <w:bookmarkEnd w:id="24"/>
      <w:bookmarkEnd w:id="25"/>
      <w:bookmarkEnd w:id="26"/>
      <w:bookmarkEnd w:id="27"/>
    </w:p>
    <w:p w14:paraId="14302AAE" w14:textId="77777777" w:rsidR="00372E4A" w:rsidRPr="00CC1ADD" w:rsidRDefault="00372E4A" w:rsidP="00372E4A">
      <w:pPr>
        <w:keepNext/>
        <w:rPr>
          <w:b/>
          <w:sz w:val="22"/>
          <w:szCs w:val="22"/>
        </w:rPr>
      </w:pPr>
    </w:p>
    <w:tbl>
      <w:tblPr>
        <w:tblStyle w:val="TableGrid"/>
        <w:tblW w:w="0" w:type="auto"/>
        <w:tblLook w:val="04A0" w:firstRow="1" w:lastRow="0" w:firstColumn="1" w:lastColumn="0" w:noHBand="0" w:noVBand="1"/>
        <w:tblCaption w:val="Rec 4"/>
        <w:tblDescription w:val="Recommendation 4:  A package of changes be made to the way the HSR is calculated for foods to better align with Dietary Guidelines, reflect emerging evidence, address consumer concerns and encourage positive reformulation."/>
      </w:tblPr>
      <w:tblGrid>
        <w:gridCol w:w="9736"/>
      </w:tblGrid>
      <w:tr w:rsidR="00372E4A" w:rsidRPr="00CC1ADD" w14:paraId="34E3A2C0" w14:textId="77777777" w:rsidTr="00E84DD6">
        <w:trPr>
          <w:trHeight w:val="6431"/>
        </w:trPr>
        <w:tc>
          <w:tcPr>
            <w:tcW w:w="9736" w:type="dxa"/>
            <w:shd w:val="clear" w:color="auto" w:fill="D9E2F3" w:themeFill="accent1" w:themeFillTint="33"/>
            <w:vAlign w:val="center"/>
          </w:tcPr>
          <w:p w14:paraId="16E21C78" w14:textId="5DD0DD25" w:rsidR="00372E4A" w:rsidRPr="00CC1ADD" w:rsidRDefault="00372E4A" w:rsidP="00372E4A">
            <w:pPr>
              <w:keepNext/>
              <w:ind w:left="2160" w:hanging="2160"/>
              <w:rPr>
                <w:b/>
                <w:sz w:val="22"/>
                <w:szCs w:val="22"/>
              </w:rPr>
            </w:pPr>
            <w:r w:rsidRPr="00CC1ADD">
              <w:rPr>
                <w:b/>
                <w:sz w:val="22"/>
                <w:szCs w:val="22"/>
              </w:rPr>
              <w:t xml:space="preserve">Recommendation 4: </w:t>
            </w:r>
            <w:r w:rsidRPr="00CC1ADD">
              <w:rPr>
                <w:b/>
                <w:sz w:val="22"/>
                <w:szCs w:val="22"/>
              </w:rPr>
              <w:tab/>
            </w:r>
            <w:r>
              <w:rPr>
                <w:b/>
                <w:sz w:val="22"/>
                <w:szCs w:val="22"/>
              </w:rPr>
              <w:t xml:space="preserve">A package of </w:t>
            </w:r>
            <w:r w:rsidRPr="00CC1ADD">
              <w:rPr>
                <w:b/>
                <w:sz w:val="22"/>
                <w:szCs w:val="22"/>
              </w:rPr>
              <w:t xml:space="preserve">changes be made to the way the </w:t>
            </w:r>
            <w:r w:rsidR="00A26FC9">
              <w:rPr>
                <w:b/>
                <w:sz w:val="22"/>
                <w:szCs w:val="22"/>
              </w:rPr>
              <w:t>HSR</w:t>
            </w:r>
            <w:r w:rsidRPr="00CC1ADD">
              <w:rPr>
                <w:b/>
                <w:sz w:val="22"/>
                <w:szCs w:val="22"/>
              </w:rPr>
              <w:t xml:space="preserve"> is calculated </w:t>
            </w:r>
            <w:r>
              <w:rPr>
                <w:b/>
                <w:sz w:val="22"/>
                <w:szCs w:val="22"/>
              </w:rPr>
              <w:t xml:space="preserve">for foods </w:t>
            </w:r>
            <w:r w:rsidRPr="00CC1ADD">
              <w:rPr>
                <w:b/>
                <w:sz w:val="22"/>
                <w:szCs w:val="22"/>
              </w:rPr>
              <w:t>to better align with Dietary Guidelines</w:t>
            </w:r>
            <w:r w:rsidR="00C37FC6">
              <w:rPr>
                <w:b/>
                <w:sz w:val="22"/>
                <w:szCs w:val="22"/>
              </w:rPr>
              <w:t>,</w:t>
            </w:r>
            <w:r w:rsidRPr="00CC1ADD">
              <w:rPr>
                <w:b/>
                <w:sz w:val="22"/>
                <w:szCs w:val="22"/>
              </w:rPr>
              <w:t xml:space="preserve"> reflect emerging evidence</w:t>
            </w:r>
            <w:r w:rsidR="00C37FC6">
              <w:rPr>
                <w:b/>
                <w:sz w:val="22"/>
                <w:szCs w:val="22"/>
              </w:rPr>
              <w:t>,</w:t>
            </w:r>
            <w:r w:rsidRPr="00CC1ADD">
              <w:rPr>
                <w:b/>
                <w:sz w:val="22"/>
                <w:szCs w:val="22"/>
              </w:rPr>
              <w:t xml:space="preserve"> address consumer concerns and encourage positive reformulation.</w:t>
            </w:r>
          </w:p>
          <w:p w14:paraId="7B6AF777" w14:textId="77777777" w:rsidR="00372E4A" w:rsidRPr="00CC1ADD" w:rsidRDefault="00372E4A" w:rsidP="00372E4A">
            <w:pPr>
              <w:keepNext/>
              <w:rPr>
                <w:b/>
                <w:sz w:val="22"/>
                <w:szCs w:val="22"/>
              </w:rPr>
            </w:pPr>
          </w:p>
          <w:p w14:paraId="51A48232" w14:textId="0C0BD073" w:rsidR="00372E4A" w:rsidRPr="00CC1ADD" w:rsidRDefault="00372E4A" w:rsidP="00372E4A">
            <w:pPr>
              <w:keepNext/>
              <w:rPr>
                <w:i/>
                <w:sz w:val="22"/>
                <w:szCs w:val="22"/>
              </w:rPr>
            </w:pPr>
            <w:r w:rsidRPr="00CC1ADD">
              <w:rPr>
                <w:i/>
                <w:sz w:val="22"/>
                <w:szCs w:val="22"/>
              </w:rPr>
              <w:t xml:space="preserve">The following </w:t>
            </w:r>
            <w:r>
              <w:rPr>
                <w:i/>
                <w:sz w:val="22"/>
                <w:szCs w:val="22"/>
              </w:rPr>
              <w:t xml:space="preserve">package of interrelated </w:t>
            </w:r>
            <w:r w:rsidRPr="00CC1ADD">
              <w:rPr>
                <w:i/>
                <w:sz w:val="22"/>
                <w:szCs w:val="22"/>
              </w:rPr>
              <w:t>changes are propose</w:t>
            </w:r>
            <w:r w:rsidR="00C7115A">
              <w:rPr>
                <w:i/>
                <w:sz w:val="22"/>
                <w:szCs w:val="22"/>
              </w:rPr>
              <w:t>d</w:t>
            </w:r>
            <w:r w:rsidRPr="00CC1ADD">
              <w:rPr>
                <w:i/>
                <w:sz w:val="22"/>
                <w:szCs w:val="22"/>
              </w:rPr>
              <w:t>:</w:t>
            </w:r>
          </w:p>
          <w:p w14:paraId="2F239CA5" w14:textId="77777777" w:rsidR="00372E4A" w:rsidRPr="00CC1ADD" w:rsidRDefault="00372E4A" w:rsidP="00372E4A">
            <w:pPr>
              <w:keepNext/>
              <w:rPr>
                <w:i/>
                <w:sz w:val="22"/>
                <w:szCs w:val="22"/>
              </w:rPr>
            </w:pPr>
          </w:p>
          <w:p w14:paraId="043D2FAD" w14:textId="77777777" w:rsidR="00372E4A" w:rsidRPr="00CC1ADD" w:rsidRDefault="00372E4A" w:rsidP="00901C53">
            <w:pPr>
              <w:pStyle w:val="ListParagraph"/>
              <w:keepNext/>
              <w:numPr>
                <w:ilvl w:val="0"/>
                <w:numId w:val="35"/>
              </w:numPr>
              <w:rPr>
                <w:i/>
                <w:sz w:val="22"/>
                <w:szCs w:val="22"/>
              </w:rPr>
            </w:pPr>
            <w:r w:rsidRPr="00CC1ADD">
              <w:rPr>
                <w:i/>
                <w:sz w:val="22"/>
                <w:szCs w:val="22"/>
              </w:rPr>
              <w:t xml:space="preserve">fruits and vegetables that are fresh, frozen or canned </w:t>
            </w:r>
            <w:r>
              <w:rPr>
                <w:i/>
                <w:sz w:val="22"/>
                <w:szCs w:val="22"/>
              </w:rPr>
              <w:t>(</w:t>
            </w:r>
            <w:r w:rsidRPr="00CC1ADD">
              <w:rPr>
                <w:i/>
                <w:sz w:val="22"/>
                <w:szCs w:val="22"/>
              </w:rPr>
              <w:t>with no additions of sugar, salt or fat) should automatically receive an HSR of 5</w:t>
            </w:r>
          </w:p>
          <w:p w14:paraId="3A5AA922" w14:textId="77777777" w:rsidR="00372E4A" w:rsidRPr="006D7CDB" w:rsidRDefault="00372E4A" w:rsidP="00901C53">
            <w:pPr>
              <w:pStyle w:val="ListParagraph"/>
              <w:keepNext/>
              <w:numPr>
                <w:ilvl w:val="0"/>
                <w:numId w:val="35"/>
              </w:numPr>
              <w:rPr>
                <w:i/>
                <w:sz w:val="22"/>
                <w:szCs w:val="22"/>
              </w:rPr>
            </w:pPr>
            <w:r>
              <w:rPr>
                <w:i/>
                <w:sz w:val="22"/>
                <w:szCs w:val="22"/>
              </w:rPr>
              <w:t>t</w:t>
            </w:r>
            <w:r w:rsidRPr="00CC1ADD">
              <w:rPr>
                <w:i/>
                <w:sz w:val="22"/>
                <w:szCs w:val="22"/>
              </w:rPr>
              <w:t xml:space="preserve">otal sugars should be more strongly penalised, lowering </w:t>
            </w:r>
            <w:r w:rsidRPr="006D7CDB">
              <w:rPr>
                <w:i/>
                <w:sz w:val="22"/>
                <w:szCs w:val="22"/>
              </w:rPr>
              <w:t>the HSRs of 5% of products (including breakfast cereals, snack bars, sweetened milks, ice creams and sugar-based confectionery)</w:t>
            </w:r>
          </w:p>
          <w:p w14:paraId="43175A6A" w14:textId="77777777" w:rsidR="00372E4A" w:rsidRPr="006D7CDB" w:rsidRDefault="00372E4A" w:rsidP="00901C53">
            <w:pPr>
              <w:pStyle w:val="ListParagraph"/>
              <w:keepNext/>
              <w:numPr>
                <w:ilvl w:val="0"/>
                <w:numId w:val="35"/>
              </w:numPr>
              <w:rPr>
                <w:i/>
                <w:sz w:val="22"/>
                <w:szCs w:val="22"/>
              </w:rPr>
            </w:pPr>
            <w:r w:rsidRPr="006D7CDB">
              <w:rPr>
                <w:i/>
                <w:sz w:val="22"/>
                <w:szCs w:val="22"/>
              </w:rPr>
              <w:t>sodium sensitivity should be improved for products high in sodium, reducing the HSR of 1% of products (all with sodium in excess of 900mg/100g)</w:t>
            </w:r>
          </w:p>
          <w:p w14:paraId="71F45EE9" w14:textId="22A9E5BD" w:rsidR="00372E4A" w:rsidRPr="00CC1ADD" w:rsidRDefault="00372E4A" w:rsidP="00901C53">
            <w:pPr>
              <w:pStyle w:val="ListParagraph"/>
              <w:keepNext/>
              <w:numPr>
                <w:ilvl w:val="0"/>
                <w:numId w:val="35"/>
              </w:numPr>
              <w:rPr>
                <w:i/>
                <w:sz w:val="22"/>
                <w:szCs w:val="22"/>
              </w:rPr>
            </w:pPr>
            <w:r>
              <w:rPr>
                <w:i/>
                <w:sz w:val="22"/>
                <w:szCs w:val="22"/>
              </w:rPr>
              <w:t>d</w:t>
            </w:r>
            <w:r w:rsidRPr="00CC1ADD">
              <w:rPr>
                <w:i/>
                <w:sz w:val="22"/>
                <w:szCs w:val="22"/>
              </w:rPr>
              <w:t xml:space="preserve">airy </w:t>
            </w:r>
            <w:r>
              <w:rPr>
                <w:i/>
                <w:sz w:val="22"/>
                <w:szCs w:val="22"/>
              </w:rPr>
              <w:t>c</w:t>
            </w:r>
            <w:r w:rsidRPr="00CC1ADD">
              <w:rPr>
                <w:i/>
                <w:sz w:val="22"/>
                <w:szCs w:val="22"/>
              </w:rPr>
              <w:t>ategories should be redefined to increase the HSRs of F</w:t>
            </w:r>
            <w:r w:rsidR="006D7CDB">
              <w:rPr>
                <w:i/>
                <w:sz w:val="22"/>
                <w:szCs w:val="22"/>
              </w:rPr>
              <w:t>our/Five Food Group (FFG)</w:t>
            </w:r>
            <w:r w:rsidRPr="00CC1ADD">
              <w:rPr>
                <w:i/>
                <w:sz w:val="22"/>
                <w:szCs w:val="22"/>
              </w:rPr>
              <w:t xml:space="preserve"> dairy foods (such as cheeses and yoghurts) and decrease the HSRs of some dairy desserts</w:t>
            </w:r>
            <w:r>
              <w:rPr>
                <w:i/>
                <w:sz w:val="22"/>
                <w:szCs w:val="22"/>
              </w:rPr>
              <w:t xml:space="preserve"> and other chilled dairy products</w:t>
            </w:r>
            <w:r w:rsidRPr="00CC1ADD">
              <w:rPr>
                <w:i/>
                <w:sz w:val="22"/>
                <w:szCs w:val="22"/>
              </w:rPr>
              <w:t>, improving comparability between dairy products</w:t>
            </w:r>
          </w:p>
          <w:p w14:paraId="18F4B047" w14:textId="77777777" w:rsidR="00372E4A" w:rsidRPr="00CC1ADD" w:rsidRDefault="00372E4A" w:rsidP="00901C53">
            <w:pPr>
              <w:pStyle w:val="ListParagraph"/>
              <w:keepNext/>
              <w:numPr>
                <w:ilvl w:val="0"/>
                <w:numId w:val="35"/>
              </w:numPr>
              <w:rPr>
                <w:i/>
                <w:sz w:val="22"/>
                <w:szCs w:val="22"/>
              </w:rPr>
            </w:pPr>
            <w:r>
              <w:rPr>
                <w:i/>
                <w:sz w:val="22"/>
                <w:szCs w:val="22"/>
              </w:rPr>
              <w:t>j</w:t>
            </w:r>
            <w:r w:rsidRPr="00CC1ADD">
              <w:rPr>
                <w:i/>
                <w:sz w:val="22"/>
                <w:szCs w:val="22"/>
              </w:rPr>
              <w:t>ellies and water-based ice confections should be recategorised to decrease their HSRs</w:t>
            </w:r>
            <w:r>
              <w:rPr>
                <w:i/>
                <w:sz w:val="22"/>
                <w:szCs w:val="22"/>
              </w:rPr>
              <w:t>.</w:t>
            </w:r>
          </w:p>
          <w:p w14:paraId="7E1B6191" w14:textId="77777777" w:rsidR="00372E4A" w:rsidRPr="00CC1ADD" w:rsidRDefault="00372E4A" w:rsidP="00372E4A">
            <w:pPr>
              <w:keepNext/>
              <w:rPr>
                <w:i/>
                <w:sz w:val="22"/>
                <w:szCs w:val="22"/>
              </w:rPr>
            </w:pPr>
          </w:p>
          <w:p w14:paraId="3BF2BFA3" w14:textId="45A2FD80" w:rsidR="00372E4A" w:rsidRDefault="00372E4A" w:rsidP="00372E4A">
            <w:pPr>
              <w:keepNext/>
            </w:pPr>
            <w:r w:rsidRPr="00CC1ADD">
              <w:rPr>
                <w:i/>
                <w:sz w:val="22"/>
                <w:szCs w:val="22"/>
              </w:rPr>
              <w:t xml:space="preserve">Based on modelling, these changes are expected to </w:t>
            </w:r>
            <w:r w:rsidRPr="000C2CCD">
              <w:rPr>
                <w:i/>
                <w:sz w:val="22"/>
                <w:szCs w:val="22"/>
              </w:rPr>
              <w:t xml:space="preserve">decrease the HSRs of </w:t>
            </w:r>
            <w:r w:rsidR="00677316">
              <w:rPr>
                <w:i/>
                <w:sz w:val="22"/>
                <w:szCs w:val="22"/>
              </w:rPr>
              <w:t xml:space="preserve">approximately </w:t>
            </w:r>
            <w:r w:rsidR="00D82678">
              <w:rPr>
                <w:i/>
                <w:sz w:val="22"/>
                <w:szCs w:val="22"/>
              </w:rPr>
              <w:t>10</w:t>
            </w:r>
            <w:r w:rsidRPr="000C2CCD">
              <w:rPr>
                <w:i/>
                <w:sz w:val="22"/>
                <w:szCs w:val="22"/>
              </w:rPr>
              <w:t xml:space="preserve">% of products (mostly discretionary foods) and increase the HSRs of </w:t>
            </w:r>
            <w:r w:rsidR="00677316">
              <w:rPr>
                <w:i/>
                <w:sz w:val="22"/>
                <w:szCs w:val="22"/>
              </w:rPr>
              <w:t>approximately 6</w:t>
            </w:r>
            <w:r w:rsidRPr="000C2CCD">
              <w:rPr>
                <w:i/>
                <w:sz w:val="22"/>
                <w:szCs w:val="22"/>
              </w:rPr>
              <w:t xml:space="preserve">% </w:t>
            </w:r>
            <w:r w:rsidR="00677316">
              <w:rPr>
                <w:i/>
                <w:sz w:val="22"/>
                <w:szCs w:val="22"/>
              </w:rPr>
              <w:t xml:space="preserve">of </w:t>
            </w:r>
            <w:r w:rsidRPr="000C2CCD">
              <w:rPr>
                <w:i/>
                <w:sz w:val="22"/>
                <w:szCs w:val="22"/>
              </w:rPr>
              <w:t>products (mostly</w:t>
            </w:r>
            <w:r w:rsidRPr="00CC1ADD">
              <w:rPr>
                <w:i/>
                <w:sz w:val="22"/>
                <w:szCs w:val="22"/>
              </w:rPr>
              <w:t xml:space="preserve"> </w:t>
            </w:r>
            <w:r>
              <w:rPr>
                <w:i/>
                <w:sz w:val="22"/>
                <w:szCs w:val="22"/>
              </w:rPr>
              <w:t>F</w:t>
            </w:r>
            <w:r w:rsidR="006D7CDB">
              <w:rPr>
                <w:i/>
                <w:sz w:val="22"/>
                <w:szCs w:val="22"/>
              </w:rPr>
              <w:t>FG</w:t>
            </w:r>
            <w:r w:rsidRPr="00CC1ADD">
              <w:rPr>
                <w:i/>
                <w:sz w:val="22"/>
                <w:szCs w:val="22"/>
              </w:rPr>
              <w:t xml:space="preserve"> foods such as fruits and vegetables, yoghurts</w:t>
            </w:r>
            <w:r>
              <w:rPr>
                <w:i/>
                <w:sz w:val="22"/>
                <w:szCs w:val="22"/>
              </w:rPr>
              <w:t xml:space="preserve"> and</w:t>
            </w:r>
            <w:r w:rsidRPr="00CC1ADD">
              <w:rPr>
                <w:i/>
                <w:sz w:val="22"/>
                <w:szCs w:val="22"/>
              </w:rPr>
              <w:t xml:space="preserve"> cheeses).</w:t>
            </w:r>
            <w:r w:rsidRPr="00CC1ADD">
              <w:t xml:space="preserve"> </w:t>
            </w:r>
          </w:p>
          <w:p w14:paraId="473DA999" w14:textId="77777777" w:rsidR="00C1524E" w:rsidRDefault="00C1524E" w:rsidP="00372E4A">
            <w:pPr>
              <w:keepNext/>
            </w:pPr>
          </w:p>
          <w:p w14:paraId="7B7AE657" w14:textId="7C61DB81" w:rsidR="00C1524E" w:rsidRPr="00CC1ADD" w:rsidRDefault="00C1524E" w:rsidP="00372E4A">
            <w:pPr>
              <w:keepNext/>
              <w:rPr>
                <w:i/>
                <w:sz w:val="22"/>
                <w:szCs w:val="22"/>
              </w:rPr>
            </w:pPr>
            <w:r w:rsidRPr="006D7CDB">
              <w:rPr>
                <w:i/>
                <w:sz w:val="22"/>
                <w:szCs w:val="22"/>
              </w:rPr>
              <w:t>It is recommended that a two-year transition period (starting from the date recommendations are accepted by government</w:t>
            </w:r>
            <w:r w:rsidR="006D7CDB" w:rsidRPr="006D7CDB">
              <w:rPr>
                <w:i/>
                <w:sz w:val="22"/>
                <w:szCs w:val="22"/>
              </w:rPr>
              <w:t>s</w:t>
            </w:r>
            <w:r w:rsidRPr="006D7CDB">
              <w:rPr>
                <w:i/>
                <w:sz w:val="22"/>
                <w:szCs w:val="22"/>
              </w:rPr>
              <w:t>) be provided for industry to implement the changes.</w:t>
            </w:r>
          </w:p>
        </w:tc>
      </w:tr>
    </w:tbl>
    <w:p w14:paraId="1BE75F11" w14:textId="71CDBA0B" w:rsidR="00372E4A" w:rsidRDefault="00372E4A" w:rsidP="00372E4A">
      <w:pPr>
        <w:rPr>
          <w:b/>
          <w:sz w:val="22"/>
          <w:szCs w:val="22"/>
        </w:rPr>
      </w:pPr>
    </w:p>
    <w:tbl>
      <w:tblPr>
        <w:tblStyle w:val="TableGrid"/>
        <w:tblW w:w="0" w:type="auto"/>
        <w:tblLook w:val="04A0" w:firstRow="1" w:lastRow="0" w:firstColumn="1" w:lastColumn="0" w:noHBand="0" w:noVBand="1"/>
        <w:tblCaption w:val="Rec 5"/>
        <w:tblDescription w:val="Recommendation 5:  Changes be made to the way the HSR is calculated for non-dairy beverages."/>
      </w:tblPr>
      <w:tblGrid>
        <w:gridCol w:w="9736"/>
      </w:tblGrid>
      <w:tr w:rsidR="00372E4A" w:rsidRPr="00CC1ADD" w14:paraId="44FCC12F" w14:textId="77777777" w:rsidTr="00A26FC9">
        <w:trPr>
          <w:trHeight w:val="4015"/>
        </w:trPr>
        <w:tc>
          <w:tcPr>
            <w:tcW w:w="9736" w:type="dxa"/>
            <w:shd w:val="clear" w:color="auto" w:fill="D9E2F3" w:themeFill="accent1" w:themeFillTint="33"/>
            <w:vAlign w:val="center"/>
          </w:tcPr>
          <w:p w14:paraId="1636D550" w14:textId="02FA190C" w:rsidR="00372E4A" w:rsidRPr="00CC1ADD" w:rsidRDefault="00372E4A" w:rsidP="00372E4A">
            <w:pPr>
              <w:ind w:left="2160" w:hanging="2160"/>
              <w:rPr>
                <w:b/>
                <w:sz w:val="22"/>
                <w:szCs w:val="22"/>
              </w:rPr>
            </w:pPr>
            <w:r w:rsidRPr="00CC1ADD">
              <w:rPr>
                <w:b/>
                <w:sz w:val="22"/>
                <w:szCs w:val="22"/>
              </w:rPr>
              <w:t xml:space="preserve">Recommendation 5: </w:t>
            </w:r>
            <w:r w:rsidRPr="00CC1ADD">
              <w:rPr>
                <w:b/>
                <w:sz w:val="22"/>
                <w:szCs w:val="22"/>
              </w:rPr>
              <w:tab/>
              <w:t xml:space="preserve">Changes be made to the way the </w:t>
            </w:r>
            <w:r w:rsidR="00A26FC9">
              <w:rPr>
                <w:b/>
                <w:sz w:val="22"/>
                <w:szCs w:val="22"/>
              </w:rPr>
              <w:t>HSR</w:t>
            </w:r>
            <w:r w:rsidRPr="00CC1ADD">
              <w:rPr>
                <w:b/>
                <w:sz w:val="22"/>
                <w:szCs w:val="22"/>
              </w:rPr>
              <w:t xml:space="preserve"> is calculated for non-dairy beverages</w:t>
            </w:r>
            <w:r>
              <w:rPr>
                <w:b/>
                <w:sz w:val="22"/>
                <w:szCs w:val="22"/>
              </w:rPr>
              <w:t>, based on adjusted sugars, energy and FVNL points,</w:t>
            </w:r>
            <w:r w:rsidRPr="00CC1ADD">
              <w:rPr>
                <w:b/>
                <w:sz w:val="22"/>
                <w:szCs w:val="22"/>
              </w:rPr>
              <w:t xml:space="preserve"> to better discern water (and drinks similar in nutritional profile to water) from high energy drinks.</w:t>
            </w:r>
          </w:p>
          <w:p w14:paraId="50A21223" w14:textId="77777777" w:rsidR="00372E4A" w:rsidRPr="00CC1ADD" w:rsidRDefault="00372E4A" w:rsidP="00372E4A">
            <w:pPr>
              <w:rPr>
                <w:i/>
                <w:sz w:val="22"/>
                <w:szCs w:val="22"/>
              </w:rPr>
            </w:pPr>
          </w:p>
          <w:p w14:paraId="749EABC4" w14:textId="0A522088" w:rsidR="00372E4A" w:rsidRPr="00CC1ADD" w:rsidRDefault="00372E4A" w:rsidP="00372E4A">
            <w:pPr>
              <w:rPr>
                <w:i/>
                <w:sz w:val="22"/>
                <w:szCs w:val="22"/>
              </w:rPr>
            </w:pPr>
            <w:r w:rsidRPr="00CC1ADD">
              <w:rPr>
                <w:i/>
                <w:sz w:val="22"/>
                <w:szCs w:val="22"/>
              </w:rPr>
              <w:t>Non-dairy beverages contribute 2</w:t>
            </w:r>
            <w:r>
              <w:rPr>
                <w:i/>
                <w:sz w:val="22"/>
                <w:szCs w:val="22"/>
              </w:rPr>
              <w:t>7</w:t>
            </w:r>
            <w:r w:rsidRPr="00CC1ADD">
              <w:rPr>
                <w:i/>
                <w:sz w:val="22"/>
                <w:szCs w:val="22"/>
              </w:rPr>
              <w:t>% of total sugars in Australian diets and 17% of total sugars in New Zealand</w:t>
            </w:r>
            <w:r>
              <w:rPr>
                <w:i/>
                <w:sz w:val="22"/>
                <w:szCs w:val="22"/>
              </w:rPr>
              <w:t>er</w:t>
            </w:r>
            <w:r w:rsidRPr="00CC1ADD">
              <w:rPr>
                <w:i/>
                <w:sz w:val="22"/>
                <w:szCs w:val="22"/>
              </w:rPr>
              <w:t xml:space="preserve"> diets. While the HSRs for sugar</w:t>
            </w:r>
            <w:r>
              <w:rPr>
                <w:i/>
                <w:sz w:val="22"/>
                <w:szCs w:val="22"/>
              </w:rPr>
              <w:t>-</w:t>
            </w:r>
            <w:r w:rsidRPr="00CC1ADD">
              <w:rPr>
                <w:i/>
                <w:sz w:val="22"/>
                <w:szCs w:val="22"/>
              </w:rPr>
              <w:t>sweetened soft drinks tend to appropriately reflect their limited nutritional value, the HSR System does not encourage consumption of low or sugar free flavoured waters or other drinks that are closer in nutritional value to water.</w:t>
            </w:r>
            <w:r>
              <w:rPr>
                <w:i/>
                <w:sz w:val="22"/>
                <w:szCs w:val="22"/>
              </w:rPr>
              <w:t xml:space="preserve"> For example, fruit juices with relatively high total sugars content generally receive HSRs of 4 to 5</w:t>
            </w:r>
            <w:r w:rsidR="00396DE2">
              <w:rPr>
                <w:i/>
                <w:sz w:val="22"/>
                <w:szCs w:val="22"/>
              </w:rPr>
              <w:t>,</w:t>
            </w:r>
            <w:r>
              <w:rPr>
                <w:i/>
                <w:sz w:val="22"/>
                <w:szCs w:val="22"/>
              </w:rPr>
              <w:t xml:space="preserve"> while unsweetened flavoured waters generally receive HSRs of around 2 </w:t>
            </w:r>
            <w:r w:rsidR="00396DE2">
              <w:rPr>
                <w:i/>
                <w:sz w:val="22"/>
                <w:szCs w:val="22"/>
              </w:rPr>
              <w:t>(</w:t>
            </w:r>
            <w:r>
              <w:rPr>
                <w:i/>
                <w:sz w:val="22"/>
                <w:szCs w:val="22"/>
              </w:rPr>
              <w:t>despite having no sugars and being close</w:t>
            </w:r>
            <w:r w:rsidR="00C1524E">
              <w:rPr>
                <w:i/>
                <w:sz w:val="22"/>
                <w:szCs w:val="22"/>
              </w:rPr>
              <w:t>r</w:t>
            </w:r>
            <w:r>
              <w:rPr>
                <w:i/>
                <w:sz w:val="22"/>
                <w:szCs w:val="22"/>
              </w:rPr>
              <w:t xml:space="preserve"> in nutritional profile to plain water</w:t>
            </w:r>
            <w:r w:rsidR="00396DE2">
              <w:rPr>
                <w:i/>
                <w:sz w:val="22"/>
                <w:szCs w:val="22"/>
              </w:rPr>
              <w:t>).</w:t>
            </w:r>
          </w:p>
          <w:p w14:paraId="0630835B" w14:textId="77777777" w:rsidR="00372E4A" w:rsidRPr="00CC1ADD" w:rsidRDefault="00372E4A" w:rsidP="00372E4A">
            <w:pPr>
              <w:rPr>
                <w:i/>
                <w:sz w:val="22"/>
                <w:szCs w:val="22"/>
              </w:rPr>
            </w:pPr>
          </w:p>
          <w:p w14:paraId="0E2BE4FF" w14:textId="51353CDE" w:rsidR="00372E4A" w:rsidRPr="00CC1ADD" w:rsidRDefault="00372E4A" w:rsidP="00372E4A">
            <w:pPr>
              <w:rPr>
                <w:i/>
                <w:sz w:val="22"/>
                <w:szCs w:val="22"/>
              </w:rPr>
            </w:pPr>
            <w:r w:rsidRPr="000C2CCD">
              <w:rPr>
                <w:i/>
                <w:sz w:val="22"/>
                <w:szCs w:val="22"/>
              </w:rPr>
              <w:t>The</w:t>
            </w:r>
            <w:r w:rsidR="00C1524E">
              <w:rPr>
                <w:i/>
                <w:sz w:val="22"/>
                <w:szCs w:val="22"/>
              </w:rPr>
              <w:t xml:space="preserve"> proposed</w:t>
            </w:r>
            <w:r w:rsidRPr="000C2CCD">
              <w:rPr>
                <w:i/>
                <w:sz w:val="22"/>
                <w:szCs w:val="22"/>
              </w:rPr>
              <w:t xml:space="preserve"> changes mean that plain waters will have an HSR of 5, unsweetened flavoured waters 4.5, 100% fruit and vegetable juices between 2.5 and 4 (based on their sugars and energy content), diet drinks no more than 3.5 and sugary soft drinks between 0.5 and 2 (based on their sugars and energy content).</w:t>
            </w:r>
          </w:p>
        </w:tc>
      </w:tr>
    </w:tbl>
    <w:p w14:paraId="2F8C0AE8" w14:textId="77777777" w:rsidR="00372E4A" w:rsidRPr="00CC1ADD" w:rsidRDefault="00372E4A" w:rsidP="00372E4A">
      <w:pPr>
        <w:rPr>
          <w:sz w:val="22"/>
          <w:szCs w:val="22"/>
        </w:rPr>
      </w:pPr>
    </w:p>
    <w:p w14:paraId="2A8B302A" w14:textId="77777777" w:rsidR="00372E4A" w:rsidRPr="00A25D3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28" w:name="_Toc536717032"/>
      <w:bookmarkStart w:id="29" w:name="_Toc536718415"/>
      <w:bookmarkStart w:id="30" w:name="_Toc536808330"/>
      <w:bookmarkStart w:id="31" w:name="_Toc536809148"/>
      <w:bookmarkStart w:id="32" w:name="_Toc1554120"/>
      <w:r w:rsidRPr="00A25D38">
        <w:rPr>
          <w:b/>
          <w:color w:val="FFFFFF" w:themeColor="background1"/>
          <w:sz w:val="24"/>
          <w:lang w:eastAsia="en-GB"/>
        </w:rPr>
        <w:t>HSR System management (Chapter 6)</w:t>
      </w:r>
      <w:bookmarkEnd w:id="28"/>
      <w:bookmarkEnd w:id="29"/>
      <w:bookmarkEnd w:id="30"/>
      <w:bookmarkEnd w:id="31"/>
      <w:bookmarkEnd w:id="32"/>
    </w:p>
    <w:p w14:paraId="38C3727B" w14:textId="77777777" w:rsidR="00372E4A" w:rsidRPr="00CC1ADD" w:rsidRDefault="00372E4A" w:rsidP="00372E4A">
      <w:pPr>
        <w:keepNext/>
        <w:rPr>
          <w:sz w:val="22"/>
          <w:szCs w:val="22"/>
        </w:rPr>
      </w:pPr>
    </w:p>
    <w:tbl>
      <w:tblPr>
        <w:tblStyle w:val="TableGrid"/>
        <w:tblW w:w="0" w:type="auto"/>
        <w:tblLook w:val="04A0" w:firstRow="1" w:lastRow="0" w:firstColumn="1" w:lastColumn="0" w:noHBand="0" w:noVBand="1"/>
        <w:tblCaption w:val="Rec 6"/>
        <w:tblDescription w:val="Recommendation 6:  HSR System implementation continue to be jointly funded by Australian, State and Territory and New Zealand governments for a further four years."/>
      </w:tblPr>
      <w:tblGrid>
        <w:gridCol w:w="9736"/>
      </w:tblGrid>
      <w:tr w:rsidR="00372E4A" w:rsidRPr="00CC1ADD" w14:paraId="629B2053" w14:textId="77777777" w:rsidTr="00396DE2">
        <w:trPr>
          <w:trHeight w:val="2887"/>
        </w:trPr>
        <w:tc>
          <w:tcPr>
            <w:tcW w:w="9736" w:type="dxa"/>
            <w:tcBorders>
              <w:bottom w:val="single" w:sz="4" w:space="0" w:color="auto"/>
            </w:tcBorders>
            <w:shd w:val="clear" w:color="auto" w:fill="D9E2F3" w:themeFill="accent1" w:themeFillTint="33"/>
            <w:vAlign w:val="center"/>
          </w:tcPr>
          <w:p w14:paraId="3D0BAD81" w14:textId="3755C824" w:rsidR="00372E4A" w:rsidRPr="00C82D90" w:rsidRDefault="00372E4A" w:rsidP="00372E4A">
            <w:pPr>
              <w:keepNext/>
              <w:ind w:left="2160" w:hanging="2160"/>
              <w:rPr>
                <w:b/>
                <w:sz w:val="22"/>
                <w:szCs w:val="22"/>
              </w:rPr>
            </w:pPr>
            <w:r w:rsidRPr="00CC1ADD">
              <w:rPr>
                <w:b/>
                <w:sz w:val="22"/>
                <w:szCs w:val="22"/>
              </w:rPr>
              <w:t xml:space="preserve">Recommendation 6: </w:t>
            </w:r>
            <w:r w:rsidRPr="00CC1ADD">
              <w:rPr>
                <w:b/>
                <w:sz w:val="22"/>
                <w:szCs w:val="22"/>
              </w:rPr>
              <w:tab/>
            </w:r>
            <w:r w:rsidR="00A26FC9">
              <w:rPr>
                <w:b/>
                <w:sz w:val="22"/>
                <w:szCs w:val="22"/>
              </w:rPr>
              <w:t>HSR</w:t>
            </w:r>
            <w:r w:rsidRPr="00CC1ADD">
              <w:rPr>
                <w:b/>
                <w:sz w:val="22"/>
                <w:szCs w:val="22"/>
              </w:rPr>
              <w:t xml:space="preserve"> System implementation</w:t>
            </w:r>
            <w:r>
              <w:rPr>
                <w:b/>
                <w:sz w:val="22"/>
                <w:szCs w:val="22"/>
              </w:rPr>
              <w:t xml:space="preserve"> </w:t>
            </w:r>
            <w:r w:rsidRPr="00CC1ADD">
              <w:rPr>
                <w:b/>
                <w:sz w:val="22"/>
                <w:szCs w:val="22"/>
              </w:rPr>
              <w:t>continue to be jointly funded by Australia</w:t>
            </w:r>
            <w:r>
              <w:rPr>
                <w:b/>
                <w:sz w:val="22"/>
                <w:szCs w:val="22"/>
              </w:rPr>
              <w:t>n</w:t>
            </w:r>
            <w:r w:rsidRPr="00CC1ADD">
              <w:rPr>
                <w:b/>
                <w:sz w:val="22"/>
                <w:szCs w:val="22"/>
              </w:rPr>
              <w:t>, State and Territory and New Zeala</w:t>
            </w:r>
            <w:r w:rsidRPr="006B0997">
              <w:rPr>
                <w:b/>
                <w:sz w:val="22"/>
                <w:szCs w:val="22"/>
              </w:rPr>
              <w:t xml:space="preserve">nd </w:t>
            </w:r>
            <w:r>
              <w:rPr>
                <w:b/>
                <w:sz w:val="22"/>
                <w:szCs w:val="22"/>
              </w:rPr>
              <w:t>governments for a further four years.</w:t>
            </w:r>
          </w:p>
          <w:p w14:paraId="040BF905" w14:textId="77777777" w:rsidR="00372E4A" w:rsidRPr="003A051A" w:rsidRDefault="00372E4A" w:rsidP="00372E4A">
            <w:pPr>
              <w:pStyle w:val="mpcNormal"/>
            </w:pPr>
          </w:p>
          <w:p w14:paraId="5A5CEF69" w14:textId="14C0C3A1" w:rsidR="00372E4A" w:rsidRPr="00D41046" w:rsidRDefault="00372E4A" w:rsidP="00372E4A">
            <w:pPr>
              <w:pStyle w:val="mpcNormal"/>
              <w:rPr>
                <w:i/>
              </w:rPr>
            </w:pPr>
            <w:r w:rsidRPr="00D41046">
              <w:rPr>
                <w:i/>
              </w:rPr>
              <w:t>The next f</w:t>
            </w:r>
            <w:r>
              <w:rPr>
                <w:i/>
              </w:rPr>
              <w:t>ew</w:t>
            </w:r>
            <w:r w:rsidRPr="00D41046">
              <w:rPr>
                <w:i/>
              </w:rPr>
              <w:t xml:space="preserve"> years will be critical to the HSR System</w:t>
            </w:r>
            <w:r>
              <w:rPr>
                <w:i/>
              </w:rPr>
              <w:t xml:space="preserve"> </w:t>
            </w:r>
            <w:r w:rsidR="00A26FC9">
              <w:rPr>
                <w:i/>
              </w:rPr>
              <w:t>–</w:t>
            </w:r>
            <w:r>
              <w:rPr>
                <w:i/>
              </w:rPr>
              <w:t xml:space="preserve"> </w:t>
            </w:r>
            <w:r w:rsidR="00C1524E">
              <w:rPr>
                <w:i/>
              </w:rPr>
              <w:t xml:space="preserve">proposed </w:t>
            </w:r>
            <w:r w:rsidRPr="00D41046">
              <w:rPr>
                <w:i/>
              </w:rPr>
              <w:t>changes</w:t>
            </w:r>
            <w:r w:rsidR="00A26FC9">
              <w:rPr>
                <w:i/>
              </w:rPr>
              <w:t xml:space="preserve"> </w:t>
            </w:r>
            <w:r w:rsidRPr="00D41046">
              <w:rPr>
                <w:i/>
              </w:rPr>
              <w:t xml:space="preserve">better align </w:t>
            </w:r>
            <w:r w:rsidR="00C1524E">
              <w:rPr>
                <w:i/>
              </w:rPr>
              <w:t xml:space="preserve">the System </w:t>
            </w:r>
            <w:r w:rsidRPr="00D41046">
              <w:rPr>
                <w:i/>
              </w:rPr>
              <w:t xml:space="preserve">with Dietary Guidelines and address consumer concerns, and uptake by industry </w:t>
            </w:r>
            <w:r w:rsidR="00BC22AC">
              <w:rPr>
                <w:i/>
              </w:rPr>
              <w:t>is</w:t>
            </w:r>
            <w:r w:rsidRPr="00D41046">
              <w:rPr>
                <w:i/>
              </w:rPr>
              <w:t xml:space="preserve"> expected to increase considerably. Funding is necessary to support the governance arrangements during this period, educate consumers about the changes and monitor consumer response and industry uptake. </w:t>
            </w:r>
          </w:p>
          <w:p w14:paraId="3A596AA2" w14:textId="77777777" w:rsidR="00372E4A" w:rsidRPr="00D41046" w:rsidRDefault="00372E4A" w:rsidP="00372E4A">
            <w:pPr>
              <w:pStyle w:val="mpcNormal"/>
              <w:rPr>
                <w:i/>
              </w:rPr>
            </w:pPr>
          </w:p>
          <w:p w14:paraId="135C9A60" w14:textId="07927FBD" w:rsidR="00372E4A" w:rsidRPr="00D41046" w:rsidRDefault="00C1524E" w:rsidP="00372E4A">
            <w:pPr>
              <w:pStyle w:val="mpcNormal"/>
              <w:rPr>
                <w:i/>
              </w:rPr>
            </w:pPr>
            <w:r>
              <w:rPr>
                <w:i/>
              </w:rPr>
              <w:t>The Review</w:t>
            </w:r>
            <w:r w:rsidR="00372E4A">
              <w:rPr>
                <w:i/>
              </w:rPr>
              <w:t xml:space="preserve"> acknowledge</w:t>
            </w:r>
            <w:r>
              <w:rPr>
                <w:i/>
              </w:rPr>
              <w:t>s the</w:t>
            </w:r>
            <w:r w:rsidR="00372E4A">
              <w:rPr>
                <w:i/>
              </w:rPr>
              <w:t xml:space="preserve"> c</w:t>
            </w:r>
            <w:r w:rsidR="00372E4A" w:rsidRPr="00D41046">
              <w:rPr>
                <w:i/>
              </w:rPr>
              <w:t>onsiderable resources (including time, expertise, education, research and promotional materials) contributed by a range of stakeholders</w:t>
            </w:r>
            <w:r>
              <w:rPr>
                <w:i/>
              </w:rPr>
              <w:t xml:space="preserve"> to date.</w:t>
            </w:r>
          </w:p>
        </w:tc>
      </w:tr>
    </w:tbl>
    <w:p w14:paraId="68C83D43" w14:textId="64E32574" w:rsidR="00043D4E" w:rsidRDefault="00043D4E" w:rsidP="00372E4A">
      <w:pPr>
        <w:rPr>
          <w:sz w:val="22"/>
          <w:szCs w:val="22"/>
        </w:rPr>
      </w:pPr>
    </w:p>
    <w:tbl>
      <w:tblPr>
        <w:tblStyle w:val="TableGrid"/>
        <w:tblW w:w="0" w:type="auto"/>
        <w:tblLook w:val="04A0" w:firstRow="1" w:lastRow="0" w:firstColumn="1" w:lastColumn="0" w:noHBand="0" w:noVBand="1"/>
        <w:tblCaption w:val="Rec 7"/>
        <w:tblDescription w:val="Recommendation 7:  Minor changes be made to the governance of the HSR System "/>
      </w:tblPr>
      <w:tblGrid>
        <w:gridCol w:w="9736"/>
      </w:tblGrid>
      <w:tr w:rsidR="00043D4E" w14:paraId="7A7A5EF0" w14:textId="77777777" w:rsidTr="00043D4E">
        <w:trPr>
          <w:trHeight w:val="3821"/>
        </w:trPr>
        <w:tc>
          <w:tcPr>
            <w:tcW w:w="9736" w:type="dxa"/>
            <w:shd w:val="clear" w:color="auto" w:fill="D9E2F3" w:themeFill="accent1" w:themeFillTint="33"/>
            <w:vAlign w:val="center"/>
          </w:tcPr>
          <w:p w14:paraId="712E3A02" w14:textId="77777777" w:rsidR="00043D4E" w:rsidRPr="00043D4E" w:rsidRDefault="00043D4E" w:rsidP="00043D4E">
            <w:pPr>
              <w:pStyle w:val="mpcNormal"/>
              <w:rPr>
                <w:b/>
              </w:rPr>
            </w:pPr>
            <w:r w:rsidRPr="00043D4E">
              <w:rPr>
                <w:b/>
              </w:rPr>
              <w:t xml:space="preserve">Recommendation 7: </w:t>
            </w:r>
            <w:r w:rsidRPr="00043D4E">
              <w:rPr>
                <w:b/>
              </w:rPr>
              <w:tab/>
              <w:t>Minor changes be made to the governance of the HSR System to:</w:t>
            </w:r>
          </w:p>
          <w:p w14:paraId="157448FA" w14:textId="77777777" w:rsidR="00043D4E" w:rsidRPr="00043D4E" w:rsidRDefault="00043D4E" w:rsidP="00043D4E">
            <w:pPr>
              <w:pStyle w:val="mpcNormal"/>
              <w:rPr>
                <w:b/>
              </w:rPr>
            </w:pPr>
          </w:p>
          <w:p w14:paraId="2920682D" w14:textId="77777777" w:rsidR="00043D4E" w:rsidRPr="00043D4E" w:rsidRDefault="00043D4E" w:rsidP="00901C53">
            <w:pPr>
              <w:pStyle w:val="ListParagraph"/>
              <w:numPr>
                <w:ilvl w:val="0"/>
                <w:numId w:val="31"/>
              </w:numPr>
              <w:rPr>
                <w:b/>
                <w:sz w:val="22"/>
                <w:szCs w:val="22"/>
              </w:rPr>
            </w:pPr>
            <w:r w:rsidRPr="00043D4E">
              <w:rPr>
                <w:b/>
                <w:sz w:val="22"/>
                <w:szCs w:val="22"/>
              </w:rPr>
              <w:t>support greater consumer confidence in the System by transferring management of the HSR Calculator and TAG database to FSANZ</w:t>
            </w:r>
          </w:p>
          <w:p w14:paraId="0DD6CA7C" w14:textId="77777777" w:rsidR="00D317E2" w:rsidRPr="00D317E2" w:rsidRDefault="00D317E2" w:rsidP="00901C53">
            <w:pPr>
              <w:pStyle w:val="ListParagraph"/>
              <w:numPr>
                <w:ilvl w:val="0"/>
                <w:numId w:val="31"/>
              </w:numPr>
              <w:rPr>
                <w:b/>
                <w:sz w:val="22"/>
                <w:szCs w:val="22"/>
              </w:rPr>
            </w:pPr>
            <w:r w:rsidRPr="00D317E2">
              <w:rPr>
                <w:b/>
                <w:sz w:val="22"/>
                <w:szCs w:val="22"/>
              </w:rPr>
              <w:t xml:space="preserve">clarify the role of governance committees </w:t>
            </w:r>
          </w:p>
          <w:p w14:paraId="0422ABCD" w14:textId="77777777" w:rsidR="00D317E2" w:rsidRPr="00D317E2" w:rsidRDefault="00D317E2" w:rsidP="00901C53">
            <w:pPr>
              <w:pStyle w:val="ListParagraph"/>
              <w:numPr>
                <w:ilvl w:val="0"/>
                <w:numId w:val="31"/>
              </w:numPr>
              <w:rPr>
                <w:b/>
                <w:sz w:val="22"/>
                <w:szCs w:val="22"/>
              </w:rPr>
            </w:pPr>
            <w:r w:rsidRPr="00D317E2">
              <w:rPr>
                <w:b/>
                <w:sz w:val="22"/>
                <w:szCs w:val="22"/>
              </w:rPr>
              <w:t>increase the transparency of the System</w:t>
            </w:r>
          </w:p>
          <w:p w14:paraId="53C9BA7E" w14:textId="0C9693AB" w:rsidR="00043D4E" w:rsidRDefault="00D317E2" w:rsidP="00901C53">
            <w:pPr>
              <w:pStyle w:val="ListParagraph"/>
              <w:numPr>
                <w:ilvl w:val="0"/>
                <w:numId w:val="31"/>
              </w:numPr>
            </w:pPr>
            <w:r w:rsidRPr="00D317E2">
              <w:rPr>
                <w:b/>
                <w:sz w:val="22"/>
                <w:szCs w:val="22"/>
              </w:rPr>
              <w:t>improve monitoring, enabling the System to be more responsive</w:t>
            </w:r>
            <w:r w:rsidRPr="00980BD1">
              <w:t>.</w:t>
            </w:r>
          </w:p>
          <w:p w14:paraId="07ABBD5F" w14:textId="77777777" w:rsidR="00D317E2" w:rsidRPr="00043D4E" w:rsidRDefault="00D317E2" w:rsidP="007E0D2C">
            <w:pPr>
              <w:pStyle w:val="mpcbullets1"/>
              <w:numPr>
                <w:ilvl w:val="0"/>
                <w:numId w:val="0"/>
              </w:numPr>
            </w:pPr>
          </w:p>
          <w:p w14:paraId="0041E1A6" w14:textId="7F1D1764" w:rsidR="00043D4E" w:rsidRDefault="00043D4E" w:rsidP="00043D4E">
            <w:pPr>
              <w:rPr>
                <w:sz w:val="22"/>
                <w:szCs w:val="22"/>
              </w:rPr>
            </w:pPr>
            <w:r w:rsidRPr="00043D4E">
              <w:rPr>
                <w:i/>
                <w:sz w:val="22"/>
                <w:szCs w:val="22"/>
              </w:rPr>
              <w:t xml:space="preserve">As the HSR System moves into the next stage of implementation, adjustments to the governance arrangements are recommended to support greater consumer confidence; enable more effective monitoring; provide greater transparency; and improve responsiveness. Recommended changes include adjustments to the </w:t>
            </w:r>
            <w:r w:rsidRPr="00ED662C">
              <w:rPr>
                <w:i/>
                <w:sz w:val="22"/>
                <w:szCs w:val="22"/>
              </w:rPr>
              <w:t>composition and role of the HSRAC and independent custodianship (by FSANZ) of the HSR Calculator and TAG database</w:t>
            </w:r>
            <w:r w:rsidR="00A427DD" w:rsidRPr="00ED662C">
              <w:rPr>
                <w:i/>
                <w:sz w:val="22"/>
                <w:szCs w:val="22"/>
              </w:rPr>
              <w:t xml:space="preserve"> (including resourcing for </w:t>
            </w:r>
            <w:r w:rsidR="00027302">
              <w:rPr>
                <w:i/>
                <w:sz w:val="22"/>
                <w:szCs w:val="22"/>
              </w:rPr>
              <w:t>this</w:t>
            </w:r>
            <w:r w:rsidR="00A427DD" w:rsidRPr="00ED662C">
              <w:rPr>
                <w:i/>
                <w:sz w:val="22"/>
                <w:szCs w:val="22"/>
              </w:rPr>
              <w:t xml:space="preserve"> work)</w:t>
            </w:r>
            <w:r w:rsidRPr="00ED662C">
              <w:rPr>
                <w:i/>
                <w:sz w:val="22"/>
                <w:szCs w:val="22"/>
              </w:rPr>
              <w:t>.</w:t>
            </w:r>
          </w:p>
        </w:tc>
      </w:tr>
    </w:tbl>
    <w:p w14:paraId="7920C57A" w14:textId="27FFFEC5" w:rsidR="00043D4E" w:rsidRDefault="00043D4E" w:rsidP="00372E4A">
      <w:pPr>
        <w:rPr>
          <w:sz w:val="22"/>
          <w:szCs w:val="22"/>
        </w:rPr>
      </w:pPr>
    </w:p>
    <w:tbl>
      <w:tblPr>
        <w:tblStyle w:val="TableGrid"/>
        <w:tblW w:w="0" w:type="auto"/>
        <w:tblLook w:val="04A0" w:firstRow="1" w:lastRow="0" w:firstColumn="1" w:lastColumn="0" w:noHBand="0" w:noVBand="1"/>
        <w:tblCaption w:val="Rec 8"/>
        <w:tblDescription w:val="Recommendation 8:  Enhance the critical infrastructure to support implementation and evaluation of food and nutrition related public health initiatives"/>
      </w:tblPr>
      <w:tblGrid>
        <w:gridCol w:w="9736"/>
      </w:tblGrid>
      <w:tr w:rsidR="00043D4E" w14:paraId="54010601" w14:textId="77777777" w:rsidTr="00E84DD6">
        <w:trPr>
          <w:trHeight w:val="2976"/>
        </w:trPr>
        <w:tc>
          <w:tcPr>
            <w:tcW w:w="9736" w:type="dxa"/>
            <w:shd w:val="clear" w:color="auto" w:fill="D9E2F3" w:themeFill="accent1" w:themeFillTint="33"/>
            <w:vAlign w:val="center"/>
          </w:tcPr>
          <w:p w14:paraId="1E6DACFD" w14:textId="215F7635" w:rsidR="00043D4E" w:rsidRPr="00043D4E" w:rsidRDefault="00043D4E" w:rsidP="00043D4E">
            <w:pPr>
              <w:pStyle w:val="mpcNormal"/>
              <w:ind w:left="2160" w:hanging="2160"/>
              <w:rPr>
                <w:b/>
              </w:rPr>
            </w:pPr>
            <w:r w:rsidRPr="00043D4E">
              <w:rPr>
                <w:b/>
              </w:rPr>
              <w:t xml:space="preserve">Recommendation 8: </w:t>
            </w:r>
            <w:r w:rsidRPr="00043D4E">
              <w:rPr>
                <w:b/>
              </w:rPr>
              <w:tab/>
            </w:r>
            <w:r w:rsidR="005E5CE6">
              <w:rPr>
                <w:b/>
              </w:rPr>
              <w:t>E</w:t>
            </w:r>
            <w:r w:rsidR="005E5CE6" w:rsidRPr="006868BE">
              <w:rPr>
                <w:b/>
              </w:rPr>
              <w:t>nhanc</w:t>
            </w:r>
            <w:r w:rsidR="005E5CE6">
              <w:rPr>
                <w:b/>
              </w:rPr>
              <w:t>e</w:t>
            </w:r>
            <w:r w:rsidR="005E5CE6" w:rsidRPr="006868BE">
              <w:rPr>
                <w:b/>
              </w:rPr>
              <w:t xml:space="preserve"> the critical infrastructure to support implementation and evaluation of food and nutrition</w:t>
            </w:r>
            <w:r w:rsidR="005E5CE6" w:rsidRPr="006868BE">
              <w:rPr>
                <w:b/>
              </w:rPr>
              <w:noBreakHyphen/>
              <w:t>related public health initiatives</w:t>
            </w:r>
            <w:r w:rsidR="005E5CE6">
              <w:rPr>
                <w:b/>
              </w:rPr>
              <w:t>,</w:t>
            </w:r>
            <w:r w:rsidR="005E5CE6" w:rsidRPr="006868BE">
              <w:rPr>
                <w:b/>
              </w:rPr>
              <w:t xml:space="preserve"> including the HSR System, through</w:t>
            </w:r>
            <w:r w:rsidR="005E5CE6">
              <w:rPr>
                <w:b/>
              </w:rPr>
              <w:t>:</w:t>
            </w:r>
            <w:r w:rsidR="005E5CE6" w:rsidRPr="006868BE">
              <w:rPr>
                <w:b/>
              </w:rPr>
              <w:t xml:space="preserve"> regular updates to Dietary Guidelines</w:t>
            </w:r>
            <w:r w:rsidR="005E5CE6">
              <w:rPr>
                <w:b/>
              </w:rPr>
              <w:t xml:space="preserve">; </w:t>
            </w:r>
            <w:r w:rsidR="005E5CE6" w:rsidRPr="006868BE">
              <w:rPr>
                <w:b/>
              </w:rPr>
              <w:t>regular national health and nutrition surveys</w:t>
            </w:r>
            <w:r w:rsidR="005E5CE6">
              <w:rPr>
                <w:b/>
              </w:rPr>
              <w:t xml:space="preserve">; </w:t>
            </w:r>
            <w:r w:rsidR="005E5CE6" w:rsidRPr="006868BE">
              <w:rPr>
                <w:b/>
              </w:rPr>
              <w:t>establishment of a comprehensive, dataset of branded food products</w:t>
            </w:r>
            <w:r w:rsidR="005E5CE6">
              <w:rPr>
                <w:b/>
              </w:rPr>
              <w:t>; and improved monitoring of the System.</w:t>
            </w:r>
          </w:p>
          <w:p w14:paraId="70921BB5" w14:textId="77777777" w:rsidR="00043D4E" w:rsidRPr="00043D4E" w:rsidRDefault="00043D4E" w:rsidP="007E0D2C">
            <w:pPr>
              <w:pStyle w:val="mpcbullets1"/>
              <w:numPr>
                <w:ilvl w:val="0"/>
                <w:numId w:val="0"/>
              </w:numPr>
              <w:ind w:left="360"/>
            </w:pPr>
          </w:p>
          <w:p w14:paraId="7703487E" w14:textId="4634FA91" w:rsidR="00043D4E" w:rsidRPr="00043D4E" w:rsidRDefault="00043D4E" w:rsidP="00043D4E">
            <w:pPr>
              <w:rPr>
                <w:i/>
                <w:sz w:val="22"/>
                <w:szCs w:val="22"/>
              </w:rPr>
            </w:pPr>
            <w:r w:rsidRPr="00043D4E">
              <w:rPr>
                <w:i/>
                <w:sz w:val="22"/>
                <w:szCs w:val="22"/>
              </w:rPr>
              <w:t>Expansion of FSANZ’s existing data management system to enable the automated upload, validation</w:t>
            </w:r>
            <w:r w:rsidR="00C1524E">
              <w:rPr>
                <w:i/>
                <w:sz w:val="22"/>
                <w:szCs w:val="22"/>
              </w:rPr>
              <w:t xml:space="preserve"> </w:t>
            </w:r>
            <w:r w:rsidRPr="00043D4E">
              <w:rPr>
                <w:i/>
                <w:sz w:val="22"/>
                <w:szCs w:val="22"/>
              </w:rPr>
              <w:t xml:space="preserve">and public reporting of branded food data </w:t>
            </w:r>
            <w:r w:rsidR="00027302">
              <w:rPr>
                <w:i/>
                <w:sz w:val="22"/>
                <w:szCs w:val="22"/>
              </w:rPr>
              <w:t>(</w:t>
            </w:r>
            <w:r w:rsidRPr="00043D4E">
              <w:rPr>
                <w:i/>
                <w:sz w:val="22"/>
                <w:szCs w:val="22"/>
              </w:rPr>
              <w:t>including the HSR</w:t>
            </w:r>
            <w:r w:rsidR="00027302">
              <w:rPr>
                <w:i/>
                <w:sz w:val="22"/>
                <w:szCs w:val="22"/>
              </w:rPr>
              <w:t>)</w:t>
            </w:r>
            <w:r w:rsidRPr="00043D4E">
              <w:rPr>
                <w:i/>
                <w:sz w:val="22"/>
                <w:szCs w:val="22"/>
              </w:rPr>
              <w:t xml:space="preserve"> will: support public and industry confidence in the HSR System; enable automated validation of the HSR displayed on a product; track longitudinal reformulation of products; and support development of food and nutrition policy, surveys and regulation.</w:t>
            </w:r>
          </w:p>
        </w:tc>
      </w:tr>
    </w:tbl>
    <w:p w14:paraId="22DD9F43" w14:textId="77777777" w:rsidR="00043D4E" w:rsidRDefault="00043D4E" w:rsidP="00372E4A">
      <w:pPr>
        <w:rPr>
          <w:sz w:val="22"/>
          <w:szCs w:val="22"/>
        </w:rPr>
      </w:pPr>
    </w:p>
    <w:p w14:paraId="03335DB0" w14:textId="77777777" w:rsidR="00372E4A" w:rsidRPr="00A25D38" w:rsidRDefault="00372E4A" w:rsidP="00A25D38">
      <w:pPr>
        <w:pStyle w:val="mpcNormal"/>
        <w:pBdr>
          <w:top w:val="single" w:sz="2" w:space="1" w:color="auto"/>
          <w:left w:val="single" w:sz="2" w:space="4" w:color="auto"/>
          <w:bottom w:val="single" w:sz="2" w:space="1" w:color="auto"/>
          <w:right w:val="single" w:sz="2" w:space="4" w:color="auto"/>
        </w:pBdr>
        <w:shd w:val="clear" w:color="auto" w:fill="4CB99B"/>
        <w:rPr>
          <w:b/>
          <w:color w:val="FFFFFF" w:themeColor="background1"/>
          <w:sz w:val="24"/>
          <w:lang w:eastAsia="en-GB"/>
        </w:rPr>
      </w:pPr>
      <w:bookmarkStart w:id="33" w:name="_Toc536717033"/>
      <w:bookmarkStart w:id="34" w:name="_Toc536718416"/>
      <w:bookmarkStart w:id="35" w:name="_Toc536808331"/>
      <w:bookmarkStart w:id="36" w:name="_Toc536809149"/>
      <w:bookmarkStart w:id="37" w:name="_Toc1554121"/>
      <w:r w:rsidRPr="00A25D38">
        <w:rPr>
          <w:b/>
          <w:color w:val="FFFFFF" w:themeColor="background1"/>
          <w:sz w:val="24"/>
          <w:lang w:eastAsia="en-GB"/>
        </w:rPr>
        <w:t>Optimising uptake of the HSR System (Chapter 7)</w:t>
      </w:r>
      <w:bookmarkEnd w:id="33"/>
      <w:bookmarkEnd w:id="34"/>
      <w:bookmarkEnd w:id="35"/>
      <w:bookmarkEnd w:id="36"/>
      <w:bookmarkEnd w:id="37"/>
    </w:p>
    <w:p w14:paraId="649DD9F0" w14:textId="60294857" w:rsidR="00372E4A" w:rsidRDefault="00372E4A" w:rsidP="00043D4E">
      <w:pPr>
        <w:keepNext/>
        <w:rPr>
          <w:b/>
          <w:sz w:val="22"/>
          <w:szCs w:val="22"/>
        </w:rPr>
      </w:pPr>
    </w:p>
    <w:tbl>
      <w:tblPr>
        <w:tblStyle w:val="TableGrid"/>
        <w:tblW w:w="0" w:type="auto"/>
        <w:tblLook w:val="04A0" w:firstRow="1" w:lastRow="0" w:firstColumn="1" w:lastColumn="0" w:noHBand="0" w:noVBand="1"/>
        <w:tblCaption w:val="Rec 9"/>
        <w:tblDescription w:val="Recommendation 9:  The HSR System remain voluntary, but with clear uptake targets set."/>
      </w:tblPr>
      <w:tblGrid>
        <w:gridCol w:w="9736"/>
      </w:tblGrid>
      <w:tr w:rsidR="00372E4A" w:rsidRPr="00CC1ADD" w14:paraId="529B2FC8" w14:textId="77777777" w:rsidTr="00E84DD6">
        <w:trPr>
          <w:trHeight w:val="4021"/>
        </w:trPr>
        <w:tc>
          <w:tcPr>
            <w:tcW w:w="9736" w:type="dxa"/>
            <w:shd w:val="clear" w:color="auto" w:fill="D9E2F3" w:themeFill="accent1" w:themeFillTint="33"/>
            <w:vAlign w:val="center"/>
          </w:tcPr>
          <w:p w14:paraId="0ABFF31D" w14:textId="5D6E2EC2" w:rsidR="00043D4E" w:rsidRPr="00C071BB" w:rsidRDefault="00043D4E" w:rsidP="00043D4E">
            <w:pPr>
              <w:pStyle w:val="mpcNormal"/>
              <w:ind w:left="2160" w:hanging="2160"/>
              <w:rPr>
                <w:b/>
              </w:rPr>
            </w:pPr>
            <w:r w:rsidRPr="00C071BB">
              <w:rPr>
                <w:b/>
              </w:rPr>
              <w:t xml:space="preserve">Recommendation 9: </w:t>
            </w:r>
            <w:r w:rsidRPr="00C071BB">
              <w:rPr>
                <w:b/>
              </w:rPr>
              <w:tab/>
            </w:r>
            <w:r w:rsidRPr="00F34E8B">
              <w:rPr>
                <w:b/>
              </w:rPr>
              <w:t xml:space="preserve">The </w:t>
            </w:r>
            <w:r w:rsidR="00C97B3A" w:rsidRPr="00F34E8B">
              <w:rPr>
                <w:b/>
              </w:rPr>
              <w:t>HSR</w:t>
            </w:r>
            <w:r w:rsidRPr="00F34E8B">
              <w:rPr>
                <w:b/>
              </w:rPr>
              <w:t xml:space="preserve"> System remain voluntary, but with clear uptake targets set and all stakeholders working together to drive uptake.</w:t>
            </w:r>
            <w:r w:rsidR="000C2CCD" w:rsidRPr="00F34E8B">
              <w:rPr>
                <w:b/>
              </w:rPr>
              <w:t xml:space="preserve"> If the </w:t>
            </w:r>
            <w:r w:rsidR="00C1524E" w:rsidRPr="00F34E8B">
              <w:rPr>
                <w:b/>
              </w:rPr>
              <w:t xml:space="preserve">HSR System continues to perform well but the </w:t>
            </w:r>
            <w:r w:rsidR="000C2CCD" w:rsidRPr="00F34E8B">
              <w:rPr>
                <w:b/>
              </w:rPr>
              <w:t>HSR is not displayed on 70% of target products within five years of a government decision on these recommendations, the HSR System should be mandated.</w:t>
            </w:r>
          </w:p>
          <w:p w14:paraId="2F834EB6" w14:textId="77777777" w:rsidR="00372E4A" w:rsidRPr="00CC1ADD" w:rsidRDefault="00372E4A" w:rsidP="00043D4E">
            <w:pPr>
              <w:pStyle w:val="mpcNormal"/>
            </w:pPr>
          </w:p>
          <w:p w14:paraId="5B6F7B46" w14:textId="77777777" w:rsidR="00372E4A" w:rsidRDefault="00372E4A" w:rsidP="00043D4E">
            <w:pPr>
              <w:pStyle w:val="mpcNormal"/>
              <w:rPr>
                <w:i/>
              </w:rPr>
            </w:pPr>
            <w:r w:rsidRPr="00767B1E">
              <w:rPr>
                <w:i/>
              </w:rPr>
              <w:t xml:space="preserve">Consistent and widespread adoption of the HSR is required for the System to have a significant public health impact. The Review closely considered whether improved uptake should be achieved through mandating the System. On balance, the Review considers that attention should first be focused on improving the System, setting clear uptake targets and continuing to incentivise uptake. </w:t>
            </w:r>
          </w:p>
          <w:p w14:paraId="5ED9207E" w14:textId="77777777" w:rsidR="00372E4A" w:rsidRDefault="00372E4A" w:rsidP="00043D4E">
            <w:pPr>
              <w:pStyle w:val="mpcNormal"/>
              <w:rPr>
                <w:i/>
              </w:rPr>
            </w:pPr>
          </w:p>
          <w:p w14:paraId="4AC06979" w14:textId="17BB86E9" w:rsidR="00F34E8B" w:rsidRPr="00767B1E" w:rsidRDefault="00372E4A" w:rsidP="00043D4E">
            <w:pPr>
              <w:pStyle w:val="mpcNormal"/>
              <w:rPr>
                <w:i/>
              </w:rPr>
            </w:pPr>
            <w:r w:rsidRPr="00767B1E">
              <w:rPr>
                <w:i/>
              </w:rPr>
              <w:t>This approach continues to build on the significant investment and goodwill of industry and others</w:t>
            </w:r>
            <w:r>
              <w:rPr>
                <w:i/>
              </w:rPr>
              <w:t xml:space="preserve">; </w:t>
            </w:r>
            <w:r w:rsidRPr="00767B1E">
              <w:rPr>
                <w:i/>
              </w:rPr>
              <w:t>is consistent with the principles of best practice regulation</w:t>
            </w:r>
            <w:r>
              <w:rPr>
                <w:i/>
              </w:rPr>
              <w:t>;</w:t>
            </w:r>
            <w:r w:rsidRPr="00767B1E">
              <w:rPr>
                <w:i/>
              </w:rPr>
              <w:t xml:space="preserve"> and </w:t>
            </w:r>
            <w:r>
              <w:rPr>
                <w:i/>
              </w:rPr>
              <w:t xml:space="preserve">reflects </w:t>
            </w:r>
            <w:r w:rsidRPr="00767B1E">
              <w:rPr>
                <w:i/>
              </w:rPr>
              <w:t xml:space="preserve">international experience (where the majority of interpretive </w:t>
            </w:r>
            <w:r>
              <w:rPr>
                <w:i/>
              </w:rPr>
              <w:t>front</w:t>
            </w:r>
            <w:r w:rsidR="00027302">
              <w:rPr>
                <w:i/>
              </w:rPr>
              <w:t>-</w:t>
            </w:r>
            <w:r>
              <w:rPr>
                <w:i/>
              </w:rPr>
              <w:t>of</w:t>
            </w:r>
            <w:r w:rsidR="00027302">
              <w:rPr>
                <w:i/>
              </w:rPr>
              <w:t>-</w:t>
            </w:r>
            <w:r>
              <w:rPr>
                <w:i/>
              </w:rPr>
              <w:t>pack labelling</w:t>
            </w:r>
            <w:r w:rsidRPr="00767B1E">
              <w:rPr>
                <w:i/>
              </w:rPr>
              <w:t xml:space="preserve"> schemes have been implemented on a voluntary basis).</w:t>
            </w:r>
          </w:p>
        </w:tc>
      </w:tr>
    </w:tbl>
    <w:p w14:paraId="2684E9EB" w14:textId="77777777" w:rsidR="00372E4A" w:rsidRDefault="00372E4A" w:rsidP="00372E4A">
      <w:pPr>
        <w:pStyle w:val="mpcNormal"/>
        <w:keepNext w:val="0"/>
      </w:pPr>
    </w:p>
    <w:tbl>
      <w:tblPr>
        <w:tblStyle w:val="TableGrid"/>
        <w:tblW w:w="0" w:type="auto"/>
        <w:tblLook w:val="04A0" w:firstRow="1" w:lastRow="0" w:firstColumn="1" w:lastColumn="0" w:noHBand="0" w:noVBand="1"/>
        <w:tblCaption w:val="Rec 10"/>
        <w:tblDescription w:val="Recommendation 10:  The existing Guide for Industry to the HSR Calculator and the HSR System Style Guide be combined, revised and strengthened."/>
      </w:tblPr>
      <w:tblGrid>
        <w:gridCol w:w="9736"/>
      </w:tblGrid>
      <w:tr w:rsidR="00372E4A" w:rsidRPr="00CC1ADD" w14:paraId="699B6726" w14:textId="77777777" w:rsidTr="00B53139">
        <w:trPr>
          <w:trHeight w:val="2368"/>
        </w:trPr>
        <w:tc>
          <w:tcPr>
            <w:tcW w:w="9736" w:type="dxa"/>
            <w:tcBorders>
              <w:bottom w:val="single" w:sz="2" w:space="0" w:color="auto"/>
            </w:tcBorders>
            <w:shd w:val="clear" w:color="auto" w:fill="D9E2F3" w:themeFill="accent1" w:themeFillTint="33"/>
            <w:vAlign w:val="center"/>
          </w:tcPr>
          <w:p w14:paraId="540EA32D" w14:textId="6F09B116" w:rsidR="00372E4A" w:rsidRPr="006130FD" w:rsidRDefault="00372E4A" w:rsidP="00372E4A">
            <w:pPr>
              <w:pStyle w:val="mpcNormal"/>
              <w:keepNext w:val="0"/>
              <w:ind w:left="2160" w:hanging="2160"/>
              <w:rPr>
                <w:b/>
              </w:rPr>
            </w:pPr>
            <w:r w:rsidRPr="006130FD">
              <w:rPr>
                <w:b/>
              </w:rPr>
              <w:t xml:space="preserve">Recommendation </w:t>
            </w:r>
            <w:r>
              <w:rPr>
                <w:b/>
              </w:rPr>
              <w:t>10</w:t>
            </w:r>
            <w:r w:rsidRPr="006130FD">
              <w:rPr>
                <w:b/>
              </w:rPr>
              <w:t xml:space="preserve">: </w:t>
            </w:r>
            <w:r w:rsidRPr="006130FD">
              <w:rPr>
                <w:b/>
              </w:rPr>
              <w:tab/>
              <w:t xml:space="preserve">The existing </w:t>
            </w:r>
            <w:r w:rsidRPr="000A22C3">
              <w:rPr>
                <w:b/>
                <w:i/>
              </w:rPr>
              <w:t xml:space="preserve">Guide for Industry to the </w:t>
            </w:r>
            <w:r w:rsidR="00711616">
              <w:rPr>
                <w:b/>
                <w:i/>
              </w:rPr>
              <w:t>HSR</w:t>
            </w:r>
            <w:r w:rsidRPr="000A22C3">
              <w:rPr>
                <w:b/>
                <w:i/>
              </w:rPr>
              <w:t xml:space="preserve"> Calculator</w:t>
            </w:r>
            <w:r w:rsidRPr="006130FD">
              <w:rPr>
                <w:b/>
              </w:rPr>
              <w:t xml:space="preserve"> and the </w:t>
            </w:r>
            <w:r w:rsidR="00711616">
              <w:rPr>
                <w:b/>
                <w:i/>
              </w:rPr>
              <w:t>HSR</w:t>
            </w:r>
            <w:r w:rsidRPr="000A22C3">
              <w:rPr>
                <w:b/>
                <w:i/>
              </w:rPr>
              <w:t xml:space="preserve"> System Style Guide</w:t>
            </w:r>
            <w:r w:rsidRPr="006130FD">
              <w:rPr>
                <w:b/>
              </w:rPr>
              <w:t xml:space="preserve"> be combined, revised and strengthened, providing greater certainty for stakeholders.</w:t>
            </w:r>
          </w:p>
          <w:p w14:paraId="5096E823" w14:textId="77777777" w:rsidR="00372E4A" w:rsidRPr="00CC1ADD" w:rsidRDefault="00372E4A" w:rsidP="00372E4A">
            <w:pPr>
              <w:pStyle w:val="mpcNormal"/>
              <w:keepNext w:val="0"/>
            </w:pPr>
          </w:p>
          <w:p w14:paraId="48546B0B" w14:textId="77777777" w:rsidR="00372E4A" w:rsidRPr="006B0997" w:rsidRDefault="00372E4A" w:rsidP="00372E4A">
            <w:pPr>
              <w:pStyle w:val="mpcNormal"/>
              <w:keepNext w:val="0"/>
              <w:rPr>
                <w:i/>
              </w:rPr>
            </w:pPr>
            <w:r w:rsidRPr="000A22C3">
              <w:rPr>
                <w:i/>
              </w:rPr>
              <w:t>Changes will be required to the Guide for Industry to the HSR Calculator and HSR System Style Guide. The opportunity should be taken to combine, improve and strengthen these documents such that there is a single resource (similar to a Code of Practice) that describes the HSR System, its objectives and industry obligations.</w:t>
            </w:r>
          </w:p>
        </w:tc>
      </w:tr>
    </w:tbl>
    <w:p w14:paraId="4716951A" w14:textId="1D9E4A02" w:rsidR="00372E4A" w:rsidRDefault="00372E4A" w:rsidP="00175CE9">
      <w:pPr>
        <w:pStyle w:val="mpcNormal"/>
        <w:keepNext w:val="0"/>
      </w:pPr>
    </w:p>
    <w:p w14:paraId="1E77A37F" w14:textId="43E7D7EF" w:rsidR="00F43B13" w:rsidRPr="00CC1ADD" w:rsidRDefault="00372E4A">
      <w:pPr>
        <w:pStyle w:val="mpcheading1"/>
      </w:pPr>
      <w:bookmarkStart w:id="38" w:name="_Toc493777383"/>
      <w:r>
        <w:br w:type="column"/>
      </w:r>
      <w:bookmarkStart w:id="39" w:name="Chapter1"/>
      <w:bookmarkStart w:id="40" w:name="_Toc9955030"/>
      <w:bookmarkEnd w:id="39"/>
      <w:r w:rsidR="00F43B13" w:rsidRPr="00CC1ADD">
        <w:t>Chapter 1 – About the Health Star Rating System</w:t>
      </w:r>
      <w:bookmarkEnd w:id="38"/>
      <w:bookmarkEnd w:id="40"/>
    </w:p>
    <w:p w14:paraId="100D650B" w14:textId="77777777" w:rsidR="00F43B13" w:rsidRPr="00CC1ADD" w:rsidRDefault="00F43B13">
      <w:pPr>
        <w:pStyle w:val="mpcheading2"/>
        <w:spacing w:after="0"/>
        <w:rPr>
          <w:rFonts w:cstheme="minorHAnsi"/>
        </w:rPr>
      </w:pPr>
      <w:bookmarkStart w:id="41" w:name="Development"/>
      <w:bookmarkStart w:id="42" w:name="_Toc9955031"/>
      <w:bookmarkEnd w:id="41"/>
      <w:r w:rsidRPr="00CC1ADD">
        <w:rPr>
          <w:rFonts w:cstheme="minorHAnsi"/>
        </w:rPr>
        <w:t>Development of the HSR System</w:t>
      </w:r>
      <w:bookmarkEnd w:id="42"/>
    </w:p>
    <w:p w14:paraId="6CEA1243" w14:textId="77777777" w:rsidR="00F43B13" w:rsidRPr="00CC1ADD" w:rsidRDefault="00F43B13">
      <w:pPr>
        <w:pStyle w:val="ms-rteelement-p"/>
        <w:spacing w:before="0" w:beforeAutospacing="0" w:after="0" w:afterAutospacing="0"/>
        <w:rPr>
          <w:rFonts w:asciiTheme="minorHAnsi" w:eastAsiaTheme="minorEastAsia" w:hAnsiTheme="minorHAnsi" w:cstheme="minorHAnsi"/>
          <w:sz w:val="22"/>
          <w:szCs w:val="22"/>
          <w:lang w:eastAsia="en-AU"/>
        </w:rPr>
      </w:pPr>
    </w:p>
    <w:p w14:paraId="6ACB882D" w14:textId="7CC7FA09" w:rsidR="00F43B13" w:rsidRPr="00CC1ADD" w:rsidRDefault="00F43B13">
      <w:pPr>
        <w:pStyle w:val="ms-rteelement-p"/>
        <w:spacing w:before="0" w:beforeAutospacing="0" w:after="0" w:afterAutospacing="0"/>
        <w:rPr>
          <w:rFonts w:asciiTheme="minorHAnsi" w:eastAsiaTheme="minorEastAsia" w:hAnsiTheme="minorHAnsi" w:cstheme="minorHAnsi"/>
          <w:sz w:val="22"/>
          <w:szCs w:val="22"/>
          <w:lang w:eastAsia="en-AU"/>
        </w:rPr>
      </w:pPr>
      <w:r w:rsidRPr="00CC1ADD">
        <w:rPr>
          <w:rFonts w:asciiTheme="minorHAnsi" w:eastAsiaTheme="minorEastAsia" w:hAnsiTheme="minorHAnsi" w:cstheme="minorHAnsi"/>
          <w:sz w:val="22"/>
          <w:szCs w:val="22"/>
          <w:lang w:eastAsia="en-AU"/>
        </w:rPr>
        <w:t>In 2009, Australian and New Zealand food regulation Ministers agreed to a comprehensive independent review of food labelling law and policy. An expert panel, chaired by Dr Neal Blewett, AC, undertook the review and the panel’s final report, </w:t>
      </w:r>
      <w:r w:rsidRPr="00CC1ADD">
        <w:rPr>
          <w:rFonts w:asciiTheme="minorHAnsi" w:eastAsiaTheme="minorEastAsia" w:hAnsiTheme="minorHAnsi" w:cstheme="minorHAnsi"/>
          <w:i/>
          <w:iCs/>
          <w:sz w:val="22"/>
          <w:szCs w:val="22"/>
          <w:lang w:eastAsia="en-AU"/>
        </w:rPr>
        <w:t>Labelling Logic</w:t>
      </w:r>
      <w:r w:rsidR="00C82D90" w:rsidRPr="00CC1ADD">
        <w:rPr>
          <w:rStyle w:val="FootnoteReference"/>
          <w:rFonts w:eastAsiaTheme="minorEastAsia" w:cstheme="minorHAnsi"/>
          <w:sz w:val="22"/>
          <w:szCs w:val="22"/>
          <w:lang w:eastAsia="en-AU"/>
        </w:rPr>
        <w:footnoteReference w:id="2"/>
      </w:r>
      <w:r w:rsidRPr="00CC1ADD">
        <w:rPr>
          <w:rFonts w:asciiTheme="minorHAnsi" w:eastAsiaTheme="minorEastAsia" w:hAnsiTheme="minorHAnsi" w:cstheme="minorHAnsi"/>
          <w:sz w:val="22"/>
          <w:szCs w:val="22"/>
          <w:lang w:eastAsia="en-AU"/>
        </w:rPr>
        <w:t>, was publicly released on 28 January 2011.</w:t>
      </w:r>
    </w:p>
    <w:p w14:paraId="1D341FA9" w14:textId="77777777" w:rsidR="00F43B13" w:rsidRPr="00CC1ADD" w:rsidRDefault="00F43B13">
      <w:pPr>
        <w:autoSpaceDE w:val="0"/>
        <w:autoSpaceDN w:val="0"/>
        <w:adjustRightInd w:val="0"/>
        <w:rPr>
          <w:rFonts w:cstheme="minorHAnsi"/>
          <w:sz w:val="22"/>
          <w:szCs w:val="22"/>
        </w:rPr>
      </w:pPr>
    </w:p>
    <w:p w14:paraId="73AF4CDD" w14:textId="0525AA54" w:rsidR="00F43B13" w:rsidRPr="00CC1ADD" w:rsidRDefault="00F43B13">
      <w:pPr>
        <w:autoSpaceDE w:val="0"/>
        <w:autoSpaceDN w:val="0"/>
        <w:adjustRightInd w:val="0"/>
        <w:rPr>
          <w:rFonts w:cstheme="minorHAnsi"/>
          <w:sz w:val="22"/>
          <w:szCs w:val="22"/>
        </w:rPr>
      </w:pPr>
      <w:r w:rsidRPr="00CC1ADD">
        <w:rPr>
          <w:rFonts w:cstheme="minorHAnsi"/>
          <w:sz w:val="22"/>
          <w:szCs w:val="22"/>
        </w:rPr>
        <w:t>One of the recommendations of this report was that an interpretive FoPL scheme should be developed, as one of several preventative health initiatives designed to improv</w:t>
      </w:r>
      <w:r w:rsidR="00021B10">
        <w:rPr>
          <w:rFonts w:cstheme="minorHAnsi"/>
          <w:sz w:val="22"/>
          <w:szCs w:val="22"/>
        </w:rPr>
        <w:t>e</w:t>
      </w:r>
      <w:r w:rsidRPr="00CC1ADD">
        <w:rPr>
          <w:rFonts w:cstheme="minorHAnsi"/>
          <w:sz w:val="22"/>
          <w:szCs w:val="22"/>
        </w:rPr>
        <w:t xml:space="preserve"> dietary intakes in line with a comprehensive nutrition policy. The intent was to help people to make better informed, healthier choices quickly and easily when comparing similar types of packaged foods. It was not intended to guide the portions or volumes consumed.</w:t>
      </w:r>
    </w:p>
    <w:p w14:paraId="2724BC83" w14:textId="77777777" w:rsidR="00F43B13" w:rsidRPr="00CC1ADD" w:rsidRDefault="00F43B13">
      <w:pPr>
        <w:rPr>
          <w:rFonts w:cstheme="minorHAnsi"/>
          <w:sz w:val="22"/>
          <w:szCs w:val="22"/>
        </w:rPr>
      </w:pPr>
    </w:p>
    <w:p w14:paraId="4760BBBD" w14:textId="715F89E3" w:rsidR="00F43B13" w:rsidRPr="00CC1ADD" w:rsidRDefault="00F43B13">
      <w:pPr>
        <w:rPr>
          <w:rFonts w:cstheme="minorHAnsi"/>
          <w:sz w:val="22"/>
          <w:szCs w:val="22"/>
        </w:rPr>
      </w:pPr>
      <w:r w:rsidRPr="00CC1ADD">
        <w:rPr>
          <w:rFonts w:cstheme="minorHAnsi"/>
          <w:sz w:val="22"/>
          <w:szCs w:val="22"/>
        </w:rPr>
        <w:t>In December 2011, Australian and New Zealand Ministers responsible for the regulation of food and beverages agreed to the need for an easily understood, interpretive F</w:t>
      </w:r>
      <w:r w:rsidR="00FE54AF" w:rsidRPr="00CC1ADD">
        <w:rPr>
          <w:rFonts w:cstheme="minorHAnsi"/>
          <w:sz w:val="22"/>
          <w:szCs w:val="22"/>
        </w:rPr>
        <w:t>o</w:t>
      </w:r>
      <w:r w:rsidRPr="00CC1ADD">
        <w:rPr>
          <w:rFonts w:cstheme="minorHAnsi"/>
          <w:sz w:val="22"/>
          <w:szCs w:val="22"/>
        </w:rPr>
        <w:t xml:space="preserve">PL </w:t>
      </w:r>
      <w:r w:rsidR="00C82D90">
        <w:rPr>
          <w:rFonts w:cstheme="minorHAnsi"/>
          <w:sz w:val="22"/>
          <w:szCs w:val="22"/>
        </w:rPr>
        <w:t>scheme</w:t>
      </w:r>
      <w:r w:rsidRPr="00CC1ADD">
        <w:rPr>
          <w:rFonts w:cstheme="minorHAnsi"/>
          <w:sz w:val="22"/>
          <w:szCs w:val="22"/>
        </w:rPr>
        <w:t xml:space="preserve"> for packaged foods. The stated aim of the FoPL scheme was to guide consumer choice towards healthier food options by: </w:t>
      </w:r>
    </w:p>
    <w:p w14:paraId="650F2CCE" w14:textId="77777777" w:rsidR="00F43B13" w:rsidRPr="00CC1ADD" w:rsidRDefault="00F43B13">
      <w:pPr>
        <w:rPr>
          <w:rFonts w:cstheme="minorHAnsi"/>
          <w:sz w:val="22"/>
          <w:szCs w:val="22"/>
        </w:rPr>
      </w:pPr>
    </w:p>
    <w:p w14:paraId="1236D14D" w14:textId="66D114BC" w:rsidR="00F43B13" w:rsidRPr="00CC1ADD" w:rsidRDefault="00F43B13" w:rsidP="007E0D2C">
      <w:pPr>
        <w:pStyle w:val="mpcbullets1"/>
      </w:pPr>
      <w:r w:rsidRPr="00CC1ADD">
        <w:t>enabling direct comparison between individual foods that, within the overall diet, may contribute to the risk factors of various diet</w:t>
      </w:r>
      <w:r w:rsidR="00B33DA3">
        <w:t>-</w:t>
      </w:r>
      <w:r w:rsidRPr="00CC1ADD">
        <w:t xml:space="preserve">related chronic diseases </w:t>
      </w:r>
    </w:p>
    <w:p w14:paraId="5C08311E" w14:textId="77777777" w:rsidR="00F43B13" w:rsidRPr="00CC1ADD" w:rsidRDefault="00F43B13" w:rsidP="007E0D2C">
      <w:pPr>
        <w:pStyle w:val="mpcbullets1"/>
      </w:pPr>
      <w:r w:rsidRPr="00CC1ADD">
        <w:t>being readily understandable and meaningful across socio-economic groups, culturally and linguistically diverse groups and low literacy/numeracy groups</w:t>
      </w:r>
    </w:p>
    <w:p w14:paraId="415123F0" w14:textId="7E156841" w:rsidR="00F43B13" w:rsidRPr="00CC1ADD" w:rsidRDefault="00F43B13" w:rsidP="007E0D2C">
      <w:pPr>
        <w:pStyle w:val="mpcbullets1"/>
      </w:pPr>
      <w:r w:rsidRPr="00CC1ADD">
        <w:t>increasing awareness of foods that, within the overall diet, may contribute positively or negatively to the risk factors of diet</w:t>
      </w:r>
      <w:r w:rsidR="00B33DA3">
        <w:t>-</w:t>
      </w:r>
      <w:r w:rsidRPr="00CC1ADD">
        <w:t>related chronic diseases.</w:t>
      </w:r>
      <w:r w:rsidRPr="00CC1ADD">
        <w:rPr>
          <w:rStyle w:val="FootnoteReference"/>
          <w:sz w:val="22"/>
        </w:rPr>
        <w:footnoteReference w:id="3"/>
      </w:r>
    </w:p>
    <w:p w14:paraId="60DC986F" w14:textId="77777777" w:rsidR="00F43B13" w:rsidRPr="00CC1ADD" w:rsidRDefault="00F43B13">
      <w:pPr>
        <w:rPr>
          <w:rFonts w:cstheme="minorHAnsi"/>
          <w:sz w:val="22"/>
          <w:szCs w:val="22"/>
        </w:rPr>
      </w:pPr>
    </w:p>
    <w:p w14:paraId="09D0C9E5" w14:textId="7787BC68" w:rsidR="00F43B13" w:rsidRPr="00CC1ADD" w:rsidRDefault="00F43B13">
      <w:pPr>
        <w:rPr>
          <w:rFonts w:cstheme="minorHAnsi"/>
          <w:sz w:val="22"/>
          <w:szCs w:val="22"/>
        </w:rPr>
      </w:pPr>
      <w:r w:rsidRPr="00CC1ADD">
        <w:rPr>
          <w:rFonts w:cstheme="minorHAnsi"/>
          <w:sz w:val="22"/>
          <w:szCs w:val="22"/>
        </w:rPr>
        <w:t xml:space="preserve">In early 2012, the Food Regulation Secretariat (in the </w:t>
      </w:r>
      <w:r w:rsidR="003501E7">
        <w:rPr>
          <w:rFonts w:cstheme="minorHAnsi"/>
          <w:sz w:val="22"/>
          <w:szCs w:val="22"/>
        </w:rPr>
        <w:t>Commonwealth</w:t>
      </w:r>
      <w:r w:rsidRPr="00CC1ADD">
        <w:rPr>
          <w:rFonts w:cstheme="minorHAnsi"/>
          <w:sz w:val="22"/>
          <w:szCs w:val="22"/>
        </w:rPr>
        <w:t xml:space="preserve"> Department of Health) established a FoPL Steering Committee (comprising Australian</w:t>
      </w:r>
      <w:r w:rsidR="00672D99">
        <w:rPr>
          <w:rFonts w:cstheme="minorHAnsi"/>
          <w:sz w:val="22"/>
          <w:szCs w:val="22"/>
        </w:rPr>
        <w:t>,</w:t>
      </w:r>
      <w:r w:rsidRPr="00CC1ADD">
        <w:rPr>
          <w:rFonts w:cstheme="minorHAnsi"/>
          <w:sz w:val="22"/>
          <w:szCs w:val="22"/>
        </w:rPr>
        <w:t xml:space="preserve"> </w:t>
      </w:r>
      <w:r w:rsidR="00672D99">
        <w:rPr>
          <w:rFonts w:cstheme="minorHAnsi"/>
          <w:sz w:val="22"/>
          <w:szCs w:val="22"/>
        </w:rPr>
        <w:t>S</w:t>
      </w:r>
      <w:r w:rsidRPr="00CC1ADD">
        <w:rPr>
          <w:rFonts w:cstheme="minorHAnsi"/>
          <w:sz w:val="22"/>
          <w:szCs w:val="22"/>
        </w:rPr>
        <w:t xml:space="preserve">tate and </w:t>
      </w:r>
      <w:r w:rsidR="00672D99">
        <w:rPr>
          <w:rFonts w:cstheme="minorHAnsi"/>
          <w:sz w:val="22"/>
          <w:szCs w:val="22"/>
        </w:rPr>
        <w:t>T</w:t>
      </w:r>
      <w:r w:rsidRPr="00CC1ADD">
        <w:rPr>
          <w:rFonts w:cstheme="minorHAnsi"/>
          <w:sz w:val="22"/>
          <w:szCs w:val="22"/>
        </w:rPr>
        <w:t>erritory and New Zealand government officials</w:t>
      </w:r>
      <w:r w:rsidR="00672D99">
        <w:rPr>
          <w:rFonts w:cstheme="minorHAnsi"/>
          <w:sz w:val="22"/>
          <w:szCs w:val="22"/>
        </w:rPr>
        <w:t>)</w:t>
      </w:r>
      <w:r w:rsidRPr="00CC1ADD">
        <w:rPr>
          <w:rFonts w:cstheme="minorHAnsi"/>
          <w:sz w:val="22"/>
          <w:szCs w:val="22"/>
        </w:rPr>
        <w:t xml:space="preserve"> and a FoPL Project Committee (comprising consumers and representatives from government, industry and public health) to develop a FoPL scheme. A Technical Design Working Group (TDWG) was established to work directly with FSANZ to research and develop the technical aspects of the FoPL scheme. An Implementation Working Group was also established to consider implementation options and frameworks for social marketing, monitoring and evaluation.</w:t>
      </w:r>
    </w:p>
    <w:p w14:paraId="29DE1B6D" w14:textId="77777777" w:rsidR="00F43B13" w:rsidRPr="00CC1ADD" w:rsidRDefault="00F43B13">
      <w:pPr>
        <w:rPr>
          <w:rFonts w:cstheme="minorHAnsi"/>
          <w:sz w:val="22"/>
          <w:szCs w:val="22"/>
        </w:rPr>
      </w:pPr>
    </w:p>
    <w:p w14:paraId="48CEF824" w14:textId="49F3E58C" w:rsidR="00F43B13" w:rsidRPr="00CC1ADD" w:rsidRDefault="00F43B13">
      <w:pPr>
        <w:rPr>
          <w:rFonts w:cstheme="minorHAnsi"/>
          <w:sz w:val="22"/>
          <w:szCs w:val="22"/>
        </w:rPr>
      </w:pPr>
      <w:r w:rsidRPr="00CC1ADD">
        <w:rPr>
          <w:rFonts w:cstheme="minorHAnsi"/>
          <w:sz w:val="22"/>
          <w:szCs w:val="22"/>
        </w:rPr>
        <w:t xml:space="preserve">In investigating possible models for a single FoPL symbol that would provide convenient, readily understood nutritional guidance on food packs, </w:t>
      </w:r>
      <w:r w:rsidR="008C60AC">
        <w:rPr>
          <w:rFonts w:cstheme="minorHAnsi"/>
          <w:sz w:val="22"/>
          <w:szCs w:val="22"/>
        </w:rPr>
        <w:t xml:space="preserve">the FSANZ and the </w:t>
      </w:r>
      <w:r w:rsidR="008C60AC" w:rsidRPr="00CC1ADD">
        <w:rPr>
          <w:rFonts w:cstheme="minorHAnsi"/>
          <w:sz w:val="22"/>
          <w:szCs w:val="22"/>
        </w:rPr>
        <w:t xml:space="preserve">TDWG </w:t>
      </w:r>
      <w:r w:rsidRPr="00CC1ADD">
        <w:rPr>
          <w:rFonts w:cstheme="minorHAnsi"/>
          <w:sz w:val="22"/>
          <w:szCs w:val="22"/>
        </w:rPr>
        <w:t>considered:</w:t>
      </w:r>
    </w:p>
    <w:p w14:paraId="47126B39" w14:textId="77777777" w:rsidR="00F43B13" w:rsidRPr="00CC1ADD" w:rsidRDefault="00F43B13">
      <w:pPr>
        <w:rPr>
          <w:rFonts w:cstheme="minorHAnsi"/>
          <w:sz w:val="22"/>
          <w:szCs w:val="22"/>
        </w:rPr>
      </w:pPr>
    </w:p>
    <w:p w14:paraId="28A843FF" w14:textId="3FD4100D" w:rsidR="00F43B13" w:rsidRPr="00CC1ADD" w:rsidRDefault="00F43B13" w:rsidP="007E0D2C">
      <w:pPr>
        <w:pStyle w:val="mpcbullets1"/>
      </w:pPr>
      <w:r w:rsidRPr="00CC1ADD">
        <w:t xml:space="preserve">research previously undertaken by the </w:t>
      </w:r>
      <w:r w:rsidR="002F0EC0">
        <w:t>United Kingdom (UK)</w:t>
      </w:r>
      <w:r w:rsidRPr="00CC1ADD">
        <w:t xml:space="preserve"> government for a nutrient </w:t>
      </w:r>
      <w:r w:rsidR="00672D99">
        <w:t>profiling</w:t>
      </w:r>
      <w:r w:rsidRPr="00CC1ADD">
        <w:t xml:space="preserve"> system for identifying individual foods eligible to carry media advertising for children</w:t>
      </w:r>
    </w:p>
    <w:p w14:paraId="5A4562C1" w14:textId="26FC1C9C" w:rsidR="00F43B13" w:rsidRPr="00CC1ADD" w:rsidRDefault="00F43B13" w:rsidP="007E0D2C">
      <w:pPr>
        <w:pStyle w:val="mpcbullets1"/>
      </w:pPr>
      <w:r w:rsidRPr="00CC1ADD">
        <w:t xml:space="preserve">research undertaken in </w:t>
      </w:r>
      <w:r w:rsidR="004D0A24">
        <w:t>developing</w:t>
      </w:r>
      <w:r w:rsidR="004D0A24" w:rsidRPr="00CC1ADD">
        <w:t xml:space="preserve"> </w:t>
      </w:r>
      <w:hyperlink r:id="rId11" w:history="1">
        <w:r w:rsidRPr="00A35EB9">
          <w:rPr>
            <w:rStyle w:val="Hyperlink"/>
            <w:i/>
            <w:iCs/>
          </w:rPr>
          <w:t>Standard 1.2.7 Nutrition</w:t>
        </w:r>
        <w:r w:rsidR="00677D90">
          <w:rPr>
            <w:rStyle w:val="Hyperlink"/>
            <w:i/>
            <w:iCs/>
          </w:rPr>
          <w:t>, health and related</w:t>
        </w:r>
        <w:r w:rsidRPr="00A35EB9">
          <w:rPr>
            <w:rStyle w:val="Hyperlink"/>
            <w:i/>
            <w:iCs/>
          </w:rPr>
          <w:t xml:space="preserve"> claims</w:t>
        </w:r>
      </w:hyperlink>
      <w:r w:rsidRPr="00CC1ADD">
        <w:t xml:space="preserve"> </w:t>
      </w:r>
      <w:r w:rsidR="002F0EC0">
        <w:t xml:space="preserve">of the </w:t>
      </w:r>
      <w:r w:rsidR="002F0EC0">
        <w:rPr>
          <w:lang w:eastAsia="en-GB"/>
        </w:rPr>
        <w:t>Australia</w:t>
      </w:r>
      <w:r w:rsidR="00677D90">
        <w:rPr>
          <w:lang w:eastAsia="en-GB"/>
        </w:rPr>
        <w:t xml:space="preserve"> </w:t>
      </w:r>
      <w:r w:rsidR="002F0EC0">
        <w:rPr>
          <w:lang w:eastAsia="en-GB"/>
        </w:rPr>
        <w:t xml:space="preserve">New Zealand </w:t>
      </w:r>
      <w:r w:rsidR="002F0EC0" w:rsidRPr="00CC1ADD">
        <w:rPr>
          <w:lang w:eastAsia="en-GB"/>
        </w:rPr>
        <w:t>Food Standards Code</w:t>
      </w:r>
      <w:r w:rsidR="002F0EC0">
        <w:rPr>
          <w:lang w:eastAsia="en-GB"/>
        </w:rPr>
        <w:t xml:space="preserve"> (the Code) </w:t>
      </w:r>
      <w:r w:rsidRPr="00CC1ADD">
        <w:t xml:space="preserve">and developing the </w:t>
      </w:r>
      <w:hyperlink r:id="rId12" w:history="1">
        <w:r w:rsidRPr="00A35EB9">
          <w:rPr>
            <w:rStyle w:val="Hyperlink"/>
          </w:rPr>
          <w:t>Nutrient Profiling Scoring Criterion</w:t>
        </w:r>
      </w:hyperlink>
      <w:r w:rsidRPr="00CC1ADD">
        <w:t xml:space="preserve"> (NPSC)</w:t>
      </w:r>
    </w:p>
    <w:p w14:paraId="32EA6D24" w14:textId="1C22E6AB" w:rsidR="00F43B13" w:rsidRPr="00CC1ADD" w:rsidRDefault="00F43B13" w:rsidP="007E0D2C">
      <w:pPr>
        <w:pStyle w:val="mpcbullets1"/>
      </w:pPr>
      <w:r w:rsidRPr="00CC1ADD">
        <w:t>research undertaken in developing the Australian Dietary Guidelines (ADG)</w:t>
      </w:r>
    </w:p>
    <w:p w14:paraId="6669CE8D" w14:textId="77777777" w:rsidR="00F43B13" w:rsidRPr="00CC1ADD" w:rsidRDefault="00F43B13" w:rsidP="007E0D2C">
      <w:pPr>
        <w:pStyle w:val="mpcbullets1"/>
      </w:pPr>
      <w:r w:rsidRPr="00CC1ADD">
        <w:t>input provided by a range of stakeholders.</w:t>
      </w:r>
    </w:p>
    <w:p w14:paraId="0425D436" w14:textId="77777777" w:rsidR="00F43B13" w:rsidRPr="00CC1ADD" w:rsidRDefault="00F43B13">
      <w:pPr>
        <w:rPr>
          <w:rFonts w:cstheme="minorHAnsi"/>
          <w:sz w:val="22"/>
          <w:szCs w:val="22"/>
        </w:rPr>
      </w:pPr>
    </w:p>
    <w:p w14:paraId="3A4ADF0E" w14:textId="130D1715" w:rsidR="00F43B13" w:rsidRPr="00CC1ADD" w:rsidRDefault="00F43B13">
      <w:pPr>
        <w:rPr>
          <w:rFonts w:eastAsia="Times New Roman" w:cstheme="minorHAnsi"/>
          <w:sz w:val="22"/>
          <w:szCs w:val="22"/>
          <w:lang w:eastAsia="en-GB"/>
        </w:rPr>
      </w:pPr>
      <w:r w:rsidRPr="00CC1ADD">
        <w:rPr>
          <w:rFonts w:cstheme="minorHAnsi"/>
          <w:sz w:val="22"/>
          <w:szCs w:val="22"/>
        </w:rPr>
        <w:t xml:space="preserve">The decision was made that a modified NPSC would be the basis for a new, single symbol FoPL </w:t>
      </w:r>
      <w:r w:rsidR="00FC782A">
        <w:rPr>
          <w:rFonts w:cstheme="minorHAnsi"/>
          <w:sz w:val="22"/>
          <w:szCs w:val="22"/>
        </w:rPr>
        <w:t>scheme</w:t>
      </w:r>
      <w:r w:rsidRPr="00CC1ADD">
        <w:rPr>
          <w:rFonts w:cstheme="minorHAnsi"/>
          <w:sz w:val="22"/>
          <w:szCs w:val="22"/>
        </w:rPr>
        <w:t xml:space="preserve">. It was also agreed that the </w:t>
      </w:r>
      <w:r w:rsidRPr="00CC1ADD">
        <w:rPr>
          <w:rFonts w:eastAsia="Times New Roman" w:cstheme="minorHAnsi"/>
          <w:sz w:val="22"/>
          <w:szCs w:val="22"/>
          <w:lang w:eastAsia="en-GB"/>
        </w:rPr>
        <w:t xml:space="preserve">new </w:t>
      </w:r>
      <w:r w:rsidR="00FC782A">
        <w:rPr>
          <w:rFonts w:eastAsia="Times New Roman" w:cstheme="minorHAnsi"/>
          <w:sz w:val="22"/>
          <w:szCs w:val="22"/>
          <w:lang w:eastAsia="en-GB"/>
        </w:rPr>
        <w:t>scheme</w:t>
      </w:r>
      <w:r w:rsidRPr="00CC1ADD">
        <w:rPr>
          <w:rFonts w:eastAsia="Times New Roman" w:cstheme="minorHAnsi"/>
          <w:sz w:val="22"/>
          <w:szCs w:val="22"/>
          <w:lang w:eastAsia="en-GB"/>
        </w:rPr>
        <w:t xml:space="preserve"> would retain relevant labelling conditions and food definitions prescribed in the </w:t>
      </w:r>
      <w:r w:rsidR="00A35EB9">
        <w:rPr>
          <w:rFonts w:eastAsia="Times New Roman" w:cstheme="minorHAnsi"/>
          <w:sz w:val="22"/>
          <w:szCs w:val="22"/>
          <w:lang w:eastAsia="en-GB"/>
        </w:rPr>
        <w:t>Code</w:t>
      </w:r>
      <w:r w:rsidRPr="00CC1ADD">
        <w:rPr>
          <w:rFonts w:eastAsia="Times New Roman" w:cstheme="minorHAnsi"/>
          <w:sz w:val="22"/>
          <w:szCs w:val="22"/>
          <w:lang w:eastAsia="en-GB"/>
        </w:rPr>
        <w:t>, thus providing consistency for food manufacturers and messaging for consumers.</w:t>
      </w:r>
      <w:r w:rsidR="00677D90">
        <w:rPr>
          <w:rFonts w:eastAsia="Times New Roman" w:cstheme="minorHAnsi"/>
          <w:sz w:val="22"/>
          <w:szCs w:val="22"/>
          <w:lang w:eastAsia="en-GB"/>
        </w:rPr>
        <w:t xml:space="preserve"> </w:t>
      </w:r>
    </w:p>
    <w:p w14:paraId="655BE1D8" w14:textId="77777777" w:rsidR="00F43B13" w:rsidRPr="00CC1ADD" w:rsidRDefault="00F43B13">
      <w:pPr>
        <w:rPr>
          <w:rFonts w:eastAsia="Times New Roman" w:cstheme="minorHAnsi"/>
          <w:sz w:val="22"/>
          <w:szCs w:val="22"/>
          <w:lang w:eastAsia="en-GB"/>
        </w:rPr>
      </w:pPr>
    </w:p>
    <w:p w14:paraId="10F3F96F" w14:textId="77777777" w:rsidR="00F43B13" w:rsidRPr="00CC1ADD" w:rsidRDefault="00F43B13">
      <w:pPr>
        <w:rPr>
          <w:rFonts w:cstheme="minorHAnsi"/>
          <w:sz w:val="22"/>
          <w:szCs w:val="22"/>
        </w:rPr>
      </w:pPr>
      <w:r w:rsidRPr="00CC1ADD">
        <w:rPr>
          <w:rFonts w:cstheme="minorHAnsi"/>
          <w:sz w:val="22"/>
          <w:szCs w:val="22"/>
        </w:rPr>
        <w:t>On 27 June 2014, the</w:t>
      </w:r>
      <w:r w:rsidRPr="00CC1ADD">
        <w:t xml:space="preserve"> </w:t>
      </w:r>
      <w:r w:rsidRPr="00CC1ADD">
        <w:rPr>
          <w:rFonts w:cstheme="minorHAnsi"/>
          <w:sz w:val="22"/>
          <w:szCs w:val="22"/>
        </w:rPr>
        <w:t xml:space="preserve">Australia and New Zealand Ministerial Forum on Food Regulation (the Forum) endorsed the HSR System to be voluntarily implemented in Australia and New Zealand for an initial five years. </w:t>
      </w:r>
    </w:p>
    <w:p w14:paraId="7AB4C241" w14:textId="77777777" w:rsidR="00F43B13" w:rsidRPr="00CC1ADD" w:rsidRDefault="00F43B13">
      <w:pPr>
        <w:rPr>
          <w:rFonts w:cstheme="minorHAnsi"/>
          <w:sz w:val="22"/>
          <w:szCs w:val="22"/>
        </w:rPr>
      </w:pPr>
    </w:p>
    <w:p w14:paraId="038D3AE4" w14:textId="77777777" w:rsidR="00F43B13" w:rsidRPr="00CC1ADD" w:rsidRDefault="00F43B13">
      <w:pPr>
        <w:pStyle w:val="mpcheading2"/>
        <w:spacing w:after="0"/>
        <w:rPr>
          <w:rFonts w:cstheme="minorHAnsi"/>
        </w:rPr>
      </w:pPr>
      <w:bookmarkStart w:id="43" w:name="_Toc9955032"/>
      <w:r w:rsidRPr="00CC1ADD">
        <w:rPr>
          <w:rFonts w:cstheme="minorHAnsi"/>
        </w:rPr>
        <w:t>The HSR graphic</w:t>
      </w:r>
      <w:bookmarkEnd w:id="43"/>
      <w:r w:rsidRPr="00CC1ADD">
        <w:rPr>
          <w:rFonts w:cstheme="minorHAnsi"/>
        </w:rPr>
        <w:t xml:space="preserve"> </w:t>
      </w:r>
    </w:p>
    <w:p w14:paraId="5C18F94B" w14:textId="77777777" w:rsidR="00F43B13" w:rsidRPr="00CC1ADD" w:rsidRDefault="00F43B13">
      <w:pPr>
        <w:rPr>
          <w:rFonts w:cstheme="minorHAnsi"/>
          <w:sz w:val="22"/>
          <w:szCs w:val="22"/>
        </w:rPr>
      </w:pPr>
    </w:p>
    <w:p w14:paraId="6E82C451" w14:textId="49B1AE2C" w:rsidR="00F43B13" w:rsidRPr="00CC1ADD" w:rsidRDefault="00672D99">
      <w:pPr>
        <w:rPr>
          <w:sz w:val="22"/>
          <w:szCs w:val="22"/>
        </w:rPr>
      </w:pPr>
      <w:r>
        <w:rPr>
          <w:sz w:val="22"/>
          <w:szCs w:val="22"/>
        </w:rPr>
        <w:t>T</w:t>
      </w:r>
      <w:r w:rsidR="00F43B13" w:rsidRPr="00CC1ADD">
        <w:rPr>
          <w:sz w:val="22"/>
          <w:szCs w:val="22"/>
        </w:rPr>
        <w:t xml:space="preserve">he </w:t>
      </w:r>
      <w:hyperlink r:id="rId13" w:history="1">
        <w:r w:rsidR="002F0EC0" w:rsidRPr="002F0EC0">
          <w:rPr>
            <w:rStyle w:val="Hyperlink"/>
            <w:sz w:val="22"/>
            <w:szCs w:val="22"/>
          </w:rPr>
          <w:t xml:space="preserve">HSR System </w:t>
        </w:r>
        <w:r w:rsidR="00F43B13" w:rsidRPr="002F0EC0">
          <w:rPr>
            <w:rStyle w:val="Hyperlink"/>
            <w:sz w:val="22"/>
            <w:szCs w:val="22"/>
          </w:rPr>
          <w:t>Style Guide</w:t>
        </w:r>
      </w:hyperlink>
      <w:r w:rsidR="00F43B13" w:rsidRPr="00CC1ADD">
        <w:rPr>
          <w:sz w:val="22"/>
          <w:szCs w:val="22"/>
        </w:rPr>
        <w:t xml:space="preserve"> describes a hierarchy of options for the elements to be displayed in the HSR System graphic.</w:t>
      </w:r>
    </w:p>
    <w:p w14:paraId="29B24100" w14:textId="77777777" w:rsidR="00F43B13" w:rsidRPr="00CC1ADD" w:rsidRDefault="00F43B13">
      <w:pPr>
        <w:rPr>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Graphic Options"/>
        <w:tblDescription w:val="Table shows the five HSR System graphic options."/>
      </w:tblPr>
      <w:tblGrid>
        <w:gridCol w:w="3823"/>
        <w:gridCol w:w="4121"/>
      </w:tblGrid>
      <w:tr w:rsidR="00F43B13" w:rsidRPr="00CC1ADD" w14:paraId="4B118666" w14:textId="77777777" w:rsidTr="001017C5">
        <w:trPr>
          <w:jc w:val="center"/>
        </w:trPr>
        <w:tc>
          <w:tcPr>
            <w:tcW w:w="3823" w:type="dxa"/>
          </w:tcPr>
          <w:p w14:paraId="3674744B" w14:textId="77777777" w:rsidR="00F43B13" w:rsidRPr="00CC1ADD" w:rsidRDefault="00F43B13">
            <w:pPr>
              <w:pStyle w:val="ListParagraph"/>
              <w:numPr>
                <w:ilvl w:val="0"/>
                <w:numId w:val="6"/>
              </w:numPr>
              <w:spacing w:before="120"/>
              <w:rPr>
                <w:sz w:val="22"/>
                <w:szCs w:val="22"/>
              </w:rPr>
            </w:pPr>
            <w:r w:rsidRPr="00CC1ADD">
              <w:rPr>
                <w:sz w:val="22"/>
                <w:szCs w:val="22"/>
              </w:rPr>
              <w:t>Health Star Rating (stars) + energy icon + 3 prescribed nutrient icons + 1 optional nutrient icon.</w:t>
            </w:r>
          </w:p>
        </w:tc>
        <w:tc>
          <w:tcPr>
            <w:tcW w:w="4121" w:type="dxa"/>
          </w:tcPr>
          <w:p w14:paraId="2C9E2C2D" w14:textId="77777777" w:rsidR="00F43B13" w:rsidRPr="00CC1ADD" w:rsidRDefault="00F43B13">
            <w:pPr>
              <w:rPr>
                <w:sz w:val="22"/>
                <w:szCs w:val="22"/>
              </w:rPr>
            </w:pPr>
            <w:r w:rsidRPr="00CC1ADD">
              <w:rPr>
                <w:noProof/>
                <w:sz w:val="22"/>
                <w:szCs w:val="22"/>
                <w:lang w:eastAsia="en-AU"/>
              </w:rPr>
              <w:drawing>
                <wp:inline distT="0" distB="0" distL="0" distR="0" wp14:anchorId="59391BC0" wp14:editId="57856116">
                  <wp:extent cx="2474259" cy="793587"/>
                  <wp:effectExtent l="0" t="0" r="2540" b="0"/>
                  <wp:docPr id="9" name="Picture 9" descr="Health Star Rating graphic Option 1 - stars + energy icon + 3 prescribed nutrient icons + 1 optional nutri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538858" cy="814306"/>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0E00FB4F" w14:textId="77777777" w:rsidTr="001017C5">
        <w:trPr>
          <w:jc w:val="center"/>
        </w:trPr>
        <w:tc>
          <w:tcPr>
            <w:tcW w:w="3823" w:type="dxa"/>
          </w:tcPr>
          <w:p w14:paraId="7A5DDEE7" w14:textId="77777777" w:rsidR="00F43B13" w:rsidRPr="00CC1ADD" w:rsidRDefault="00F43B13" w:rsidP="005A3631">
            <w:pPr>
              <w:pStyle w:val="ListParagraph"/>
              <w:numPr>
                <w:ilvl w:val="0"/>
                <w:numId w:val="6"/>
              </w:numPr>
              <w:spacing w:before="120"/>
              <w:rPr>
                <w:sz w:val="22"/>
                <w:szCs w:val="22"/>
              </w:rPr>
            </w:pPr>
            <w:r w:rsidRPr="00CC1ADD">
              <w:rPr>
                <w:sz w:val="22"/>
                <w:szCs w:val="22"/>
              </w:rPr>
              <w:t>Health Star Rating (stars) + energy icon + 3 prescribed nutrient icons.</w:t>
            </w:r>
          </w:p>
        </w:tc>
        <w:tc>
          <w:tcPr>
            <w:tcW w:w="4121" w:type="dxa"/>
          </w:tcPr>
          <w:p w14:paraId="7E3D3AAD" w14:textId="77777777" w:rsidR="00F43B13" w:rsidRPr="00CC1ADD" w:rsidRDefault="00F43B13" w:rsidP="005A3631">
            <w:pPr>
              <w:rPr>
                <w:sz w:val="22"/>
                <w:szCs w:val="22"/>
              </w:rPr>
            </w:pPr>
            <w:r w:rsidRPr="00CC1ADD">
              <w:rPr>
                <w:noProof/>
                <w:sz w:val="22"/>
                <w:szCs w:val="22"/>
                <w:lang w:eastAsia="en-AU"/>
              </w:rPr>
              <w:drawing>
                <wp:inline distT="0" distB="0" distL="0" distR="0" wp14:anchorId="0492B228" wp14:editId="32EA67ED">
                  <wp:extent cx="2151279" cy="777411"/>
                  <wp:effectExtent l="0" t="0" r="0" b="0"/>
                  <wp:docPr id="11" name="Picture 11" descr="Health Star Rating graphic Option 2 - stars + energy icon + 3 prescribed nutrien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2277343" cy="822967"/>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008A1E9C" w14:textId="77777777" w:rsidTr="001017C5">
        <w:trPr>
          <w:jc w:val="center"/>
        </w:trPr>
        <w:tc>
          <w:tcPr>
            <w:tcW w:w="3823" w:type="dxa"/>
          </w:tcPr>
          <w:p w14:paraId="56B5ADEF" w14:textId="77777777" w:rsidR="00F43B13" w:rsidRPr="00CC1ADD" w:rsidRDefault="00F43B13" w:rsidP="005A3631">
            <w:pPr>
              <w:pStyle w:val="ListParagraph"/>
              <w:numPr>
                <w:ilvl w:val="0"/>
                <w:numId w:val="6"/>
              </w:numPr>
              <w:spacing w:before="120"/>
              <w:rPr>
                <w:sz w:val="22"/>
                <w:szCs w:val="22"/>
              </w:rPr>
            </w:pPr>
            <w:r w:rsidRPr="00CC1ADD">
              <w:rPr>
                <w:sz w:val="22"/>
                <w:szCs w:val="22"/>
              </w:rPr>
              <w:t xml:space="preserve">Health Star Rating (stars) + energy icon. </w:t>
            </w:r>
          </w:p>
        </w:tc>
        <w:tc>
          <w:tcPr>
            <w:tcW w:w="4121" w:type="dxa"/>
          </w:tcPr>
          <w:p w14:paraId="12DE986C" w14:textId="77777777" w:rsidR="00F43B13" w:rsidRPr="00CC1ADD" w:rsidRDefault="00F43B13" w:rsidP="005A3631">
            <w:pPr>
              <w:rPr>
                <w:sz w:val="22"/>
                <w:szCs w:val="22"/>
              </w:rPr>
            </w:pPr>
            <w:r w:rsidRPr="00CC1ADD">
              <w:rPr>
                <w:noProof/>
                <w:sz w:val="22"/>
                <w:szCs w:val="22"/>
                <w:lang w:eastAsia="en-AU"/>
              </w:rPr>
              <w:drawing>
                <wp:inline distT="0" distB="0" distL="0" distR="0" wp14:anchorId="6C316F7F" wp14:editId="65A1CE41">
                  <wp:extent cx="1119095" cy="749844"/>
                  <wp:effectExtent l="0" t="0" r="0" b="0"/>
                  <wp:docPr id="12" name="Picture 12" descr="Health Star Rating graphic Option 3 - stars + energ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1134928" cy="760453"/>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75404729" w14:textId="77777777" w:rsidTr="001017C5">
        <w:trPr>
          <w:jc w:val="center"/>
        </w:trPr>
        <w:tc>
          <w:tcPr>
            <w:tcW w:w="3823" w:type="dxa"/>
          </w:tcPr>
          <w:p w14:paraId="4DC50310" w14:textId="3E5D580A" w:rsidR="00F43B13" w:rsidRPr="00CC1ADD" w:rsidRDefault="00F43B13" w:rsidP="005A3631">
            <w:pPr>
              <w:pStyle w:val="ListParagraph"/>
              <w:numPr>
                <w:ilvl w:val="0"/>
                <w:numId w:val="6"/>
              </w:numPr>
              <w:spacing w:before="120"/>
              <w:rPr>
                <w:sz w:val="22"/>
                <w:szCs w:val="22"/>
              </w:rPr>
            </w:pPr>
            <w:r w:rsidRPr="00CC1ADD">
              <w:rPr>
                <w:sz w:val="22"/>
                <w:szCs w:val="22"/>
              </w:rPr>
              <w:t>Health Star Rating (stars)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when pack size does not accommodate more complete versions).</w:t>
            </w:r>
          </w:p>
        </w:tc>
        <w:tc>
          <w:tcPr>
            <w:tcW w:w="4121" w:type="dxa"/>
          </w:tcPr>
          <w:p w14:paraId="1A136617" w14:textId="77777777" w:rsidR="00F43B13" w:rsidRPr="00CC1ADD" w:rsidRDefault="00F43B13" w:rsidP="005A3631">
            <w:pPr>
              <w:rPr>
                <w:sz w:val="22"/>
                <w:szCs w:val="22"/>
              </w:rPr>
            </w:pPr>
            <w:r w:rsidRPr="00CC1ADD">
              <w:rPr>
                <w:noProof/>
                <w:sz w:val="22"/>
                <w:szCs w:val="22"/>
                <w:lang w:eastAsia="en-AU"/>
              </w:rPr>
              <w:drawing>
                <wp:inline distT="0" distB="0" distL="0" distR="0" wp14:anchorId="77A4C1E3" wp14:editId="0B7287AE">
                  <wp:extent cx="770965" cy="810464"/>
                  <wp:effectExtent l="0" t="0" r="3810" b="2540"/>
                  <wp:docPr id="13" name="Picture 13" descr="Health Star Rating graphic Option 4 - star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782630" cy="822727"/>
                          </a:xfrm>
                          <a:prstGeom prst="rect">
                            <a:avLst/>
                          </a:prstGeom>
                          <a:ln>
                            <a:noFill/>
                          </a:ln>
                          <a:extLst>
                            <a:ext uri="{53640926-AAD7-44D8-BBD7-CCE9431645EC}">
                              <a14:shadowObscured xmlns:a14="http://schemas.microsoft.com/office/drawing/2010/main"/>
                            </a:ext>
                          </a:extLst>
                        </pic:spPr>
                      </pic:pic>
                    </a:graphicData>
                  </a:graphic>
                </wp:inline>
              </w:drawing>
            </w:r>
          </w:p>
        </w:tc>
      </w:tr>
      <w:tr w:rsidR="00F43B13" w:rsidRPr="00CC1ADD" w14:paraId="50647B13" w14:textId="77777777" w:rsidTr="001017C5">
        <w:trPr>
          <w:jc w:val="center"/>
        </w:trPr>
        <w:tc>
          <w:tcPr>
            <w:tcW w:w="3823" w:type="dxa"/>
          </w:tcPr>
          <w:p w14:paraId="3DF6E2AF" w14:textId="0D04AC8C" w:rsidR="00F43B13" w:rsidRPr="00CC1ADD" w:rsidRDefault="00F43B13" w:rsidP="005A3631">
            <w:pPr>
              <w:pStyle w:val="ListParagraph"/>
              <w:numPr>
                <w:ilvl w:val="0"/>
                <w:numId w:val="6"/>
              </w:numPr>
              <w:spacing w:before="120"/>
              <w:rPr>
                <w:sz w:val="22"/>
                <w:szCs w:val="22"/>
              </w:rPr>
            </w:pPr>
            <w:r w:rsidRPr="00CC1ADD">
              <w:rPr>
                <w:sz w:val="22"/>
                <w:szCs w:val="22"/>
              </w:rPr>
              <w:t>Energy icon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for small pack sizes and some confectionery and beverage products).</w:t>
            </w:r>
          </w:p>
        </w:tc>
        <w:tc>
          <w:tcPr>
            <w:tcW w:w="4121" w:type="dxa"/>
          </w:tcPr>
          <w:p w14:paraId="436337E7" w14:textId="77777777" w:rsidR="00F43B13" w:rsidRPr="00CC1ADD" w:rsidRDefault="00F43B13" w:rsidP="005A3631">
            <w:pPr>
              <w:rPr>
                <w:sz w:val="22"/>
                <w:szCs w:val="22"/>
              </w:rPr>
            </w:pPr>
            <w:r w:rsidRPr="00CC1ADD">
              <w:rPr>
                <w:noProof/>
                <w:sz w:val="22"/>
                <w:szCs w:val="22"/>
                <w:lang w:eastAsia="en-AU"/>
              </w:rPr>
              <w:drawing>
                <wp:inline distT="0" distB="0" distL="0" distR="0" wp14:anchorId="0610614A" wp14:editId="43CBDF8C">
                  <wp:extent cx="502123" cy="693271"/>
                  <wp:effectExtent l="0" t="0" r="6350" b="5715"/>
                  <wp:docPr id="14" name="Picture 14" descr="Health Star Rating graphic Option 5 - energy ic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15817" cy="712178"/>
                          </a:xfrm>
                          <a:prstGeom prst="rect">
                            <a:avLst/>
                          </a:prstGeom>
                        </pic:spPr>
                      </pic:pic>
                    </a:graphicData>
                  </a:graphic>
                </wp:inline>
              </w:drawing>
            </w:r>
          </w:p>
        </w:tc>
      </w:tr>
    </w:tbl>
    <w:p w14:paraId="39D25FCB" w14:textId="77777777" w:rsidR="00F43B13" w:rsidRPr="00CC1ADD" w:rsidRDefault="00F43B13" w:rsidP="005A3631">
      <w:pPr>
        <w:rPr>
          <w:sz w:val="22"/>
          <w:szCs w:val="22"/>
        </w:rPr>
      </w:pPr>
    </w:p>
    <w:p w14:paraId="56B1CB0F" w14:textId="4AC1ABA0" w:rsidR="00F43B13" w:rsidRPr="00CC1ADD" w:rsidRDefault="00F43B13">
      <w:pPr>
        <w:rPr>
          <w:sz w:val="22"/>
          <w:szCs w:val="22"/>
        </w:rPr>
      </w:pPr>
      <w:r w:rsidRPr="00CC1ADD">
        <w:rPr>
          <w:sz w:val="22"/>
          <w:szCs w:val="22"/>
        </w:rPr>
        <w:t xml:space="preserve">While the Style Guide encourages use of as many elements of the HSR System graphic as possible, any of the options may be used on any product. The Style Guide describes small pack sizes, confectionery and beverage products as examples where </w:t>
      </w:r>
      <w:r w:rsidR="00672D99">
        <w:rPr>
          <w:sz w:val="22"/>
          <w:szCs w:val="22"/>
        </w:rPr>
        <w:t>Option 5,</w:t>
      </w:r>
      <w:r w:rsidRPr="00CC1ADD">
        <w:rPr>
          <w:sz w:val="22"/>
          <w:szCs w:val="22"/>
        </w:rPr>
        <w:t xml:space="preserve"> the energy icon</w:t>
      </w:r>
      <w:r w:rsidR="00672D99">
        <w:rPr>
          <w:sz w:val="22"/>
          <w:szCs w:val="22"/>
        </w:rPr>
        <w:t>,</w:t>
      </w:r>
      <w:r w:rsidRPr="00CC1ADD">
        <w:rPr>
          <w:sz w:val="22"/>
          <w:szCs w:val="22"/>
        </w:rPr>
        <w:t xml:space="preserve"> might be used.</w:t>
      </w:r>
    </w:p>
    <w:p w14:paraId="7DC7CFE5" w14:textId="77777777" w:rsidR="00F43B13" w:rsidRPr="00CC1ADD" w:rsidRDefault="00F43B13">
      <w:pPr>
        <w:rPr>
          <w:rFonts w:cstheme="minorHAnsi"/>
          <w:sz w:val="22"/>
          <w:szCs w:val="22"/>
        </w:rPr>
      </w:pPr>
    </w:p>
    <w:p w14:paraId="757F6F09" w14:textId="77777777" w:rsidR="00F43B13" w:rsidRPr="00CC1ADD" w:rsidRDefault="00F43B13">
      <w:pPr>
        <w:pStyle w:val="mpcheading2"/>
        <w:spacing w:after="0"/>
        <w:rPr>
          <w:rFonts w:cstheme="minorHAnsi"/>
          <w:szCs w:val="22"/>
        </w:rPr>
      </w:pPr>
      <w:bookmarkStart w:id="44" w:name="Calculating"/>
      <w:bookmarkStart w:id="45" w:name="_Toc9955033"/>
      <w:bookmarkEnd w:id="44"/>
      <w:r w:rsidRPr="00CC1ADD">
        <w:rPr>
          <w:rFonts w:cstheme="minorHAnsi"/>
          <w:szCs w:val="22"/>
        </w:rPr>
        <w:t>Calculating the HSR</w:t>
      </w:r>
      <w:bookmarkEnd w:id="45"/>
    </w:p>
    <w:p w14:paraId="34D3AD5F" w14:textId="77777777" w:rsidR="00F43B13" w:rsidRPr="00CC1ADD" w:rsidRDefault="00F43B13" w:rsidP="0013165D">
      <w:pPr>
        <w:pStyle w:val="mpcNormal"/>
        <w:keepNext w:val="0"/>
      </w:pPr>
    </w:p>
    <w:p w14:paraId="74C21640" w14:textId="77777777" w:rsidR="00FC782A" w:rsidRPr="00CC1ADD" w:rsidRDefault="00FC782A" w:rsidP="00FC782A">
      <w:pPr>
        <w:pStyle w:val="mpcNormal"/>
        <w:keepNext w:val="0"/>
      </w:pPr>
      <w:r w:rsidRPr="00CC1ADD">
        <w:t>The HSR System has been optimised for application to packaged food and beverage products presented for retail sale through supermarkets and similar retail outlets.</w:t>
      </w:r>
      <w:r w:rsidRPr="00CC1ADD">
        <w:rPr>
          <w:rStyle w:val="FootnoteReference"/>
          <w:sz w:val="22"/>
        </w:rPr>
        <w:footnoteReference w:id="4"/>
      </w:r>
    </w:p>
    <w:p w14:paraId="32DF4206" w14:textId="77777777" w:rsidR="00FC782A" w:rsidRDefault="00FC782A" w:rsidP="0013165D">
      <w:pPr>
        <w:pStyle w:val="mpcNormal"/>
        <w:keepNext w:val="0"/>
      </w:pPr>
    </w:p>
    <w:p w14:paraId="37AEEE27" w14:textId="2AFFD01A" w:rsidR="00F43B13" w:rsidRPr="00CC1ADD" w:rsidRDefault="00F43B13" w:rsidP="0013165D">
      <w:pPr>
        <w:pStyle w:val="mpcNormal"/>
        <w:keepNext w:val="0"/>
      </w:pPr>
      <w:r w:rsidRPr="00CC1ADD">
        <w:t xml:space="preserve">HSRs are calculated using </w:t>
      </w:r>
      <w:r w:rsidR="00672D99">
        <w:t>the HSR Calculator</w:t>
      </w:r>
      <w:r w:rsidRPr="00CC1ADD">
        <w:t xml:space="preserve">, derived from the NPSC, that assigns points based on the nutrient content of 100 grams (or millilitres) of a food. </w:t>
      </w:r>
      <w:r w:rsidR="002F0EC0" w:rsidRPr="00CC1ADD">
        <w:t>Products can score from half a star (least healthy) to five stars (most healthy) in half-star increments.</w:t>
      </w:r>
    </w:p>
    <w:p w14:paraId="4CF32370" w14:textId="77777777" w:rsidR="00F43B13" w:rsidRPr="00CC1ADD" w:rsidRDefault="00F43B13" w:rsidP="0013165D">
      <w:pPr>
        <w:pStyle w:val="mpcNormal"/>
        <w:keepNext w:val="0"/>
      </w:pPr>
    </w:p>
    <w:p w14:paraId="26A34E4A" w14:textId="076D21EE" w:rsidR="00F43B13" w:rsidRPr="00CC1ADD" w:rsidRDefault="00F43B13" w:rsidP="0013165D">
      <w:pPr>
        <w:pStyle w:val="mpcNormal"/>
        <w:keepNext w:val="0"/>
      </w:pPr>
      <w:r w:rsidRPr="00CC1ADD">
        <w:t xml:space="preserve">The </w:t>
      </w:r>
      <w:r w:rsidR="00591AAD">
        <w:t>Calculator</w:t>
      </w:r>
      <w:r w:rsidRPr="00CC1ADD">
        <w:t xml:space="preserve"> considers the </w:t>
      </w:r>
      <w:r w:rsidR="006057F0">
        <w:t xml:space="preserve">content of foods in terms of both </w:t>
      </w:r>
      <w:r w:rsidRPr="00CC1ADD">
        <w:t>negative components</w:t>
      </w:r>
      <w:r w:rsidR="006057F0">
        <w:t>,</w:t>
      </w:r>
      <w:r w:rsidRPr="00CC1ADD">
        <w:t xml:space="preserve"> that Dietary Guidelines reco</w:t>
      </w:r>
      <w:r w:rsidRPr="00010CF6">
        <w:t xml:space="preserve">mmend </w:t>
      </w:r>
      <w:r w:rsidR="00010CF6" w:rsidRPr="00010CF6">
        <w:t>limiting</w:t>
      </w:r>
      <w:r w:rsidRPr="00010CF6">
        <w:t xml:space="preserve"> (energy, saturated fat, sugars, sodium)</w:t>
      </w:r>
      <w:r w:rsidR="006057F0" w:rsidRPr="00010CF6">
        <w:t>;</w:t>
      </w:r>
      <w:r w:rsidRPr="00010CF6">
        <w:t xml:space="preserve"> and</w:t>
      </w:r>
      <w:r w:rsidRPr="00CC1ADD">
        <w:t xml:space="preserve"> positive components that Dietary Guidelines recommend </w:t>
      </w:r>
      <w:r w:rsidR="00331DEF">
        <w:t>consuming</w:t>
      </w:r>
      <w:r w:rsidRPr="00CC1ADD">
        <w:t xml:space="preserve"> (protein, dietary fibre</w:t>
      </w:r>
      <w:r w:rsidR="00591AAD">
        <w:t xml:space="preserve"> and</w:t>
      </w:r>
      <w:r w:rsidRPr="00CC1ADD">
        <w:t xml:space="preserve"> fruits, vegetables, nuts and legumes</w:t>
      </w:r>
      <w:r w:rsidR="00591AAD">
        <w:t xml:space="preserve"> (FVNL)</w:t>
      </w:r>
      <w:r w:rsidRPr="00CC1ADD">
        <w:t xml:space="preserve">). </w:t>
      </w:r>
    </w:p>
    <w:p w14:paraId="61FF351D" w14:textId="77777777" w:rsidR="00F43B13" w:rsidRPr="00CC1ADD" w:rsidRDefault="00F43B13" w:rsidP="0013165D">
      <w:pPr>
        <w:pStyle w:val="mpcNormal"/>
        <w:keepNext w:val="0"/>
      </w:pPr>
    </w:p>
    <w:p w14:paraId="16A57746" w14:textId="474BA7D9" w:rsidR="00F43B13" w:rsidRPr="00CC1ADD" w:rsidRDefault="00591AAD" w:rsidP="0013165D">
      <w:pPr>
        <w:pStyle w:val="mpcNormal"/>
        <w:keepNext w:val="0"/>
      </w:pPr>
      <w:r>
        <w:t>HSRs</w:t>
      </w:r>
      <w:r w:rsidR="00F43B13" w:rsidRPr="00CC1ADD">
        <w:t xml:space="preserve"> are calculated by awarding points for these negative and positive components of the food, whereby negative points can be partially offset by positive points. The hypothetical combination of maximum values for all risk-associated (negative) components has roughly twice the impact on final scores compared with the combination of all beneficial-offset (positive) components. There are also rules that ensure that adding small amounts of certain ingredients to a food will not disproportionally increase a food’s HSR. For example, </w:t>
      </w:r>
      <w:r>
        <w:t>FVNL</w:t>
      </w:r>
      <w:r w:rsidR="00F43B13" w:rsidRPr="00CC1ADD">
        <w:t xml:space="preserve"> content must be over 40% of the total food before </w:t>
      </w:r>
      <w:r>
        <w:t>it</w:t>
      </w:r>
      <w:r w:rsidR="00F43B13" w:rsidRPr="00CC1ADD">
        <w:t xml:space="preserve"> start</w:t>
      </w:r>
      <w:r>
        <w:t>s</w:t>
      </w:r>
      <w:r w:rsidR="00F43B13" w:rsidRPr="00CC1ADD">
        <w:t xml:space="preserve"> counting towards the HSR.</w:t>
      </w:r>
    </w:p>
    <w:p w14:paraId="64DD74D2" w14:textId="77777777" w:rsidR="00F43B13" w:rsidRPr="00CC1ADD" w:rsidRDefault="00F43B13" w:rsidP="0013165D">
      <w:pPr>
        <w:pStyle w:val="mpcNormal"/>
        <w:keepNext w:val="0"/>
      </w:pPr>
    </w:p>
    <w:p w14:paraId="1ED78591" w14:textId="4D060BA4" w:rsidR="00F43B13" w:rsidRPr="00CC1ADD" w:rsidRDefault="00F43B13" w:rsidP="0013165D">
      <w:pPr>
        <w:pStyle w:val="mpcNormal"/>
        <w:keepNext w:val="0"/>
      </w:pPr>
      <w:r w:rsidRPr="00CC1ADD">
        <w:t xml:space="preserve">The HSR Calculator is adjusted for different HSR </w:t>
      </w:r>
      <w:r w:rsidR="00153CBD">
        <w:t>c</w:t>
      </w:r>
      <w:r w:rsidRPr="00CC1ADD">
        <w:t>ategories to account for the differing nutrient compositions of different types of foods. There are six food categories in the HSR System: non-dairy beverages</w:t>
      </w:r>
      <w:r w:rsidR="00677D90">
        <w:t xml:space="preserve"> (Category 1)</w:t>
      </w:r>
      <w:r w:rsidRPr="00CC1ADD">
        <w:t>; oils and spreads</w:t>
      </w:r>
      <w:r w:rsidR="00677D90">
        <w:t xml:space="preserve"> (Category 3)</w:t>
      </w:r>
      <w:r w:rsidRPr="00CC1ADD">
        <w:t>; other non-dairy foods</w:t>
      </w:r>
      <w:r w:rsidR="00677D90">
        <w:t xml:space="preserve"> (Category 2)</w:t>
      </w:r>
      <w:r w:rsidRPr="00CC1ADD">
        <w:t>; dairy beverages</w:t>
      </w:r>
      <w:r w:rsidR="00677D90">
        <w:t xml:space="preserve"> (Category 1D)</w:t>
      </w:r>
      <w:r w:rsidRPr="00CC1ADD">
        <w:t>; cheeses</w:t>
      </w:r>
      <w:r w:rsidR="00677D90">
        <w:t xml:space="preserve"> (Category 3D)</w:t>
      </w:r>
      <w:r w:rsidRPr="00CC1ADD">
        <w:t>; and other dairy foods</w:t>
      </w:r>
      <w:r w:rsidR="00677D90">
        <w:t xml:space="preserve"> (Category 2D)</w:t>
      </w:r>
      <w:r w:rsidRPr="00CC1ADD">
        <w:t>. Separate dairy categories were created to account for the health benefits of eating basic dairy foods.</w:t>
      </w:r>
      <w:r w:rsidRPr="00CC1ADD">
        <w:rPr>
          <w:rStyle w:val="FootnoteReference"/>
          <w:sz w:val="22"/>
        </w:rPr>
        <w:footnoteReference w:id="5"/>
      </w:r>
    </w:p>
    <w:p w14:paraId="134C6449" w14:textId="77777777" w:rsidR="00F43B13" w:rsidRPr="00CC1ADD" w:rsidRDefault="00F43B13" w:rsidP="0013165D">
      <w:pPr>
        <w:pStyle w:val="mpcNormal"/>
        <w:keepNext w:val="0"/>
      </w:pPr>
    </w:p>
    <w:p w14:paraId="74B00149" w14:textId="77777777" w:rsidR="00F43B13" w:rsidRPr="00CC1ADD" w:rsidRDefault="00F43B13" w:rsidP="0013165D">
      <w:pPr>
        <w:pStyle w:val="mpcNormal"/>
        <w:keepNext w:val="0"/>
      </w:pPr>
      <w:r w:rsidRPr="00CC1ADD">
        <w:t>The following provides an example of how to calculate a product’s HSR:</w:t>
      </w:r>
    </w:p>
    <w:p w14:paraId="1F2E3346" w14:textId="77777777" w:rsidR="00F43B13" w:rsidRPr="00CC1ADD" w:rsidRDefault="00F43B13" w:rsidP="005A3631">
      <w:pPr>
        <w:pStyle w:val="mpctableheading"/>
      </w:pPr>
    </w:p>
    <w:tbl>
      <w:tblPr>
        <w:tblStyle w:val="TableGrid"/>
        <w:tblW w:w="0" w:type="auto"/>
        <w:tblLook w:val="04A0" w:firstRow="1" w:lastRow="0" w:firstColumn="1" w:lastColumn="0" w:noHBand="0" w:noVBand="1"/>
        <w:tblCaption w:val="Table example"/>
      </w:tblPr>
      <w:tblGrid>
        <w:gridCol w:w="9736"/>
      </w:tblGrid>
      <w:tr w:rsidR="00F43B13" w:rsidRPr="00CC1ADD" w14:paraId="6A42AE7C" w14:textId="77777777" w:rsidTr="00B36208">
        <w:tc>
          <w:tcPr>
            <w:tcW w:w="9736" w:type="dxa"/>
            <w:shd w:val="clear" w:color="auto" w:fill="F2F2F2" w:themeFill="background1" w:themeFillShade="F2"/>
          </w:tcPr>
          <w:p w14:paraId="4A71D1AE" w14:textId="77777777" w:rsidR="00F43B13" w:rsidRPr="00CC1ADD" w:rsidRDefault="00F43B13" w:rsidP="0013165D">
            <w:pPr>
              <w:pStyle w:val="mpcNormal"/>
              <w:keepNext w:val="0"/>
            </w:pPr>
            <w:r w:rsidRPr="00CC1ADD">
              <w:t>To determine the HSR of a breakfast cereal:</w:t>
            </w:r>
          </w:p>
          <w:p w14:paraId="0B85E478" w14:textId="77777777" w:rsidR="00F43B13" w:rsidRPr="00CC1ADD" w:rsidRDefault="00F43B13" w:rsidP="0013165D">
            <w:pPr>
              <w:pStyle w:val="mpcNormal"/>
              <w:keepNext w:val="0"/>
            </w:pPr>
          </w:p>
          <w:p w14:paraId="2A9A846B" w14:textId="5C68DDC6" w:rsidR="00F43B13" w:rsidRPr="00153CBD" w:rsidRDefault="00752513" w:rsidP="0013165D">
            <w:pPr>
              <w:pStyle w:val="mpcheading4"/>
              <w:keepNext w:val="0"/>
            </w:pPr>
            <w:r w:rsidRPr="00153CBD">
              <w:t xml:space="preserve">Step 1. </w:t>
            </w:r>
            <w:r w:rsidR="00F43B13" w:rsidRPr="00153CBD">
              <w:t>Determine the category of food.</w:t>
            </w:r>
          </w:p>
          <w:p w14:paraId="04D6D8E3" w14:textId="77777777" w:rsidR="00F43B13" w:rsidRPr="00CC1ADD" w:rsidRDefault="00F43B13" w:rsidP="0013165D">
            <w:pPr>
              <w:pStyle w:val="mpcNormal"/>
              <w:keepNext w:val="0"/>
            </w:pPr>
            <w:r w:rsidRPr="00CC1ADD">
              <w:t>Category 2 includes all foods not included in Category 1, 1D, 2D, 3 or 3D, including breakfast cereals.</w:t>
            </w:r>
          </w:p>
          <w:p w14:paraId="414B320A" w14:textId="77777777" w:rsidR="00F43B13" w:rsidRPr="00CC1ADD" w:rsidRDefault="00F43B13" w:rsidP="0013165D">
            <w:pPr>
              <w:pStyle w:val="mpcNormal"/>
              <w:keepNext w:val="0"/>
            </w:pPr>
          </w:p>
          <w:p w14:paraId="7CCB7E99" w14:textId="198EDC27" w:rsidR="00F43B13" w:rsidRPr="00153CBD" w:rsidRDefault="00752513" w:rsidP="0013165D">
            <w:pPr>
              <w:pStyle w:val="mpcheading4"/>
              <w:keepNext w:val="0"/>
            </w:pPr>
            <w:r w:rsidRPr="00153CBD">
              <w:t xml:space="preserve">Step 2. </w:t>
            </w:r>
            <w:r w:rsidR="00F43B13" w:rsidRPr="00153CBD">
              <w:t>Using the points tables and guidance in the Guide for Industry</w:t>
            </w:r>
            <w:r w:rsidR="00063F3C" w:rsidRPr="00153CBD">
              <w:t xml:space="preserve"> to the HSR Calculator</w:t>
            </w:r>
            <w:r w:rsidR="00F43B13" w:rsidRPr="00153CBD">
              <w:t>, calculate:</w:t>
            </w:r>
          </w:p>
          <w:p w14:paraId="25C4B309" w14:textId="77777777" w:rsidR="00F43B13" w:rsidRPr="00CC1ADD" w:rsidRDefault="00F43B13" w:rsidP="0013165D">
            <w:pPr>
              <w:pStyle w:val="mpcNormal"/>
              <w:keepNext w:val="0"/>
            </w:pPr>
          </w:p>
          <w:p w14:paraId="06153910" w14:textId="77777777" w:rsidR="00F43B13" w:rsidRPr="00CC1ADD" w:rsidRDefault="00F43B13" w:rsidP="007E0D2C">
            <w:pPr>
              <w:pStyle w:val="mpcbullets1"/>
              <w:numPr>
                <w:ilvl w:val="0"/>
                <w:numId w:val="8"/>
              </w:numPr>
            </w:pPr>
            <w:r w:rsidRPr="00CC1ADD">
              <w:t>baseline points for negative components</w:t>
            </w:r>
          </w:p>
          <w:tbl>
            <w:tblPr>
              <w:tblW w:w="0" w:type="auto"/>
              <w:tblInd w:w="700" w:type="dxa"/>
              <w:tblCellMar>
                <w:top w:w="15" w:type="dxa"/>
                <w:left w:w="15" w:type="dxa"/>
                <w:bottom w:w="15" w:type="dxa"/>
                <w:right w:w="15" w:type="dxa"/>
              </w:tblCellMar>
              <w:tblLook w:val="04A0" w:firstRow="1" w:lastRow="0" w:firstColumn="1" w:lastColumn="0" w:noHBand="0" w:noVBand="1"/>
              <w:tblCaption w:val="Baseline points"/>
              <w:tblDescription w:val="Energy = 1125kJ/100g which equals 3 baseline points.&#10;Saturated fat = 1.1g/100g which equals 1 baseline point.&#10;Total sugars = 22.9mg/100g which equals 5 baseline points.&#10;Sodium = 142mg/100g which equals 1 baseline point.&#10;Total baseline points = 10."/>
            </w:tblPr>
            <w:tblGrid>
              <w:gridCol w:w="3114"/>
              <w:gridCol w:w="1284"/>
              <w:gridCol w:w="1985"/>
            </w:tblGrid>
            <w:tr w:rsidR="00F43B13" w:rsidRPr="00CC1ADD" w14:paraId="36C11C43"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516A8E"/>
                  <w:hideMark/>
                </w:tcPr>
                <w:p w14:paraId="773AD7A7" w14:textId="77777777" w:rsidR="00F43B13" w:rsidRPr="00CC1ADD" w:rsidRDefault="00F43B13">
                  <w:pPr>
                    <w:rPr>
                      <w:rFonts w:eastAsia="Times New Roman" w:cstheme="minorHAnsi"/>
                      <w:color w:val="FFFFFF" w:themeColor="background1"/>
                      <w:sz w:val="20"/>
                      <w:szCs w:val="20"/>
                    </w:rPr>
                  </w:pPr>
                  <w:bookmarkStart w:id="46" w:name="ComponentA"/>
                  <w:bookmarkEnd w:id="46"/>
                  <w:r w:rsidRPr="00CC1ADD">
                    <w:rPr>
                      <w:rFonts w:eastAsia="Times New Roman" w:cstheme="minorHAnsi"/>
                      <w:b/>
                      <w:bCs/>
                      <w:color w:val="FFFFFF" w:themeColor="background1"/>
                      <w:sz w:val="20"/>
                      <w:szCs w:val="20"/>
                    </w:rPr>
                    <w:t xml:space="preserve">Component </w:t>
                  </w:r>
                </w:p>
              </w:tc>
              <w:tc>
                <w:tcPr>
                  <w:tcW w:w="1284" w:type="dxa"/>
                  <w:tcBorders>
                    <w:top w:val="single" w:sz="4" w:space="0" w:color="000000"/>
                    <w:left w:val="single" w:sz="4" w:space="0" w:color="000000"/>
                    <w:bottom w:val="single" w:sz="4" w:space="0" w:color="000000"/>
                    <w:right w:val="single" w:sz="4" w:space="0" w:color="000000"/>
                  </w:tcBorders>
                  <w:shd w:val="clear" w:color="auto" w:fill="516A8E"/>
                  <w:hideMark/>
                </w:tcPr>
                <w:p w14:paraId="27700E64" w14:textId="3127C3A2" w:rsidR="00F43B13" w:rsidRPr="00CC1ADD" w:rsidRDefault="00F43B13">
                  <w:pPr>
                    <w:rPr>
                      <w:rFonts w:eastAsia="Times New Roman" w:cstheme="minorHAnsi"/>
                      <w:color w:val="FFFFFF" w:themeColor="background1"/>
                      <w:sz w:val="20"/>
                      <w:szCs w:val="20"/>
                    </w:rPr>
                  </w:pPr>
                  <w:r w:rsidRPr="00CC1ADD">
                    <w:rPr>
                      <w:rFonts w:eastAsia="Times New Roman" w:cstheme="minorHAnsi"/>
                      <w:b/>
                      <w:bCs/>
                      <w:color w:val="FFFFFF" w:themeColor="background1"/>
                      <w:sz w:val="20"/>
                      <w:szCs w:val="20"/>
                    </w:rPr>
                    <w:t>Per 100 g</w:t>
                  </w:r>
                  <w:r w:rsidRPr="00CC1ADD">
                    <w:rPr>
                      <w:rFonts w:eastAsia="Times New Roman" w:cstheme="minorHAnsi"/>
                      <w:color w:val="FFFFFF" w:themeColor="background1"/>
                      <w:sz w:val="20"/>
                      <w:szCs w:val="20"/>
                    </w:rPr>
                    <w:fldChar w:fldCharType="begin"/>
                  </w:r>
                  <w:r w:rsidR="00655A22">
                    <w:rPr>
                      <w:rFonts w:eastAsia="Times New Roman" w:cstheme="minorHAnsi"/>
                      <w:color w:val="FFFFFF" w:themeColor="background1"/>
                      <w:sz w:val="20"/>
                      <w:szCs w:val="20"/>
                    </w:rPr>
                    <w:instrText xml:space="preserve"> INCLUDEPICTURE "\\\\central.health\\var\\folders\\s1\\bnbd0j0s67n_t2jkkb4j9k6m0000gn\\T\\com.microsoft.Word\\WebArchiveCopyPasteTempFiles\\page30image1658940192" \* MERGEFORMAT </w:instrText>
                  </w:r>
                  <w:r w:rsidRPr="00CC1ADD">
                    <w:rPr>
                      <w:rFonts w:eastAsia="Times New Roman" w:cstheme="minorHAnsi"/>
                      <w:color w:val="FFFFFF" w:themeColor="background1"/>
                      <w:sz w:val="20"/>
                      <w:szCs w:val="20"/>
                    </w:rPr>
                    <w:fldChar w:fldCharType="separate"/>
                  </w:r>
                  <w:r w:rsidRPr="00CC1ADD">
                    <w:rPr>
                      <w:rFonts w:eastAsia="Times New Roman" w:cstheme="minorHAnsi"/>
                      <w:noProof/>
                      <w:color w:val="FFFFFF" w:themeColor="background1"/>
                      <w:sz w:val="20"/>
                      <w:szCs w:val="20"/>
                      <w:lang w:eastAsia="en-AU"/>
                    </w:rPr>
                    <w:drawing>
                      <wp:inline distT="0" distB="0" distL="0" distR="0" wp14:anchorId="3636AEF2" wp14:editId="7F4BE6AE">
                        <wp:extent cx="18415" cy="18415"/>
                        <wp:effectExtent l="0" t="0" r="0" b="0"/>
                        <wp:docPr id="15" name="Picture 15" descr="page30image165894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30image16589401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eastAsia="Times New Roman" w:cstheme="minorHAnsi"/>
                      <w:color w:val="FFFFFF" w:themeColor="background1"/>
                      <w:sz w:val="20"/>
                      <w:szCs w:val="20"/>
                    </w:rPr>
                    <w:fldChar w:fldCharType="end"/>
                  </w:r>
                </w:p>
              </w:tc>
              <w:tc>
                <w:tcPr>
                  <w:tcW w:w="1985" w:type="dxa"/>
                  <w:tcBorders>
                    <w:top w:val="single" w:sz="4" w:space="0" w:color="000000"/>
                    <w:left w:val="single" w:sz="4" w:space="0" w:color="000000"/>
                    <w:bottom w:val="single" w:sz="4" w:space="0" w:color="000000"/>
                    <w:right w:val="single" w:sz="4" w:space="0" w:color="000000"/>
                  </w:tcBorders>
                  <w:shd w:val="clear" w:color="auto" w:fill="516A8E"/>
                </w:tcPr>
                <w:p w14:paraId="10E4DB63" w14:textId="77777777" w:rsidR="00F43B13" w:rsidRPr="00CC1ADD" w:rsidRDefault="00F43B13">
                  <w:pPr>
                    <w:rPr>
                      <w:rFonts w:eastAsia="Times New Roman" w:cstheme="minorHAnsi"/>
                      <w:b/>
                      <w:bCs/>
                      <w:color w:val="FFFFFF" w:themeColor="background1"/>
                      <w:sz w:val="20"/>
                      <w:szCs w:val="20"/>
                    </w:rPr>
                  </w:pPr>
                  <w:r w:rsidRPr="00CC1ADD">
                    <w:rPr>
                      <w:rFonts w:eastAsia="Times New Roman" w:cstheme="minorHAnsi"/>
                      <w:b/>
                      <w:bCs/>
                      <w:color w:val="FFFFFF" w:themeColor="background1"/>
                      <w:sz w:val="20"/>
                      <w:szCs w:val="20"/>
                    </w:rPr>
                    <w:t>Baseline points</w:t>
                  </w:r>
                </w:p>
              </w:tc>
            </w:tr>
            <w:tr w:rsidR="00F43B13" w:rsidRPr="00CC1ADD" w14:paraId="3579A1C5"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9661221"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 xml:space="preserve">Energy </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BD24305"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1125 kJ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61F826" w14:textId="77777777" w:rsidR="00F43B13" w:rsidRPr="00CC1ADD" w:rsidRDefault="00F43B13">
                  <w:pPr>
                    <w:rPr>
                      <w:rFonts w:eastAsia="Times New Roman" w:cstheme="minorHAnsi"/>
                      <w:sz w:val="20"/>
                      <w:szCs w:val="20"/>
                    </w:rPr>
                  </w:pPr>
                  <w:r w:rsidRPr="00CC1ADD">
                    <w:rPr>
                      <w:rFonts w:eastAsia="Times New Roman" w:cstheme="minorHAnsi"/>
                      <w:sz w:val="20"/>
                      <w:szCs w:val="20"/>
                    </w:rPr>
                    <w:t>3</w:t>
                  </w:r>
                </w:p>
              </w:tc>
            </w:tr>
            <w:tr w:rsidR="00F43B13" w:rsidRPr="00CC1ADD" w14:paraId="52E5432E"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63FE5D9" w14:textId="1B2DEDBF" w:rsidR="00F43B13" w:rsidRPr="00CC1ADD" w:rsidRDefault="00F43B13" w:rsidP="005A3631">
                  <w:pPr>
                    <w:rPr>
                      <w:rFonts w:eastAsia="Times New Roman" w:cstheme="minorHAnsi"/>
                      <w:sz w:val="20"/>
                      <w:szCs w:val="20"/>
                    </w:rPr>
                  </w:pPr>
                  <w:r w:rsidRPr="00CC1ADD">
                    <w:rPr>
                      <w:rFonts w:eastAsia="Times New Roman" w:cstheme="minorHAnsi"/>
                      <w:sz w:val="20"/>
                      <w:szCs w:val="20"/>
                    </w:rPr>
                    <w:t>Saturated fat</w:t>
                  </w:r>
                  <w:r w:rsidRPr="00CC1ADD">
                    <w:rPr>
                      <w:rFonts w:eastAsia="Times New Roman" w:cstheme="minorHAnsi"/>
                      <w:sz w:val="20"/>
                      <w:szCs w:val="20"/>
                    </w:rPr>
                    <w:fldChar w:fldCharType="begin"/>
                  </w:r>
                  <w:r w:rsidR="00655A22">
                    <w:rPr>
                      <w:rFonts w:eastAsia="Times New Roman" w:cstheme="minorHAnsi"/>
                      <w:sz w:val="20"/>
                      <w:szCs w:val="20"/>
                    </w:rPr>
                    <w:instrText xml:space="preserve"> INCLUDEPICTURE "\\\\central.health\\var\\folders\\s1\\bnbd0j0s67n_t2jkkb4j9k6m0000gn\\T\\com.microsoft.Word\\WebArchiveCopyPasteTempFiles\\page30image1658958720" \* MERGEFORMAT </w:instrText>
                  </w:r>
                  <w:r w:rsidRPr="00CC1ADD">
                    <w:rPr>
                      <w:rFonts w:eastAsia="Times New Roman" w:cstheme="minorHAnsi"/>
                      <w:sz w:val="20"/>
                      <w:szCs w:val="20"/>
                    </w:rPr>
                    <w:fldChar w:fldCharType="separate"/>
                  </w:r>
                  <w:r w:rsidRPr="00CC1ADD">
                    <w:rPr>
                      <w:rFonts w:eastAsia="Times New Roman" w:cstheme="minorHAnsi"/>
                      <w:noProof/>
                      <w:sz w:val="20"/>
                      <w:szCs w:val="20"/>
                      <w:lang w:eastAsia="en-AU"/>
                    </w:rPr>
                    <w:drawing>
                      <wp:inline distT="0" distB="0" distL="0" distR="0" wp14:anchorId="065254B2" wp14:editId="1DDDA5D6">
                        <wp:extent cx="18415" cy="18415"/>
                        <wp:effectExtent l="0" t="0" r="0" b="0"/>
                        <wp:docPr id="16" name="Picture 16" descr="page30image165895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ge30image16589587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eastAsia="Times New Roman" w:cstheme="minorHAnsi"/>
                      <w:sz w:val="20"/>
                      <w:szCs w:val="20"/>
                    </w:rPr>
                    <w:fldChar w:fldCharType="end"/>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C618329"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1.1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3F180C1" w14:textId="77777777" w:rsidR="00F43B13" w:rsidRPr="00CC1ADD" w:rsidRDefault="00F43B13">
                  <w:pPr>
                    <w:rPr>
                      <w:rFonts w:eastAsia="Times New Roman" w:cstheme="minorHAnsi"/>
                      <w:sz w:val="20"/>
                      <w:szCs w:val="20"/>
                    </w:rPr>
                  </w:pPr>
                  <w:r w:rsidRPr="00CC1ADD">
                    <w:rPr>
                      <w:rFonts w:eastAsia="Times New Roman" w:cstheme="minorHAnsi"/>
                      <w:sz w:val="20"/>
                      <w:szCs w:val="20"/>
                    </w:rPr>
                    <w:t>1</w:t>
                  </w:r>
                </w:p>
              </w:tc>
            </w:tr>
            <w:tr w:rsidR="00F43B13" w:rsidRPr="00CC1ADD" w14:paraId="2FE87640"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04F1819"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 xml:space="preserve">Total sugars </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55C4F80"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22.9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62A1DD" w14:textId="77777777" w:rsidR="00F43B13" w:rsidRPr="00CC1ADD" w:rsidRDefault="00F43B13">
                  <w:pPr>
                    <w:rPr>
                      <w:rFonts w:eastAsia="Times New Roman" w:cstheme="minorHAnsi"/>
                      <w:sz w:val="20"/>
                      <w:szCs w:val="20"/>
                    </w:rPr>
                  </w:pPr>
                  <w:r w:rsidRPr="00CC1ADD">
                    <w:rPr>
                      <w:rFonts w:eastAsia="Times New Roman" w:cstheme="minorHAnsi"/>
                      <w:sz w:val="20"/>
                      <w:szCs w:val="20"/>
                    </w:rPr>
                    <w:t>5</w:t>
                  </w:r>
                </w:p>
              </w:tc>
            </w:tr>
            <w:tr w:rsidR="00F43B13" w:rsidRPr="00CC1ADD" w14:paraId="5BA86C5B"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40D3C5C"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 xml:space="preserve">Sodium </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AD1575D"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142 mg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113845" w14:textId="77777777" w:rsidR="00F43B13" w:rsidRPr="00CC1ADD" w:rsidRDefault="00F43B13">
                  <w:pPr>
                    <w:rPr>
                      <w:rFonts w:eastAsia="Times New Roman" w:cstheme="minorHAnsi"/>
                      <w:sz w:val="20"/>
                      <w:szCs w:val="20"/>
                    </w:rPr>
                  </w:pPr>
                  <w:r w:rsidRPr="00CC1ADD">
                    <w:rPr>
                      <w:rFonts w:eastAsia="Times New Roman" w:cstheme="minorHAnsi"/>
                      <w:sz w:val="20"/>
                      <w:szCs w:val="20"/>
                    </w:rPr>
                    <w:t>1</w:t>
                  </w:r>
                </w:p>
              </w:tc>
            </w:tr>
            <w:tr w:rsidR="00F43B13" w:rsidRPr="00CC1ADD" w14:paraId="37A0E484" w14:textId="77777777" w:rsidTr="00E254FE">
              <w:tc>
                <w:tcPr>
                  <w:tcW w:w="311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751CF39" w14:textId="77777777" w:rsidR="00F43B13" w:rsidRPr="00CC1ADD" w:rsidRDefault="00F43B13" w:rsidP="005A3631">
                  <w:pPr>
                    <w:rPr>
                      <w:rFonts w:eastAsia="Times New Roman" w:cstheme="minorHAnsi"/>
                      <w:b/>
                      <w:i/>
                      <w:sz w:val="20"/>
                      <w:szCs w:val="20"/>
                    </w:rPr>
                  </w:pPr>
                  <w:r w:rsidRPr="00CC1ADD">
                    <w:rPr>
                      <w:rFonts w:eastAsia="Times New Roman" w:cstheme="minorHAnsi"/>
                      <w:b/>
                      <w:i/>
                      <w:sz w:val="20"/>
                      <w:szCs w:val="20"/>
                    </w:rPr>
                    <w:t>Total baseline points</w:t>
                  </w:r>
                </w:p>
              </w:tc>
              <w:tc>
                <w:tcPr>
                  <w:tcW w:w="1284"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87BAB0" w14:textId="41D888AB" w:rsidR="00F43B13" w:rsidRPr="00CC1ADD" w:rsidRDefault="004702C5">
                  <w:pPr>
                    <w:rPr>
                      <w:rFonts w:eastAsia="Times New Roman" w:cstheme="minorHAnsi"/>
                      <w:sz w:val="20"/>
                      <w:szCs w:val="20"/>
                    </w:rPr>
                  </w:pPr>
                  <w:r>
                    <w:rPr>
                      <w:rFonts w:eastAsia="Times New Roman" w:cstheme="minorHAnsi"/>
                      <w:sz w:val="20"/>
                      <w:szCs w:val="20"/>
                    </w:rPr>
                    <w:t>-</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A11CAE1" w14:textId="77777777" w:rsidR="00F43B13" w:rsidRPr="00CC1ADD" w:rsidRDefault="00F43B13">
                  <w:pPr>
                    <w:rPr>
                      <w:rFonts w:eastAsia="Times New Roman" w:cstheme="minorHAnsi"/>
                      <w:b/>
                      <w:i/>
                      <w:sz w:val="20"/>
                      <w:szCs w:val="20"/>
                    </w:rPr>
                  </w:pPr>
                  <w:r w:rsidRPr="00CC1ADD">
                    <w:rPr>
                      <w:rFonts w:eastAsia="Times New Roman" w:cstheme="minorHAnsi"/>
                      <w:b/>
                      <w:i/>
                      <w:sz w:val="20"/>
                      <w:szCs w:val="20"/>
                    </w:rPr>
                    <w:t>10</w:t>
                  </w:r>
                </w:p>
              </w:tc>
            </w:tr>
          </w:tbl>
          <w:p w14:paraId="326B806F" w14:textId="77777777" w:rsidR="00F43B13" w:rsidRPr="00CC1ADD" w:rsidRDefault="00F43B13" w:rsidP="0013165D">
            <w:pPr>
              <w:pStyle w:val="mpcNormal"/>
              <w:keepNext w:val="0"/>
            </w:pPr>
          </w:p>
          <w:p w14:paraId="612AEC0D" w14:textId="77777777" w:rsidR="00F43B13" w:rsidRPr="00CC1ADD" w:rsidRDefault="00F43B13" w:rsidP="007E0D2C">
            <w:pPr>
              <w:pStyle w:val="mpcbullets1"/>
              <w:numPr>
                <w:ilvl w:val="0"/>
                <w:numId w:val="8"/>
              </w:numPr>
            </w:pPr>
            <w:r w:rsidRPr="00CC1ADD">
              <w:t>modifying points for positive components</w:t>
            </w:r>
          </w:p>
          <w:tbl>
            <w:tblPr>
              <w:tblW w:w="0" w:type="auto"/>
              <w:tblInd w:w="700" w:type="dxa"/>
              <w:tblCellMar>
                <w:top w:w="15" w:type="dxa"/>
                <w:left w:w="15" w:type="dxa"/>
                <w:bottom w:w="15" w:type="dxa"/>
                <w:right w:w="15" w:type="dxa"/>
              </w:tblCellMar>
              <w:tblLook w:val="04A0" w:firstRow="1" w:lastRow="0" w:firstColumn="1" w:lastColumn="0" w:noHBand="0" w:noVBand="1"/>
              <w:tblCaption w:val="Modifying points"/>
              <w:tblDescription w:val="FVNL = 45% which equals 1 modifying point.&#10;Protein = 6.1g/100g which equals 3 modifying points.&#10;Fibre = 7.9g/100g which equals 8 modifying points.&#10;Total modifying points = 12."/>
            </w:tblPr>
            <w:tblGrid>
              <w:gridCol w:w="3123"/>
              <w:gridCol w:w="1275"/>
              <w:gridCol w:w="1985"/>
            </w:tblGrid>
            <w:tr w:rsidR="00F43B13" w:rsidRPr="00CC1ADD" w14:paraId="390C32A7" w14:textId="77777777" w:rsidTr="001439DA">
              <w:tc>
                <w:tcPr>
                  <w:tcW w:w="3123" w:type="dxa"/>
                  <w:tcBorders>
                    <w:top w:val="single" w:sz="4" w:space="0" w:color="000000"/>
                    <w:left w:val="single" w:sz="4" w:space="0" w:color="000000"/>
                    <w:bottom w:val="single" w:sz="4" w:space="0" w:color="000000"/>
                    <w:right w:val="single" w:sz="4" w:space="0" w:color="000000"/>
                  </w:tcBorders>
                  <w:shd w:val="clear" w:color="auto" w:fill="516A8E"/>
                  <w:vAlign w:val="center"/>
                  <w:hideMark/>
                </w:tcPr>
                <w:p w14:paraId="46AEA4BC" w14:textId="77777777" w:rsidR="00F43B13" w:rsidRPr="00CC1ADD" w:rsidRDefault="00F43B13">
                  <w:pPr>
                    <w:rPr>
                      <w:rFonts w:eastAsia="Times New Roman" w:cstheme="minorHAnsi"/>
                      <w:color w:val="FFFFFF" w:themeColor="background1"/>
                      <w:sz w:val="20"/>
                      <w:szCs w:val="20"/>
                    </w:rPr>
                  </w:pPr>
                  <w:bookmarkStart w:id="47" w:name="ComponentB"/>
                  <w:bookmarkEnd w:id="47"/>
                  <w:r w:rsidRPr="00CC1ADD">
                    <w:rPr>
                      <w:rFonts w:eastAsia="Times New Roman" w:cstheme="minorHAnsi"/>
                      <w:b/>
                      <w:bCs/>
                      <w:color w:val="FFFFFF" w:themeColor="background1"/>
                      <w:sz w:val="20"/>
                      <w:szCs w:val="20"/>
                    </w:rPr>
                    <w:t xml:space="preserve">Component </w:t>
                  </w:r>
                </w:p>
              </w:tc>
              <w:tc>
                <w:tcPr>
                  <w:tcW w:w="1275" w:type="dxa"/>
                  <w:tcBorders>
                    <w:top w:val="single" w:sz="4" w:space="0" w:color="000000"/>
                    <w:left w:val="single" w:sz="4" w:space="0" w:color="000000"/>
                    <w:bottom w:val="single" w:sz="4" w:space="0" w:color="000000"/>
                    <w:right w:val="single" w:sz="4" w:space="0" w:color="000000"/>
                  </w:tcBorders>
                  <w:shd w:val="clear" w:color="auto" w:fill="516A8E"/>
                  <w:vAlign w:val="center"/>
                  <w:hideMark/>
                </w:tcPr>
                <w:p w14:paraId="34F29D5C" w14:textId="43A4353E" w:rsidR="00F43B13" w:rsidRPr="00CC1ADD" w:rsidRDefault="00F43B13">
                  <w:pPr>
                    <w:rPr>
                      <w:rFonts w:eastAsia="Times New Roman" w:cstheme="minorHAnsi"/>
                      <w:color w:val="FFFFFF" w:themeColor="background1"/>
                      <w:sz w:val="20"/>
                      <w:szCs w:val="20"/>
                    </w:rPr>
                  </w:pPr>
                  <w:r w:rsidRPr="00CC1ADD">
                    <w:rPr>
                      <w:rFonts w:eastAsia="Times New Roman" w:cstheme="minorHAnsi"/>
                      <w:b/>
                      <w:bCs/>
                      <w:color w:val="FFFFFF" w:themeColor="background1"/>
                      <w:sz w:val="20"/>
                      <w:szCs w:val="20"/>
                    </w:rPr>
                    <w:t>Per 100 g</w:t>
                  </w:r>
                  <w:r w:rsidRPr="00CC1ADD">
                    <w:rPr>
                      <w:rFonts w:eastAsia="Times New Roman" w:cstheme="minorHAnsi"/>
                      <w:color w:val="FFFFFF" w:themeColor="background1"/>
                      <w:sz w:val="20"/>
                      <w:szCs w:val="20"/>
                    </w:rPr>
                    <w:fldChar w:fldCharType="begin"/>
                  </w:r>
                  <w:r w:rsidR="00655A22">
                    <w:rPr>
                      <w:rFonts w:eastAsia="Times New Roman" w:cstheme="minorHAnsi"/>
                      <w:color w:val="FFFFFF" w:themeColor="background1"/>
                      <w:sz w:val="20"/>
                      <w:szCs w:val="20"/>
                    </w:rPr>
                    <w:instrText xml:space="preserve"> INCLUDEPICTURE "\\\\central.health\\var\\folders\\s1\\bnbd0j0s67n_t2jkkb4j9k6m0000gn\\T\\com.microsoft.Word\\WebArchiveCopyPasteTempFiles\\page30image1658940192" \* MERGEFORMAT </w:instrText>
                  </w:r>
                  <w:r w:rsidRPr="00CC1ADD">
                    <w:rPr>
                      <w:rFonts w:eastAsia="Times New Roman" w:cstheme="minorHAnsi"/>
                      <w:color w:val="FFFFFF" w:themeColor="background1"/>
                      <w:sz w:val="20"/>
                      <w:szCs w:val="20"/>
                    </w:rPr>
                    <w:fldChar w:fldCharType="separate"/>
                  </w:r>
                  <w:r w:rsidRPr="00CC1ADD">
                    <w:rPr>
                      <w:rFonts w:eastAsia="Times New Roman" w:cstheme="minorHAnsi"/>
                      <w:noProof/>
                      <w:color w:val="FFFFFF" w:themeColor="background1"/>
                      <w:sz w:val="20"/>
                      <w:szCs w:val="20"/>
                      <w:lang w:eastAsia="en-AU"/>
                    </w:rPr>
                    <w:drawing>
                      <wp:inline distT="0" distB="0" distL="0" distR="0" wp14:anchorId="3C72FD4D" wp14:editId="5B2FC9B3">
                        <wp:extent cx="18415" cy="18415"/>
                        <wp:effectExtent l="0" t="0" r="0" b="0"/>
                        <wp:docPr id="23" name="Picture 23" descr="page30image165894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ge30image165894019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eastAsia="Times New Roman" w:cstheme="minorHAnsi"/>
                      <w:color w:val="FFFFFF" w:themeColor="background1"/>
                      <w:sz w:val="20"/>
                      <w:szCs w:val="20"/>
                    </w:rPr>
                    <w:fldChar w:fldCharType="end"/>
                  </w:r>
                </w:p>
              </w:tc>
              <w:tc>
                <w:tcPr>
                  <w:tcW w:w="1985" w:type="dxa"/>
                  <w:tcBorders>
                    <w:top w:val="single" w:sz="4" w:space="0" w:color="000000"/>
                    <w:left w:val="single" w:sz="4" w:space="0" w:color="000000"/>
                    <w:bottom w:val="single" w:sz="4" w:space="0" w:color="000000"/>
                    <w:right w:val="single" w:sz="4" w:space="0" w:color="000000"/>
                  </w:tcBorders>
                  <w:shd w:val="clear" w:color="auto" w:fill="516A8E"/>
                </w:tcPr>
                <w:p w14:paraId="5A8B9CD3" w14:textId="77777777" w:rsidR="00F43B13" w:rsidRPr="00CC1ADD" w:rsidRDefault="00F43B13">
                  <w:pPr>
                    <w:rPr>
                      <w:rFonts w:eastAsia="Times New Roman" w:cstheme="minorHAnsi"/>
                      <w:b/>
                      <w:bCs/>
                      <w:color w:val="FFFFFF" w:themeColor="background1"/>
                      <w:sz w:val="20"/>
                      <w:szCs w:val="20"/>
                    </w:rPr>
                  </w:pPr>
                  <w:r w:rsidRPr="00CC1ADD">
                    <w:rPr>
                      <w:rFonts w:eastAsia="Times New Roman" w:cstheme="minorHAnsi"/>
                      <w:b/>
                      <w:bCs/>
                      <w:color w:val="FFFFFF" w:themeColor="background1"/>
                      <w:sz w:val="20"/>
                      <w:szCs w:val="20"/>
                    </w:rPr>
                    <w:t>Modifying points</w:t>
                  </w:r>
                </w:p>
              </w:tc>
            </w:tr>
            <w:tr w:rsidR="00F43B13" w:rsidRPr="00CC1ADD" w14:paraId="196BCC4F"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4000F01" w14:textId="2FB5D8B5" w:rsidR="00F43B13" w:rsidRPr="00CC1ADD" w:rsidRDefault="00F43B13" w:rsidP="005A3631">
                  <w:pPr>
                    <w:rPr>
                      <w:rFonts w:eastAsia="Times New Roman" w:cstheme="minorHAnsi"/>
                      <w:sz w:val="20"/>
                      <w:szCs w:val="20"/>
                    </w:rPr>
                  </w:pPr>
                  <w:r w:rsidRPr="0030513A">
                    <w:rPr>
                      <w:rFonts w:eastAsia="Times New Roman" w:cstheme="minorHAnsi"/>
                      <w:sz w:val="20"/>
                      <w:szCs w:val="20"/>
                    </w:rPr>
                    <w:t>FVNL (</w:t>
                  </w:r>
                  <w:r w:rsidR="0030513A" w:rsidRPr="0030513A">
                    <w:rPr>
                      <w:rFonts w:cstheme="minorHAnsi"/>
                      <w:sz w:val="20"/>
                      <w:szCs w:val="20"/>
                    </w:rPr>
                    <w:t>for example,</w:t>
                  </w:r>
                  <w:r w:rsidRPr="0030513A">
                    <w:rPr>
                      <w:rFonts w:eastAsia="Times New Roman" w:cstheme="minorHAnsi"/>
                      <w:sz w:val="20"/>
                      <w:szCs w:val="20"/>
                    </w:rPr>
                    <w:t xml:space="preserve"> nuts</w:t>
                  </w:r>
                  <w:r w:rsidRPr="00CC1ADD">
                    <w:rPr>
                      <w:rFonts w:eastAsia="Times New Roman" w:cstheme="minorHAnsi"/>
                      <w:sz w:val="20"/>
                      <w:szCs w:val="20"/>
                    </w:rPr>
                    <w:t xml:space="preserve"> and dried fruits) </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14C6724" w14:textId="77777777" w:rsidR="00F43B13" w:rsidRPr="00CC1ADD" w:rsidRDefault="00F43B13">
                  <w:pPr>
                    <w:rPr>
                      <w:rFonts w:eastAsia="Times New Roman" w:cstheme="minorHAnsi"/>
                      <w:sz w:val="20"/>
                      <w:szCs w:val="20"/>
                    </w:rPr>
                  </w:pPr>
                  <w:r w:rsidRPr="00CC1ADD">
                    <w:rPr>
                      <w:rFonts w:eastAsia="Times New Roman" w:cstheme="minorHAnsi"/>
                      <w:sz w:val="20"/>
                      <w:szCs w:val="20"/>
                    </w:rPr>
                    <w:t>45%</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B1D9862" w14:textId="77777777" w:rsidR="00F43B13" w:rsidRPr="00CC1ADD" w:rsidRDefault="00F43B13">
                  <w:pPr>
                    <w:rPr>
                      <w:rFonts w:eastAsia="Times New Roman" w:cstheme="minorHAnsi"/>
                      <w:sz w:val="20"/>
                      <w:szCs w:val="20"/>
                    </w:rPr>
                  </w:pPr>
                  <w:r w:rsidRPr="00CC1ADD">
                    <w:rPr>
                      <w:rFonts w:eastAsia="Times New Roman" w:cstheme="minorHAnsi"/>
                      <w:sz w:val="20"/>
                      <w:szCs w:val="20"/>
                    </w:rPr>
                    <w:t>1</w:t>
                  </w:r>
                </w:p>
              </w:tc>
            </w:tr>
            <w:tr w:rsidR="00F43B13" w:rsidRPr="00CC1ADD" w14:paraId="7BDBAF74"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789AAF8"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Protein</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770D5BE"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6.1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EC4B836" w14:textId="77777777" w:rsidR="00F43B13" w:rsidRPr="00CC1ADD" w:rsidRDefault="00F43B13">
                  <w:pPr>
                    <w:rPr>
                      <w:rFonts w:eastAsia="Times New Roman" w:cstheme="minorHAnsi"/>
                      <w:sz w:val="20"/>
                      <w:szCs w:val="20"/>
                    </w:rPr>
                  </w:pPr>
                  <w:r w:rsidRPr="00CC1ADD">
                    <w:rPr>
                      <w:rFonts w:eastAsia="Times New Roman" w:cstheme="minorHAnsi"/>
                      <w:sz w:val="20"/>
                      <w:szCs w:val="20"/>
                    </w:rPr>
                    <w:t>3</w:t>
                  </w:r>
                </w:p>
              </w:tc>
            </w:tr>
            <w:tr w:rsidR="00F43B13" w:rsidRPr="00CC1ADD" w14:paraId="00345738"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E6EC0E" w14:textId="77777777" w:rsidR="00F43B13" w:rsidRPr="00CC1ADD" w:rsidRDefault="00F43B13" w:rsidP="005A3631">
                  <w:pPr>
                    <w:rPr>
                      <w:rFonts w:eastAsia="Times New Roman" w:cstheme="minorHAnsi"/>
                      <w:sz w:val="20"/>
                      <w:szCs w:val="20"/>
                    </w:rPr>
                  </w:pPr>
                  <w:r w:rsidRPr="00CC1ADD">
                    <w:rPr>
                      <w:rFonts w:eastAsia="Times New Roman" w:cstheme="minorHAnsi"/>
                      <w:sz w:val="20"/>
                      <w:szCs w:val="20"/>
                    </w:rPr>
                    <w:t>Fibre</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6FA92C0" w14:textId="77777777" w:rsidR="00F43B13" w:rsidRPr="00CC1ADD" w:rsidRDefault="00F43B13">
                  <w:pPr>
                    <w:rPr>
                      <w:rFonts w:eastAsia="Times New Roman" w:cstheme="minorHAnsi"/>
                      <w:sz w:val="20"/>
                      <w:szCs w:val="20"/>
                    </w:rPr>
                  </w:pPr>
                  <w:r w:rsidRPr="00CC1ADD">
                    <w:rPr>
                      <w:rFonts w:eastAsia="Times New Roman" w:cstheme="minorHAnsi"/>
                      <w:sz w:val="20"/>
                      <w:szCs w:val="20"/>
                    </w:rPr>
                    <w:t xml:space="preserve">7.9 g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5DCBC66" w14:textId="77777777" w:rsidR="00F43B13" w:rsidRPr="00CC1ADD" w:rsidRDefault="00F43B13">
                  <w:pPr>
                    <w:rPr>
                      <w:rFonts w:eastAsia="Times New Roman" w:cstheme="minorHAnsi"/>
                      <w:sz w:val="20"/>
                      <w:szCs w:val="20"/>
                    </w:rPr>
                  </w:pPr>
                  <w:r w:rsidRPr="00CC1ADD">
                    <w:rPr>
                      <w:rFonts w:eastAsia="Times New Roman" w:cstheme="minorHAnsi"/>
                      <w:sz w:val="20"/>
                      <w:szCs w:val="20"/>
                    </w:rPr>
                    <w:t>8</w:t>
                  </w:r>
                </w:p>
              </w:tc>
            </w:tr>
            <w:tr w:rsidR="00F43B13" w:rsidRPr="00CC1ADD" w14:paraId="7E81E917" w14:textId="77777777" w:rsidTr="00B36208">
              <w:tc>
                <w:tcPr>
                  <w:tcW w:w="312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302C1BA" w14:textId="77777777" w:rsidR="00F43B13" w:rsidRPr="00CC1ADD" w:rsidRDefault="00F43B13" w:rsidP="005A3631">
                  <w:pPr>
                    <w:rPr>
                      <w:rFonts w:eastAsia="Times New Roman" w:cstheme="minorHAnsi"/>
                      <w:b/>
                      <w:i/>
                      <w:sz w:val="20"/>
                      <w:szCs w:val="20"/>
                    </w:rPr>
                  </w:pPr>
                  <w:r w:rsidRPr="00CC1ADD">
                    <w:rPr>
                      <w:rFonts w:eastAsia="Times New Roman" w:cstheme="minorHAnsi"/>
                      <w:b/>
                      <w:i/>
                      <w:sz w:val="20"/>
                      <w:szCs w:val="20"/>
                    </w:rPr>
                    <w:t>Total modifying points</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BCEFA3A" w14:textId="2AFFEDBA" w:rsidR="00F43B13" w:rsidRPr="00CC1ADD" w:rsidRDefault="004702C5">
                  <w:pPr>
                    <w:rPr>
                      <w:rFonts w:eastAsia="Times New Roman" w:cstheme="minorHAnsi"/>
                      <w:sz w:val="20"/>
                      <w:szCs w:val="20"/>
                    </w:rPr>
                  </w:pPr>
                  <w:r>
                    <w:rPr>
                      <w:rFonts w:eastAsia="Times New Roman" w:cstheme="minorHAnsi"/>
                      <w:sz w:val="20"/>
                      <w:szCs w:val="20"/>
                    </w:rPr>
                    <w:t>-</w:t>
                  </w:r>
                </w:p>
              </w:tc>
              <w:tc>
                <w:tcPr>
                  <w:tcW w:w="19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E625C75" w14:textId="77777777" w:rsidR="00F43B13" w:rsidRPr="00CC1ADD" w:rsidRDefault="00F43B13">
                  <w:pPr>
                    <w:rPr>
                      <w:rFonts w:eastAsia="Times New Roman" w:cstheme="minorHAnsi"/>
                      <w:b/>
                      <w:i/>
                      <w:sz w:val="20"/>
                      <w:szCs w:val="20"/>
                    </w:rPr>
                  </w:pPr>
                  <w:r w:rsidRPr="00CC1ADD">
                    <w:rPr>
                      <w:rFonts w:eastAsia="Times New Roman" w:cstheme="minorHAnsi"/>
                      <w:b/>
                      <w:i/>
                      <w:sz w:val="20"/>
                      <w:szCs w:val="20"/>
                    </w:rPr>
                    <w:t>12</w:t>
                  </w:r>
                </w:p>
              </w:tc>
            </w:tr>
          </w:tbl>
          <w:p w14:paraId="58D80978" w14:textId="77777777" w:rsidR="00F43B13" w:rsidRPr="00CC1ADD" w:rsidRDefault="00F43B13" w:rsidP="0013165D">
            <w:pPr>
              <w:pStyle w:val="mpcNormal"/>
              <w:keepNext w:val="0"/>
            </w:pPr>
          </w:p>
          <w:p w14:paraId="72F03302" w14:textId="14CD81F9" w:rsidR="00F43B13" w:rsidRPr="00153CBD" w:rsidRDefault="00752513" w:rsidP="0013165D">
            <w:pPr>
              <w:pStyle w:val="mpcheading4"/>
              <w:keepNext w:val="0"/>
            </w:pPr>
            <w:r w:rsidRPr="00153CBD">
              <w:t xml:space="preserve">Step 3. </w:t>
            </w:r>
            <w:r w:rsidR="00F43B13" w:rsidRPr="00153CBD">
              <w:t>Calculate the final score (baseline points – modifying points).</w:t>
            </w:r>
          </w:p>
          <w:p w14:paraId="03E1BB95" w14:textId="77777777" w:rsidR="00F43B13" w:rsidRPr="00CC1ADD" w:rsidRDefault="00F43B13" w:rsidP="0013165D">
            <w:pPr>
              <w:pStyle w:val="mpcNormal"/>
              <w:keepNext w:val="0"/>
            </w:pPr>
            <w:r w:rsidRPr="00CC1ADD">
              <w:t>Final score = – 2</w:t>
            </w:r>
          </w:p>
          <w:p w14:paraId="05E5ED51" w14:textId="77777777" w:rsidR="00F43B13" w:rsidRPr="00CC1ADD" w:rsidRDefault="00F43B13" w:rsidP="0013165D">
            <w:pPr>
              <w:pStyle w:val="mpcNormal"/>
              <w:keepNext w:val="0"/>
            </w:pPr>
          </w:p>
          <w:p w14:paraId="60CDFA04" w14:textId="383E481F" w:rsidR="00F43B13" w:rsidRPr="00153CBD" w:rsidRDefault="00752513" w:rsidP="0013165D">
            <w:pPr>
              <w:pStyle w:val="mpcheading4"/>
              <w:keepNext w:val="0"/>
            </w:pPr>
            <w:r w:rsidRPr="00153CBD">
              <w:t xml:space="preserve">Step 4. </w:t>
            </w:r>
            <w:r w:rsidR="00F43B13" w:rsidRPr="00153CBD">
              <w:t>Assign the HSR based on the HSR Category.</w:t>
            </w:r>
          </w:p>
          <w:p w14:paraId="1ABCD5C8" w14:textId="77777777" w:rsidR="00F43B13" w:rsidRDefault="00F43B13" w:rsidP="0013165D">
            <w:pPr>
              <w:pStyle w:val="mpcNormal"/>
              <w:keepNext w:val="0"/>
            </w:pPr>
            <w:r w:rsidRPr="00CC1ADD">
              <w:t xml:space="preserve">This breakfast cereal is in Category 2, with an HSR score of – 2. Using the table on page 14 of the </w:t>
            </w:r>
            <w:hyperlink r:id="rId21" w:history="1">
              <w:r w:rsidR="002F0EC0" w:rsidRPr="002F0EC0">
                <w:rPr>
                  <w:rStyle w:val="Hyperlink"/>
                </w:rPr>
                <w:t>Guide for Industry</w:t>
              </w:r>
            </w:hyperlink>
            <w:r w:rsidRPr="00CC1ADD">
              <w:t>, the product scores an HSR of 4.0.</w:t>
            </w:r>
          </w:p>
          <w:p w14:paraId="091E4B7D" w14:textId="10334A7A" w:rsidR="00027302" w:rsidRPr="00CC1ADD" w:rsidRDefault="00027302" w:rsidP="0013165D">
            <w:pPr>
              <w:pStyle w:val="mpcNormal"/>
              <w:keepNext w:val="0"/>
            </w:pPr>
          </w:p>
        </w:tc>
      </w:tr>
    </w:tbl>
    <w:p w14:paraId="658AF286" w14:textId="77777777" w:rsidR="00591AAD" w:rsidRPr="00CC1ADD" w:rsidRDefault="00591AAD" w:rsidP="005A3631">
      <w:pPr>
        <w:widowControl w:val="0"/>
        <w:rPr>
          <w:rFonts w:eastAsia="Times New Roman" w:cstheme="minorHAnsi"/>
          <w:sz w:val="22"/>
          <w:szCs w:val="22"/>
          <w:lang w:eastAsia="en-GB"/>
        </w:rPr>
      </w:pPr>
    </w:p>
    <w:p w14:paraId="1E86FD16" w14:textId="60DB70D0" w:rsidR="00591AAD" w:rsidRPr="00CC1ADD" w:rsidRDefault="00591AAD" w:rsidP="0013165D">
      <w:pPr>
        <w:pStyle w:val="mpcNormal"/>
        <w:keepNext w:val="0"/>
      </w:pPr>
      <w:r w:rsidRPr="00CC1ADD">
        <w:t xml:space="preserve">For a comprehensive description of the HSR Calculator, refer to </w:t>
      </w:r>
      <w:r w:rsidRPr="00027302">
        <w:rPr>
          <w:u w:val="single"/>
        </w:rPr>
        <w:t>Appendix A</w:t>
      </w:r>
      <w:r w:rsidRPr="00CC1ADD">
        <w:t xml:space="preserve"> or the </w:t>
      </w:r>
      <w:hyperlink r:id="rId22" w:history="1">
        <w:r w:rsidRPr="00CC1ADD">
          <w:rPr>
            <w:rStyle w:val="Hyperlink"/>
          </w:rPr>
          <w:t>Guide</w:t>
        </w:r>
        <w:r w:rsidR="002F0EC0">
          <w:rPr>
            <w:rStyle w:val="Hyperlink"/>
          </w:rPr>
          <w:t xml:space="preserve"> for Industry </w:t>
        </w:r>
        <w:r w:rsidRPr="00CC1ADD">
          <w:rPr>
            <w:rStyle w:val="Hyperlink"/>
          </w:rPr>
          <w:t>on the HSR website</w:t>
        </w:r>
      </w:hyperlink>
      <w:r w:rsidRPr="00CC1ADD">
        <w:t>.</w:t>
      </w:r>
    </w:p>
    <w:p w14:paraId="1B2CAE1B" w14:textId="77777777" w:rsidR="00F43B13" w:rsidRPr="00CC1ADD" w:rsidRDefault="00F43B13" w:rsidP="0013165D">
      <w:pPr>
        <w:pStyle w:val="mpcNormal"/>
        <w:keepNext w:val="0"/>
      </w:pPr>
    </w:p>
    <w:p w14:paraId="1C1FFA3B" w14:textId="647F5516" w:rsidR="00F43B13" w:rsidRPr="00CC1ADD" w:rsidRDefault="002F0EC0" w:rsidP="0013165D">
      <w:pPr>
        <w:pStyle w:val="mpcheading2"/>
        <w:spacing w:after="0"/>
        <w:rPr>
          <w:rFonts w:cstheme="minorHAnsi"/>
        </w:rPr>
      </w:pPr>
      <w:bookmarkStart w:id="48" w:name="_Toc9955034"/>
      <w:r>
        <w:rPr>
          <w:rFonts w:cstheme="minorHAnsi"/>
        </w:rPr>
        <w:t>Prod</w:t>
      </w:r>
      <w:r w:rsidR="00955189">
        <w:rPr>
          <w:rFonts w:cstheme="minorHAnsi"/>
        </w:rPr>
        <w:t>u</w:t>
      </w:r>
      <w:r>
        <w:rPr>
          <w:rFonts w:cstheme="minorHAnsi"/>
        </w:rPr>
        <w:t>cts</w:t>
      </w:r>
      <w:r w:rsidR="00F43B13" w:rsidRPr="00CC1ADD">
        <w:rPr>
          <w:rFonts w:cstheme="minorHAnsi"/>
        </w:rPr>
        <w:t xml:space="preserve"> expected to display the HSR</w:t>
      </w:r>
      <w:bookmarkEnd w:id="48"/>
      <w:r w:rsidR="00F43B13" w:rsidRPr="00CC1ADD">
        <w:rPr>
          <w:rFonts w:cstheme="minorHAnsi"/>
        </w:rPr>
        <w:t xml:space="preserve"> </w:t>
      </w:r>
    </w:p>
    <w:p w14:paraId="11CF7AA9" w14:textId="77777777" w:rsidR="00F43B13" w:rsidRPr="00CC1ADD" w:rsidRDefault="00F43B13" w:rsidP="0013165D">
      <w:pPr>
        <w:pStyle w:val="mpcNormal"/>
        <w:keepNext w:val="0"/>
      </w:pPr>
    </w:p>
    <w:p w14:paraId="5FA154F9" w14:textId="48FF62AF" w:rsidR="00F43B13" w:rsidRPr="00CC1ADD" w:rsidRDefault="00F43B13" w:rsidP="0013165D">
      <w:pPr>
        <w:pStyle w:val="mpcNormal"/>
        <w:keepNext w:val="0"/>
      </w:pPr>
      <w:r w:rsidRPr="00CC1ADD">
        <w:t xml:space="preserve">The HSR </w:t>
      </w:r>
      <w:r w:rsidR="00027302">
        <w:t xml:space="preserve">System </w:t>
      </w:r>
      <w:r w:rsidRPr="00CC1ADD">
        <w:t>i</w:t>
      </w:r>
      <w:r w:rsidR="00027302">
        <w:t xml:space="preserve">s </w:t>
      </w:r>
      <w:r w:rsidRPr="00CC1ADD">
        <w:t xml:space="preserve">a voluntary system and only appears on packaged products at the discretion of manufacturers and retailers. If a product carries a </w:t>
      </w:r>
      <w:r w:rsidR="00677D90">
        <w:t>nutrition information panel (</w:t>
      </w:r>
      <w:r w:rsidRPr="00CC1ADD">
        <w:t>NIP</w:t>
      </w:r>
      <w:r w:rsidR="00677D90">
        <w:t>)</w:t>
      </w:r>
      <w:r w:rsidRPr="00CC1ADD">
        <w:t>, the use of the HSR System should be considered.</w:t>
      </w:r>
    </w:p>
    <w:p w14:paraId="4B45BB68" w14:textId="186FA58C" w:rsidR="00F43B13" w:rsidRDefault="00F43B13" w:rsidP="0013165D">
      <w:pPr>
        <w:pStyle w:val="mpcNormal"/>
        <w:keepNext w:val="0"/>
      </w:pPr>
    </w:p>
    <w:p w14:paraId="2DA1B4A0" w14:textId="2A022247" w:rsidR="00CA03D9" w:rsidRDefault="00CA03D9" w:rsidP="00CA03D9">
      <w:pPr>
        <w:pStyle w:val="mpcNormal"/>
        <w:keepNext w:val="0"/>
      </w:pPr>
      <w:r w:rsidRPr="00CC1ADD">
        <w:t xml:space="preserve">Products exempt from NIP labelling </w:t>
      </w:r>
      <w:r w:rsidRPr="00AA5CB8">
        <w:t xml:space="preserve">under </w:t>
      </w:r>
      <w:r>
        <w:t>the Code</w:t>
      </w:r>
      <w:r w:rsidRPr="00AA5CB8">
        <w:t xml:space="preserve"> </w:t>
      </w:r>
      <w:hyperlink r:id="rId23" w:history="1">
        <w:r w:rsidRPr="007329FA">
          <w:rPr>
            <w:rStyle w:val="Hyperlink"/>
            <w:i/>
            <w:iCs/>
          </w:rPr>
          <w:t>Standard 1.2.8 – Nutrition Information Requirements</w:t>
        </w:r>
      </w:hyperlink>
      <w:r w:rsidRPr="00AA5CB8">
        <w:t xml:space="preserve">, </w:t>
      </w:r>
      <w:r>
        <w:t>include:</w:t>
      </w:r>
    </w:p>
    <w:p w14:paraId="2EE9BFF5" w14:textId="77777777" w:rsidR="00CA03D9" w:rsidRDefault="00CA03D9" w:rsidP="00CA03D9">
      <w:pPr>
        <w:pStyle w:val="mpcNormal"/>
        <w:keepNext w:val="0"/>
      </w:pPr>
    </w:p>
    <w:p w14:paraId="2F9B3711" w14:textId="77777777" w:rsidR="00CA03D9" w:rsidRDefault="00CA03D9" w:rsidP="00CA03D9">
      <w:pPr>
        <w:pStyle w:val="mpcbullets1"/>
      </w:pPr>
      <w:r>
        <w:t xml:space="preserve">products with inherently low nutritional contribution such as </w:t>
      </w:r>
      <w:r w:rsidRPr="00AA5CB8">
        <w:t>herbs, spices, vinegar, salt, pepper, tea, coffee, herbal infusions, gelatine and setting compounds</w:t>
      </w:r>
    </w:p>
    <w:p w14:paraId="709C51F4" w14:textId="77777777" w:rsidR="00CA03D9" w:rsidRDefault="00CA03D9" w:rsidP="00CA03D9">
      <w:pPr>
        <w:pStyle w:val="mpcbullets1"/>
      </w:pPr>
      <w:r>
        <w:t>products in s</w:t>
      </w:r>
      <w:r w:rsidRPr="00AA5CB8">
        <w:t>mall packages (less than 100mm</w:t>
      </w:r>
      <w:r w:rsidRPr="00E048F7">
        <w:rPr>
          <w:vertAlign w:val="superscript"/>
        </w:rPr>
        <w:t>2</w:t>
      </w:r>
      <w:r w:rsidRPr="00AA5CB8">
        <w:t>)</w:t>
      </w:r>
    </w:p>
    <w:p w14:paraId="3800E21F" w14:textId="77777777" w:rsidR="00CA03D9" w:rsidRDefault="00CA03D9" w:rsidP="00CA03D9">
      <w:pPr>
        <w:pStyle w:val="mpcbullets1"/>
      </w:pPr>
      <w:r w:rsidRPr="00AA5CB8">
        <w:t>‘</w:t>
      </w:r>
      <w:r>
        <w:t>f</w:t>
      </w:r>
      <w:r w:rsidRPr="00AA5CB8">
        <w:t>resh value-added products’, such as packaged fruit, vegetables, meat, poultry and fish, and pre</w:t>
      </w:r>
      <w:r>
        <w:noBreakHyphen/>
      </w:r>
      <w:r w:rsidRPr="00AA5CB8">
        <w:t xml:space="preserve">packaged rolls and sandwiches </w:t>
      </w:r>
    </w:p>
    <w:p w14:paraId="14EF8912" w14:textId="77777777" w:rsidR="00CA03D9" w:rsidRPr="007329FA" w:rsidRDefault="00CA03D9" w:rsidP="00CA03D9">
      <w:pPr>
        <w:pStyle w:val="mpcbullets1"/>
        <w:rPr>
          <w:rFonts w:ascii="SymbolMT" w:hAnsi="SymbolMT"/>
        </w:rPr>
      </w:pPr>
      <w:r>
        <w:t>products included</w:t>
      </w:r>
      <w:r w:rsidRPr="007329FA">
        <w:t xml:space="preserve"> </w:t>
      </w:r>
      <w:r>
        <w:t>under the Code Standard</w:t>
      </w:r>
      <w:r w:rsidRPr="007329FA">
        <w:t xml:space="preserve"> </w:t>
      </w:r>
      <w:hyperlink r:id="rId24" w:history="1">
        <w:r w:rsidRPr="007329FA">
          <w:rPr>
            <w:rStyle w:val="Hyperlink"/>
            <w:i/>
            <w:iCs/>
          </w:rPr>
          <w:t>Part 2.9 Special Purpose Foods</w:t>
        </w:r>
      </w:hyperlink>
      <w:r>
        <w:t xml:space="preserve"> </w:t>
      </w:r>
    </w:p>
    <w:p w14:paraId="446A27CB" w14:textId="77777777" w:rsidR="00CA03D9" w:rsidRPr="007329FA" w:rsidRDefault="00CA03D9" w:rsidP="00CA03D9">
      <w:pPr>
        <w:pStyle w:val="mpcbullets1"/>
        <w:rPr>
          <w:rFonts w:ascii="SymbolMT" w:hAnsi="SymbolMT"/>
        </w:rPr>
      </w:pPr>
      <w:r>
        <w:t>a</w:t>
      </w:r>
      <w:r w:rsidRPr="007329FA">
        <w:t>lcoholic beverages (&gt;1.15% alcohol by volume)</w:t>
      </w:r>
    </w:p>
    <w:p w14:paraId="37856FB0" w14:textId="77777777" w:rsidR="00CA03D9" w:rsidRPr="007329FA" w:rsidRDefault="00CA03D9" w:rsidP="00CA03D9">
      <w:pPr>
        <w:pStyle w:val="mpcbullets1"/>
        <w:rPr>
          <w:rFonts w:ascii="SymbolMT" w:hAnsi="SymbolMT"/>
        </w:rPr>
      </w:pPr>
      <w:r>
        <w:t>a</w:t>
      </w:r>
      <w:r w:rsidRPr="007329FA">
        <w:t>lcohol kits</w:t>
      </w:r>
    </w:p>
    <w:p w14:paraId="151A7DB8" w14:textId="77777777" w:rsidR="00CA03D9" w:rsidRPr="007329FA" w:rsidRDefault="00CA03D9" w:rsidP="00CA03D9">
      <w:pPr>
        <w:pStyle w:val="mpcbullets1"/>
        <w:rPr>
          <w:rFonts w:ascii="SymbolMT" w:hAnsi="SymbolMT"/>
        </w:rPr>
      </w:pPr>
      <w:r>
        <w:t>k</w:t>
      </w:r>
      <w:r w:rsidRPr="007329FA">
        <w:t>ava</w:t>
      </w:r>
    </w:p>
    <w:p w14:paraId="3455B9F6" w14:textId="77777777" w:rsidR="00CA03D9" w:rsidRPr="007329FA" w:rsidRDefault="00CA03D9" w:rsidP="00CA03D9">
      <w:pPr>
        <w:pStyle w:val="mpcbullets1"/>
        <w:rPr>
          <w:rFonts w:ascii="SymbolMT" w:hAnsi="SymbolMT"/>
        </w:rPr>
      </w:pPr>
      <w:r w:rsidRPr="007329FA">
        <w:t xml:space="preserve">products </w:t>
      </w:r>
      <w:r>
        <w:t xml:space="preserve">ineligible to display nutrition content claims and health claims as outlined under </w:t>
      </w:r>
      <w:r w:rsidRPr="007329FA">
        <w:t xml:space="preserve">1.2.7-5 </w:t>
      </w:r>
      <w:r>
        <w:t xml:space="preserve">of the Code </w:t>
      </w:r>
      <w:hyperlink r:id="rId25" w:history="1">
        <w:r w:rsidRPr="007956C2">
          <w:rPr>
            <w:rStyle w:val="Hyperlink"/>
            <w:i/>
            <w:iCs/>
          </w:rPr>
          <w:t>Standard 1.2.7 – Nutrition, Health and Related Claims</w:t>
        </w:r>
      </w:hyperlink>
      <w:r>
        <w:rPr>
          <w:i/>
          <w:iCs/>
        </w:rPr>
        <w:t xml:space="preserve">, </w:t>
      </w:r>
      <w:r w:rsidRPr="007956C2">
        <w:t>including products intended</w:t>
      </w:r>
      <w:r w:rsidRPr="007329FA">
        <w:t xml:space="preserve"> for further processing or labelled prior to retail sale, delivered to a vulnerable person by a delivered meal organisation, or provided as an institutional meal</w:t>
      </w:r>
      <w:r>
        <w:t>.</w:t>
      </w:r>
    </w:p>
    <w:p w14:paraId="63EA28B2" w14:textId="77777777" w:rsidR="00F43B13" w:rsidRPr="00CC1ADD" w:rsidRDefault="00F43B13" w:rsidP="0013165D">
      <w:pPr>
        <w:pStyle w:val="mpcNormal"/>
        <w:keepNext w:val="0"/>
      </w:pPr>
    </w:p>
    <w:p w14:paraId="2928232F" w14:textId="77777777" w:rsidR="00F43B13" w:rsidRPr="00CC1ADD" w:rsidRDefault="00F43B13" w:rsidP="0013165D">
      <w:pPr>
        <w:pStyle w:val="mpcNormal"/>
        <w:keepNext w:val="0"/>
      </w:pPr>
      <w:r w:rsidRPr="00CC1ADD">
        <w:t>Products that are not eligible to display the HSR include:</w:t>
      </w:r>
    </w:p>
    <w:p w14:paraId="03DA98D8" w14:textId="77777777" w:rsidR="00F43B13" w:rsidRPr="00CC1ADD" w:rsidRDefault="00F43B13" w:rsidP="0013165D">
      <w:pPr>
        <w:pStyle w:val="mpcNormal"/>
        <w:keepNext w:val="0"/>
      </w:pPr>
    </w:p>
    <w:p w14:paraId="742656FB" w14:textId="436D14E6" w:rsidR="00F43B13" w:rsidRPr="00CC1ADD" w:rsidRDefault="00F43B13" w:rsidP="007E0D2C">
      <w:pPr>
        <w:pStyle w:val="mpcbullets1"/>
        <w:numPr>
          <w:ilvl w:val="0"/>
          <w:numId w:val="9"/>
        </w:numPr>
      </w:pPr>
      <w:r w:rsidRPr="00CC1ADD">
        <w:t xml:space="preserve">certain special purpose foods in </w:t>
      </w:r>
      <w:r w:rsidR="009620B0" w:rsidRPr="00CC1ADD">
        <w:t xml:space="preserve">the </w:t>
      </w:r>
      <w:r w:rsidR="009620B0">
        <w:t>C</w:t>
      </w:r>
      <w:r w:rsidR="009620B0" w:rsidRPr="00CC1ADD">
        <w:t xml:space="preserve">ode </w:t>
      </w:r>
      <w:hyperlink r:id="rId26" w:history="1">
        <w:r w:rsidRPr="009620B0">
          <w:rPr>
            <w:rStyle w:val="Hyperlink"/>
            <w:i/>
          </w:rPr>
          <w:t xml:space="preserve">Part 2.9 </w:t>
        </w:r>
        <w:r w:rsidR="009620B0" w:rsidRPr="009620B0">
          <w:rPr>
            <w:rStyle w:val="Hyperlink"/>
            <w:i/>
          </w:rPr>
          <w:t>Special purpose foods</w:t>
        </w:r>
      </w:hyperlink>
      <w:r w:rsidR="009620B0">
        <w:t xml:space="preserve"> </w:t>
      </w:r>
      <w:r w:rsidRPr="00CC1ADD">
        <w:t>(infant formula products, foods for infants, formulated supplementary foods for young children, formulated supplementary sports foods or foods for special medical purposes)</w:t>
      </w:r>
    </w:p>
    <w:p w14:paraId="7DE3C414" w14:textId="77777777" w:rsidR="00F43B13" w:rsidRPr="00CC1ADD" w:rsidRDefault="00F43B13" w:rsidP="007E0D2C">
      <w:pPr>
        <w:pStyle w:val="mpcbullets1"/>
        <w:numPr>
          <w:ilvl w:val="0"/>
          <w:numId w:val="9"/>
        </w:numPr>
      </w:pPr>
      <w:r w:rsidRPr="00CC1ADD">
        <w:t>alcoholic beverages, alcohol kits and kava</w:t>
      </w:r>
    </w:p>
    <w:p w14:paraId="25E63EDC" w14:textId="2125FADC" w:rsidR="00F43B13" w:rsidRPr="00CC1ADD" w:rsidRDefault="00F43B13" w:rsidP="007E0D2C">
      <w:pPr>
        <w:pStyle w:val="mpcbullets1"/>
        <w:numPr>
          <w:ilvl w:val="0"/>
          <w:numId w:val="9"/>
        </w:numPr>
      </w:pPr>
      <w:r w:rsidRPr="00CC1ADD">
        <w:t xml:space="preserve">products listed in </w:t>
      </w:r>
      <w:r w:rsidR="009620B0" w:rsidRPr="002F0EC0">
        <w:t>the Code</w:t>
      </w:r>
      <w:r w:rsidR="009620B0">
        <w:t xml:space="preserve"> </w:t>
      </w:r>
      <w:r w:rsidR="00A35EB9">
        <w:t xml:space="preserve">section </w:t>
      </w:r>
      <w:r w:rsidRPr="00CC1ADD">
        <w:t>1.2.7</w:t>
      </w:r>
      <w:r w:rsidR="00885AF1">
        <w:t>–</w:t>
      </w:r>
      <w:r w:rsidRPr="00CC1ADD">
        <w:t>5</w:t>
      </w:r>
      <w:r w:rsidR="00A35EB9">
        <w:t xml:space="preserve"> of</w:t>
      </w:r>
      <w:r w:rsidRPr="00CC1ADD">
        <w:t xml:space="preserve"> </w:t>
      </w:r>
      <w:hyperlink r:id="rId27" w:history="1">
        <w:r w:rsidR="00A35EB9" w:rsidRPr="00A35EB9">
          <w:rPr>
            <w:rStyle w:val="Hyperlink"/>
            <w:i/>
            <w:iCs/>
          </w:rPr>
          <w:t>Standard 1.2.7 Nutrition</w:t>
        </w:r>
        <w:r w:rsidR="00885AF1">
          <w:rPr>
            <w:rStyle w:val="Hyperlink"/>
            <w:i/>
            <w:iCs/>
          </w:rPr>
          <w:t>, health and related</w:t>
        </w:r>
        <w:r w:rsidR="00A35EB9" w:rsidRPr="00A35EB9">
          <w:rPr>
            <w:rStyle w:val="Hyperlink"/>
            <w:i/>
            <w:iCs/>
          </w:rPr>
          <w:t xml:space="preserve"> claims</w:t>
        </w:r>
      </w:hyperlink>
      <w:r w:rsidRPr="00CC1ADD">
        <w:t>, which include products intended for further processing</w:t>
      </w:r>
      <w:r w:rsidR="00885AF1">
        <w:t>, packaging or labelling prior to retail sale</w:t>
      </w:r>
      <w:r w:rsidRPr="00CC1ADD">
        <w:t>.</w:t>
      </w:r>
    </w:p>
    <w:p w14:paraId="0D0640B0" w14:textId="77777777" w:rsidR="00F43B13" w:rsidRPr="00CC1ADD" w:rsidRDefault="00F43B13">
      <w:pPr>
        <w:rPr>
          <w:rFonts w:cstheme="minorHAnsi"/>
          <w:sz w:val="22"/>
          <w:szCs w:val="22"/>
        </w:rPr>
      </w:pPr>
    </w:p>
    <w:p w14:paraId="43EC4D58" w14:textId="77777777" w:rsidR="00F43B13" w:rsidRPr="00CC1ADD" w:rsidRDefault="00F43B13">
      <w:pPr>
        <w:pStyle w:val="mpcheading2"/>
        <w:spacing w:after="0"/>
        <w:rPr>
          <w:rFonts w:cstheme="minorHAnsi"/>
        </w:rPr>
      </w:pPr>
      <w:bookmarkStart w:id="49" w:name="Governance"/>
      <w:bookmarkStart w:id="50" w:name="_Toc9955035"/>
      <w:bookmarkEnd w:id="49"/>
      <w:r w:rsidRPr="00CC1ADD">
        <w:rPr>
          <w:rFonts w:cstheme="minorHAnsi"/>
        </w:rPr>
        <w:t>Governance of the HSR System</w:t>
      </w:r>
      <w:bookmarkEnd w:id="50"/>
    </w:p>
    <w:p w14:paraId="5B6005A7" w14:textId="77777777" w:rsidR="00F43B13" w:rsidRPr="00CC1ADD" w:rsidRDefault="00F43B13">
      <w:pPr>
        <w:rPr>
          <w:rFonts w:cstheme="minorHAnsi"/>
          <w:sz w:val="22"/>
          <w:szCs w:val="22"/>
        </w:rPr>
      </w:pPr>
    </w:p>
    <w:p w14:paraId="0DC5CBF6" w14:textId="2BB4FDB9" w:rsidR="00F43B13" w:rsidRDefault="00F43B13">
      <w:pPr>
        <w:rPr>
          <w:sz w:val="22"/>
          <w:szCs w:val="22"/>
        </w:rPr>
      </w:pPr>
      <w:r w:rsidRPr="00CC1ADD">
        <w:rPr>
          <w:sz w:val="22"/>
          <w:szCs w:val="22"/>
        </w:rPr>
        <w:t xml:space="preserve">The </w:t>
      </w:r>
      <w:r w:rsidRPr="00591AAD">
        <w:rPr>
          <w:rFonts w:cstheme="minorHAnsi"/>
          <w:sz w:val="22"/>
          <w:szCs w:val="22"/>
        </w:rPr>
        <w:t xml:space="preserve">HSR System is overseen by the </w:t>
      </w:r>
      <w:r w:rsidR="00591AAD" w:rsidRPr="00CC1ADD">
        <w:rPr>
          <w:rFonts w:cstheme="minorHAnsi"/>
          <w:sz w:val="22"/>
          <w:szCs w:val="22"/>
        </w:rPr>
        <w:t>Forum</w:t>
      </w:r>
      <w:r w:rsidRPr="00591AAD">
        <w:rPr>
          <w:rFonts w:cstheme="minorHAnsi"/>
          <w:sz w:val="22"/>
          <w:szCs w:val="22"/>
        </w:rPr>
        <w:t xml:space="preserve">, the </w:t>
      </w:r>
      <w:r w:rsidR="00591AAD" w:rsidRPr="00591AAD">
        <w:rPr>
          <w:rFonts w:cstheme="minorHAnsi"/>
          <w:sz w:val="22"/>
          <w:szCs w:val="22"/>
        </w:rPr>
        <w:t>Food Regulation Standing Committee (FRSC)</w:t>
      </w:r>
      <w:r w:rsidRPr="00591AAD">
        <w:rPr>
          <w:rFonts w:cstheme="minorHAnsi"/>
          <w:sz w:val="22"/>
          <w:szCs w:val="22"/>
        </w:rPr>
        <w:t xml:space="preserve"> and a number</w:t>
      </w:r>
      <w:r w:rsidRPr="00CC1ADD">
        <w:rPr>
          <w:sz w:val="22"/>
          <w:szCs w:val="22"/>
        </w:rPr>
        <w:t xml:space="preserve"> of committees established for the specific purpose of managing, monitoring and implementing the HSR System. </w:t>
      </w:r>
      <w:r w:rsidR="00027302">
        <w:rPr>
          <w:sz w:val="22"/>
          <w:szCs w:val="22"/>
        </w:rPr>
        <w:t>The current governance structure of the HSR System is illustrated at Figure 1.</w:t>
      </w:r>
    </w:p>
    <w:p w14:paraId="6A5A7B52" w14:textId="77777777" w:rsidR="00AE7B1D" w:rsidRPr="004B53A8" w:rsidRDefault="00AE7B1D">
      <w:pPr>
        <w:rPr>
          <w:sz w:val="15"/>
          <w:szCs w:val="22"/>
        </w:rPr>
      </w:pPr>
    </w:p>
    <w:p w14:paraId="232FE95A" w14:textId="0C2A44F3" w:rsidR="00F43B13" w:rsidRPr="00CC1ADD" w:rsidRDefault="00A26FC9" w:rsidP="006B0997">
      <w:pPr>
        <w:pStyle w:val="mpcNormal"/>
        <w:keepNext w:val="0"/>
        <w:jc w:val="center"/>
      </w:pPr>
      <w:r w:rsidRPr="00A26FC9">
        <w:rPr>
          <w:noProof/>
          <w:lang w:eastAsia="en-AU"/>
        </w:rPr>
        <w:drawing>
          <wp:inline distT="0" distB="0" distL="0" distR="0" wp14:anchorId="4CA3E502" wp14:editId="5359B264">
            <wp:extent cx="4222959" cy="3791823"/>
            <wp:effectExtent l="0" t="0" r="0" b="5715"/>
            <wp:docPr id="36" name="Picture 36" descr="Figure 1:  HSR System governance structure. This diagram shows that the SMAG, the TAG and the NZHSRAG report tp the HSRAC, which reports to the FRSC, which ultimately reports to the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40122" cy="3807234"/>
                    </a:xfrm>
                    <a:prstGeom prst="rect">
                      <a:avLst/>
                    </a:prstGeom>
                  </pic:spPr>
                </pic:pic>
              </a:graphicData>
            </a:graphic>
          </wp:inline>
        </w:drawing>
      </w:r>
    </w:p>
    <w:p w14:paraId="0017DADF" w14:textId="6881DE19" w:rsidR="00F43B13" w:rsidRPr="00CC1ADD" w:rsidRDefault="00C14D9F" w:rsidP="005A3631">
      <w:pPr>
        <w:pStyle w:val="mpctableheading"/>
        <w:jc w:val="center"/>
        <w:rPr>
          <w:sz w:val="20"/>
        </w:rPr>
      </w:pPr>
      <w:r w:rsidRPr="00CC1ADD">
        <w:rPr>
          <w:sz w:val="20"/>
        </w:rPr>
        <w:t>Figure</w:t>
      </w:r>
      <w:r w:rsidR="00F43B13" w:rsidRPr="00CC1ADD">
        <w:rPr>
          <w:sz w:val="20"/>
        </w:rPr>
        <w:t xml:space="preserve"> </w:t>
      </w:r>
      <w:r w:rsidR="00591AAD">
        <w:rPr>
          <w:sz w:val="20"/>
        </w:rPr>
        <w:t>1</w:t>
      </w:r>
      <w:r w:rsidR="00F43B13" w:rsidRPr="00CC1ADD">
        <w:rPr>
          <w:sz w:val="20"/>
        </w:rPr>
        <w:t xml:space="preserve">:  </w:t>
      </w:r>
      <w:r w:rsidR="00F43B13" w:rsidRPr="00CC1ADD">
        <w:rPr>
          <w:b w:val="0"/>
          <w:sz w:val="20"/>
        </w:rPr>
        <w:t xml:space="preserve">HSR System </w:t>
      </w:r>
      <w:r w:rsidR="00591AAD">
        <w:rPr>
          <w:b w:val="0"/>
          <w:sz w:val="20"/>
        </w:rPr>
        <w:t>g</w:t>
      </w:r>
      <w:r w:rsidR="00F43B13" w:rsidRPr="00CC1ADD">
        <w:rPr>
          <w:b w:val="0"/>
          <w:sz w:val="20"/>
        </w:rPr>
        <w:t xml:space="preserve">overnance </w:t>
      </w:r>
      <w:r w:rsidR="00591AAD">
        <w:rPr>
          <w:b w:val="0"/>
          <w:sz w:val="20"/>
        </w:rPr>
        <w:t>s</w:t>
      </w:r>
      <w:r w:rsidR="00F43B13" w:rsidRPr="00CC1ADD">
        <w:rPr>
          <w:b w:val="0"/>
          <w:sz w:val="20"/>
        </w:rPr>
        <w:t>tructure.</w:t>
      </w:r>
    </w:p>
    <w:p w14:paraId="2E3440D4" w14:textId="77777777" w:rsidR="00F43B13" w:rsidRPr="00CC1ADD" w:rsidRDefault="00F43B13">
      <w:pPr>
        <w:rPr>
          <w:sz w:val="22"/>
          <w:szCs w:val="22"/>
          <w:lang w:eastAsia="en-GB"/>
        </w:rPr>
      </w:pPr>
    </w:p>
    <w:p w14:paraId="25A7D81D" w14:textId="77777777" w:rsidR="00F43B13" w:rsidRPr="00CC1ADD" w:rsidRDefault="00F43B13" w:rsidP="000A22C3">
      <w:pPr>
        <w:pStyle w:val="mpcheading4"/>
        <w:keepNext w:val="0"/>
        <w:rPr>
          <w:lang w:eastAsia="en-GB"/>
        </w:rPr>
      </w:pPr>
      <w:r w:rsidRPr="00CC1ADD">
        <w:rPr>
          <w:lang w:eastAsia="en-GB"/>
        </w:rPr>
        <w:t>Health Star Rating Advisory Committee</w:t>
      </w:r>
    </w:p>
    <w:p w14:paraId="331AA282" w14:textId="77777777" w:rsidR="00F43B13" w:rsidRPr="00CC1ADD" w:rsidRDefault="00F43B13" w:rsidP="000A22C3">
      <w:pPr>
        <w:pStyle w:val="mpcheading4"/>
        <w:keepNext w:val="0"/>
        <w:rPr>
          <w:lang w:eastAsia="en-GB"/>
        </w:rPr>
      </w:pPr>
    </w:p>
    <w:p w14:paraId="1FD92421" w14:textId="6D3B42F0" w:rsidR="00F43B13" w:rsidRPr="00CC1ADD" w:rsidRDefault="00752513" w:rsidP="005A3631">
      <w:pPr>
        <w:rPr>
          <w:sz w:val="22"/>
          <w:szCs w:val="22"/>
        </w:rPr>
      </w:pPr>
      <w:r>
        <w:rPr>
          <w:sz w:val="22"/>
          <w:szCs w:val="22"/>
        </w:rPr>
        <w:t>T</w:t>
      </w:r>
      <w:r w:rsidR="00F43B13" w:rsidRPr="00CC1ADD">
        <w:rPr>
          <w:sz w:val="22"/>
          <w:szCs w:val="22"/>
        </w:rPr>
        <w:t>he HSRAC is responsible for overseeing the implementation of the HSR System. This includes the social marketing campaign in Australia, monitoring and evaluation of the System and the assessment of potential anomalies that may be identified within the HSR Calculator. The HSRAC provides advice and reports to the FRSC.</w:t>
      </w:r>
    </w:p>
    <w:p w14:paraId="684BC3BA" w14:textId="77777777" w:rsidR="00F43B13" w:rsidRPr="00CC1ADD" w:rsidRDefault="00F43B13">
      <w:pPr>
        <w:rPr>
          <w:sz w:val="22"/>
          <w:szCs w:val="22"/>
        </w:rPr>
      </w:pPr>
    </w:p>
    <w:p w14:paraId="3DA0AA2F" w14:textId="3958DAF0" w:rsidR="00F43B13" w:rsidRPr="00CC1ADD" w:rsidRDefault="00F43B13">
      <w:pPr>
        <w:rPr>
          <w:color w:val="000000" w:themeColor="text1"/>
          <w:sz w:val="22"/>
          <w:szCs w:val="22"/>
        </w:rPr>
      </w:pPr>
      <w:r w:rsidRPr="00CC1ADD">
        <w:rPr>
          <w:color w:val="000000" w:themeColor="text1"/>
          <w:sz w:val="22"/>
          <w:szCs w:val="22"/>
        </w:rPr>
        <w:t xml:space="preserve">The HSRAC consists of </w:t>
      </w:r>
      <w:r w:rsidR="002F0EC0">
        <w:rPr>
          <w:color w:val="000000" w:themeColor="text1"/>
          <w:sz w:val="22"/>
          <w:szCs w:val="22"/>
        </w:rPr>
        <w:t>10</w:t>
      </w:r>
      <w:r w:rsidRPr="00CC1ADD">
        <w:rPr>
          <w:color w:val="000000" w:themeColor="text1"/>
          <w:sz w:val="22"/>
          <w:szCs w:val="22"/>
        </w:rPr>
        <w:t xml:space="preserve"> members including the Chair</w:t>
      </w:r>
      <w:r w:rsidR="006057F0">
        <w:rPr>
          <w:color w:val="000000" w:themeColor="text1"/>
          <w:sz w:val="22"/>
          <w:szCs w:val="22"/>
        </w:rPr>
        <w:t xml:space="preserve">: </w:t>
      </w:r>
      <w:r w:rsidRPr="00CC1ADD">
        <w:rPr>
          <w:color w:val="000000" w:themeColor="text1"/>
          <w:sz w:val="22"/>
          <w:szCs w:val="22"/>
        </w:rPr>
        <w:t>four members from government (</w:t>
      </w:r>
      <w:r w:rsidR="002F0EC0">
        <w:rPr>
          <w:color w:val="000000" w:themeColor="text1"/>
          <w:sz w:val="22"/>
          <w:szCs w:val="22"/>
        </w:rPr>
        <w:t>New South Wales</w:t>
      </w:r>
      <w:r w:rsidRPr="00CC1ADD">
        <w:rPr>
          <w:color w:val="000000" w:themeColor="text1"/>
          <w:sz w:val="22"/>
          <w:szCs w:val="22"/>
        </w:rPr>
        <w:t xml:space="preserve">, </w:t>
      </w:r>
      <w:r w:rsidR="002F0EC0">
        <w:rPr>
          <w:color w:val="000000" w:themeColor="text1"/>
          <w:sz w:val="22"/>
          <w:szCs w:val="22"/>
        </w:rPr>
        <w:t>South Australia</w:t>
      </w:r>
      <w:r w:rsidRPr="00CC1ADD">
        <w:rPr>
          <w:color w:val="000000" w:themeColor="text1"/>
          <w:sz w:val="22"/>
          <w:szCs w:val="22"/>
        </w:rPr>
        <w:t>, Australia and New Zealand)</w:t>
      </w:r>
      <w:r w:rsidR="006057F0">
        <w:rPr>
          <w:color w:val="000000" w:themeColor="text1"/>
          <w:sz w:val="22"/>
          <w:szCs w:val="22"/>
        </w:rPr>
        <w:t>;</w:t>
      </w:r>
      <w:r w:rsidRPr="00CC1ADD">
        <w:rPr>
          <w:color w:val="000000" w:themeColor="text1"/>
          <w:sz w:val="22"/>
          <w:szCs w:val="22"/>
        </w:rPr>
        <w:t xml:space="preserve"> three members from industry</w:t>
      </w:r>
      <w:r w:rsidR="006057F0">
        <w:rPr>
          <w:color w:val="000000" w:themeColor="text1"/>
          <w:sz w:val="22"/>
          <w:szCs w:val="22"/>
        </w:rPr>
        <w:t>;</w:t>
      </w:r>
      <w:r w:rsidRPr="00CC1ADD">
        <w:rPr>
          <w:color w:val="000000" w:themeColor="text1"/>
          <w:sz w:val="22"/>
          <w:szCs w:val="22"/>
        </w:rPr>
        <w:t xml:space="preserve"> and </w:t>
      </w:r>
      <w:r w:rsidR="006057F0" w:rsidRPr="00CC1ADD">
        <w:rPr>
          <w:color w:val="000000" w:themeColor="text1"/>
          <w:sz w:val="22"/>
          <w:szCs w:val="22"/>
        </w:rPr>
        <w:t xml:space="preserve">three members from </w:t>
      </w:r>
      <w:r w:rsidRPr="00CC1ADD">
        <w:rPr>
          <w:color w:val="000000" w:themeColor="text1"/>
          <w:sz w:val="22"/>
          <w:szCs w:val="22"/>
        </w:rPr>
        <w:t>community (consumer and public health). Tenure for members is five years –</w:t>
      </w:r>
      <w:r w:rsidR="00591AAD">
        <w:rPr>
          <w:color w:val="000000" w:themeColor="text1"/>
          <w:sz w:val="22"/>
          <w:szCs w:val="22"/>
        </w:rPr>
        <w:t xml:space="preserve"> </w:t>
      </w:r>
      <w:r w:rsidRPr="00CC1ADD">
        <w:rPr>
          <w:color w:val="000000" w:themeColor="text1"/>
          <w:sz w:val="22"/>
          <w:szCs w:val="22"/>
        </w:rPr>
        <w:t>the duration of the voluntary implementation period of the HSR System (from June 2014). The HSRAC makes decisions on a consensus basis and</w:t>
      </w:r>
      <w:r w:rsidR="00750858">
        <w:rPr>
          <w:color w:val="000000" w:themeColor="text1"/>
          <w:sz w:val="22"/>
          <w:szCs w:val="22"/>
        </w:rPr>
        <w:t>,</w:t>
      </w:r>
      <w:r w:rsidRPr="00CC1ADD">
        <w:rPr>
          <w:color w:val="000000" w:themeColor="text1"/>
          <w:sz w:val="22"/>
          <w:szCs w:val="22"/>
        </w:rPr>
        <w:t xml:space="preserve"> where consensus cannot be reached</w:t>
      </w:r>
      <w:r w:rsidR="00750858">
        <w:rPr>
          <w:color w:val="000000" w:themeColor="text1"/>
          <w:sz w:val="22"/>
          <w:szCs w:val="22"/>
        </w:rPr>
        <w:t>,</w:t>
      </w:r>
      <w:r w:rsidRPr="00CC1ADD">
        <w:rPr>
          <w:color w:val="000000" w:themeColor="text1"/>
          <w:sz w:val="22"/>
          <w:szCs w:val="22"/>
        </w:rPr>
        <w:t xml:space="preserve"> refer</w:t>
      </w:r>
      <w:r w:rsidR="00750858">
        <w:rPr>
          <w:color w:val="000000" w:themeColor="text1"/>
          <w:sz w:val="22"/>
          <w:szCs w:val="22"/>
        </w:rPr>
        <w:t>s</w:t>
      </w:r>
      <w:r w:rsidRPr="00CC1ADD">
        <w:rPr>
          <w:color w:val="000000" w:themeColor="text1"/>
          <w:sz w:val="22"/>
          <w:szCs w:val="22"/>
        </w:rPr>
        <w:t xml:space="preserve"> decisions to the Forum.</w:t>
      </w:r>
    </w:p>
    <w:p w14:paraId="57ADB154" w14:textId="77777777" w:rsidR="00F43B13" w:rsidRPr="00CC1ADD" w:rsidRDefault="00F43B13">
      <w:pPr>
        <w:pStyle w:val="NormalWeb"/>
        <w:spacing w:before="0" w:beforeAutospacing="0" w:after="0" w:afterAutospacing="0"/>
        <w:rPr>
          <w:rFonts w:asciiTheme="minorHAnsi" w:eastAsia="Times New Roman" w:hAnsiTheme="minorHAnsi"/>
          <w:color w:val="000000" w:themeColor="text1"/>
          <w:sz w:val="22"/>
          <w:szCs w:val="22"/>
          <w:shd w:val="clear" w:color="auto" w:fill="FFFFFF"/>
          <w:lang w:val="en-AU"/>
        </w:rPr>
      </w:pPr>
    </w:p>
    <w:p w14:paraId="05E64D27" w14:textId="77777777" w:rsidR="008C60AC" w:rsidRPr="00CC1ADD" w:rsidRDefault="008C60AC" w:rsidP="008C60AC">
      <w:pPr>
        <w:pStyle w:val="mpcheading4"/>
        <w:keepNext w:val="0"/>
        <w:rPr>
          <w:lang w:eastAsia="en-GB"/>
        </w:rPr>
      </w:pPr>
      <w:r w:rsidRPr="00CC1ADD">
        <w:rPr>
          <w:lang w:eastAsia="en-GB"/>
        </w:rPr>
        <w:t>New Zealand Health Star Rating Advisory Group</w:t>
      </w:r>
    </w:p>
    <w:p w14:paraId="6F2A7F19" w14:textId="77777777" w:rsidR="008C60AC" w:rsidRPr="00CC1ADD" w:rsidRDefault="008C60AC" w:rsidP="008C60AC">
      <w:pPr>
        <w:pStyle w:val="mpcheading4"/>
        <w:keepNext w:val="0"/>
        <w:rPr>
          <w:lang w:eastAsia="en-GB"/>
        </w:rPr>
      </w:pPr>
    </w:p>
    <w:p w14:paraId="4C5AC92F" w14:textId="07F1F16D" w:rsidR="008C60AC" w:rsidRPr="00CC1ADD" w:rsidRDefault="008C60AC" w:rsidP="008C60AC">
      <w:pPr>
        <w:pStyle w:val="NormalWeb"/>
        <w:spacing w:before="0" w:beforeAutospacing="0" w:after="0" w:afterAutospacing="0"/>
        <w:rPr>
          <w:rFonts w:asciiTheme="minorHAnsi" w:hAnsiTheme="minorHAnsi" w:cs="TimesNewRomanPSMT"/>
          <w:sz w:val="22"/>
          <w:szCs w:val="22"/>
          <w:lang w:val="en-AU"/>
        </w:rPr>
      </w:pPr>
      <w:r w:rsidRPr="00CC1ADD">
        <w:rPr>
          <w:rFonts w:asciiTheme="minorHAnsi" w:hAnsiTheme="minorHAnsi" w:cs="TimesNewRomanPSMT"/>
          <w:color w:val="000000" w:themeColor="text1"/>
          <w:sz w:val="22"/>
          <w:szCs w:val="22"/>
          <w:lang w:val="en-AU"/>
        </w:rPr>
        <w:t xml:space="preserve">The </w:t>
      </w:r>
      <w:r w:rsidRPr="00CC1ADD">
        <w:rPr>
          <w:rFonts w:asciiTheme="minorHAnsi" w:hAnsiTheme="minorHAnsi" w:cs="TimesNewRomanPSMT"/>
          <w:bCs/>
          <w:color w:val="000000" w:themeColor="text1"/>
          <w:sz w:val="22"/>
          <w:szCs w:val="22"/>
          <w:lang w:val="en-AU"/>
        </w:rPr>
        <w:t>New Zealand Health Star Rating Advisory Group</w:t>
      </w:r>
      <w:r w:rsidRPr="00CC1ADD">
        <w:rPr>
          <w:rFonts w:asciiTheme="minorHAnsi" w:hAnsiTheme="minorHAnsi" w:cs="TimesNewRomanPSMT"/>
          <w:color w:val="000000" w:themeColor="text1"/>
          <w:sz w:val="22"/>
          <w:szCs w:val="22"/>
          <w:lang w:val="en-AU"/>
        </w:rPr>
        <w:t xml:space="preserve"> (NZHSRAG) </w:t>
      </w:r>
      <w:r w:rsidR="00701F22">
        <w:rPr>
          <w:rFonts w:asciiTheme="minorHAnsi" w:hAnsiTheme="minorHAnsi" w:cs="TimesNewRomanPSMT"/>
          <w:color w:val="000000" w:themeColor="text1"/>
          <w:sz w:val="22"/>
          <w:szCs w:val="22"/>
          <w:lang w:val="en-AU"/>
        </w:rPr>
        <w:t>oversees the</w:t>
      </w:r>
      <w:r w:rsidRPr="00CC1ADD">
        <w:rPr>
          <w:rFonts w:asciiTheme="minorHAnsi" w:hAnsiTheme="minorHAnsi" w:cs="TimesNewRomanPSMT"/>
          <w:color w:val="000000" w:themeColor="text1"/>
          <w:sz w:val="22"/>
          <w:szCs w:val="22"/>
          <w:lang w:val="en-AU"/>
        </w:rPr>
        <w:t xml:space="preserve"> implementation</w:t>
      </w:r>
      <w:r w:rsidR="00701F22">
        <w:rPr>
          <w:rFonts w:asciiTheme="minorHAnsi" w:hAnsiTheme="minorHAnsi" w:cs="TimesNewRomanPSMT"/>
          <w:color w:val="000000" w:themeColor="text1"/>
          <w:sz w:val="22"/>
          <w:szCs w:val="22"/>
          <w:lang w:val="en-AU"/>
        </w:rPr>
        <w:t>, monitoring and evaluation</w:t>
      </w:r>
      <w:r w:rsidRPr="00CC1ADD">
        <w:rPr>
          <w:rFonts w:asciiTheme="minorHAnsi" w:hAnsiTheme="minorHAnsi" w:cs="TimesNewRomanPSMT"/>
          <w:color w:val="000000" w:themeColor="text1"/>
          <w:sz w:val="22"/>
          <w:szCs w:val="22"/>
          <w:lang w:val="en-AU"/>
        </w:rPr>
        <w:t xml:space="preserve"> of the HSR System in New Zealand. The NZHSRAG is chaired by the Ministry for Primary Industries (MPI) and includes representatives from the food industry, academia, public health and consumer groups in New Zealand</w:t>
      </w:r>
      <w:r w:rsidRPr="00CC1ADD">
        <w:rPr>
          <w:rFonts w:asciiTheme="minorHAnsi" w:hAnsiTheme="minorHAnsi" w:cs="TimesNewRomanPSMT"/>
          <w:sz w:val="22"/>
          <w:szCs w:val="22"/>
          <w:lang w:val="en-AU"/>
        </w:rPr>
        <w:t xml:space="preserve">. </w:t>
      </w:r>
    </w:p>
    <w:p w14:paraId="51E4E784" w14:textId="77777777" w:rsidR="008C60AC" w:rsidRPr="00CC1ADD" w:rsidRDefault="008C60AC" w:rsidP="008C60AC">
      <w:pPr>
        <w:pStyle w:val="NormalWeb"/>
        <w:spacing w:before="0" w:beforeAutospacing="0" w:after="0" w:afterAutospacing="0"/>
        <w:rPr>
          <w:rFonts w:asciiTheme="minorHAnsi" w:hAnsiTheme="minorHAnsi" w:cs="TimesNewRomanPSMT"/>
          <w:sz w:val="22"/>
          <w:szCs w:val="22"/>
          <w:lang w:val="en-AU"/>
        </w:rPr>
      </w:pPr>
    </w:p>
    <w:p w14:paraId="55928BD1" w14:textId="77777777" w:rsidR="008C60AC" w:rsidRPr="00CC1ADD" w:rsidRDefault="008C60AC" w:rsidP="008C60AC">
      <w:pPr>
        <w:pStyle w:val="mpcheading4"/>
        <w:keepNext w:val="0"/>
        <w:rPr>
          <w:lang w:eastAsia="en-GB"/>
        </w:rPr>
      </w:pPr>
      <w:r w:rsidRPr="00CC1ADD">
        <w:rPr>
          <w:lang w:eastAsia="en-GB"/>
        </w:rPr>
        <w:t>Social Marketing Advisory Group</w:t>
      </w:r>
    </w:p>
    <w:p w14:paraId="720ABB19" w14:textId="77777777" w:rsidR="008C60AC" w:rsidRPr="00CC1ADD" w:rsidRDefault="008C60AC" w:rsidP="008C60AC">
      <w:pPr>
        <w:pStyle w:val="mpcheading4"/>
        <w:keepNext w:val="0"/>
        <w:rPr>
          <w:lang w:eastAsia="en-GB"/>
        </w:rPr>
      </w:pPr>
    </w:p>
    <w:p w14:paraId="20B896AF" w14:textId="77777777" w:rsidR="008C60AC" w:rsidRPr="00CC1ADD" w:rsidRDefault="008C60AC" w:rsidP="008C60AC">
      <w:pPr>
        <w:rPr>
          <w:color w:val="000000" w:themeColor="text1"/>
          <w:sz w:val="22"/>
          <w:szCs w:val="22"/>
        </w:rPr>
      </w:pPr>
      <w:r w:rsidRPr="00CC1ADD">
        <w:rPr>
          <w:color w:val="000000" w:themeColor="text1"/>
          <w:sz w:val="22"/>
          <w:szCs w:val="22"/>
        </w:rPr>
        <w:t xml:space="preserve">The Social Marketing Advisory Group (SMAG) provides advice on communications on the HSR System in Australia, including campaigns and social marketing. The SMAG comprises members with expertise in communications and social marketing from relevant industry and consumer/public health groups, as well as jurisdictions and is chaired by a representative of the </w:t>
      </w:r>
      <w:r>
        <w:rPr>
          <w:color w:val="000000" w:themeColor="text1"/>
          <w:sz w:val="22"/>
          <w:szCs w:val="22"/>
        </w:rPr>
        <w:t>Commonwealth</w:t>
      </w:r>
      <w:r w:rsidRPr="00CC1ADD">
        <w:rPr>
          <w:color w:val="000000" w:themeColor="text1"/>
          <w:sz w:val="22"/>
          <w:szCs w:val="22"/>
        </w:rPr>
        <w:t xml:space="preserve"> Department of Health.</w:t>
      </w:r>
    </w:p>
    <w:p w14:paraId="2453FDA2" w14:textId="77777777" w:rsidR="008C60AC" w:rsidRDefault="008C60AC" w:rsidP="006B0997">
      <w:pPr>
        <w:pStyle w:val="mpcheading4"/>
        <w:keepNext w:val="0"/>
        <w:rPr>
          <w:lang w:eastAsia="en-GB"/>
        </w:rPr>
      </w:pPr>
    </w:p>
    <w:p w14:paraId="3D78BEB4" w14:textId="647980ED" w:rsidR="00F43B13" w:rsidRPr="006B0997" w:rsidRDefault="00F43B13" w:rsidP="00027302">
      <w:pPr>
        <w:pStyle w:val="mpcheading4"/>
        <w:rPr>
          <w:lang w:eastAsia="en-GB"/>
        </w:rPr>
      </w:pPr>
      <w:r w:rsidRPr="006B0997">
        <w:rPr>
          <w:lang w:eastAsia="en-GB"/>
        </w:rPr>
        <w:t>Technical Advisory Group</w:t>
      </w:r>
    </w:p>
    <w:p w14:paraId="5C38DB67" w14:textId="5FE85904" w:rsidR="00F43B13" w:rsidRPr="006B0997" w:rsidRDefault="00F43B13" w:rsidP="00027302">
      <w:pPr>
        <w:pStyle w:val="mpcheading4"/>
        <w:rPr>
          <w:rFonts w:cstheme="minorHAnsi"/>
          <w:lang w:eastAsia="en-GB"/>
        </w:rPr>
      </w:pPr>
    </w:p>
    <w:p w14:paraId="0C45DA5C" w14:textId="3F3DB981" w:rsidR="00F43B13" w:rsidRPr="006B0997" w:rsidRDefault="006B0997" w:rsidP="00027302">
      <w:pPr>
        <w:keepNext/>
        <w:rPr>
          <w:rFonts w:eastAsia="Times New Roman" w:cstheme="minorHAnsi"/>
          <w:color w:val="000000" w:themeColor="text1"/>
          <w:sz w:val="22"/>
          <w:szCs w:val="22"/>
        </w:rPr>
      </w:pPr>
      <w:r w:rsidRPr="006B0997">
        <w:rPr>
          <w:rFonts w:eastAsia="Times New Roman" w:cstheme="minorHAnsi"/>
          <w:color w:val="000000" w:themeColor="text1"/>
          <w:sz w:val="22"/>
          <w:szCs w:val="22"/>
          <w:shd w:val="clear" w:color="auto" w:fill="FFFFFF"/>
        </w:rPr>
        <w:t xml:space="preserve">The TAG’s role </w:t>
      </w:r>
      <w:r w:rsidR="00A26FC9">
        <w:rPr>
          <w:rFonts w:eastAsia="Times New Roman" w:cstheme="minorHAnsi"/>
          <w:color w:val="000000" w:themeColor="text1"/>
          <w:sz w:val="22"/>
          <w:szCs w:val="22"/>
          <w:shd w:val="clear" w:color="auto" w:fill="FFFFFF"/>
        </w:rPr>
        <w:t>wa</w:t>
      </w:r>
      <w:r w:rsidRPr="006B0997">
        <w:rPr>
          <w:rFonts w:eastAsia="Times New Roman" w:cstheme="minorHAnsi"/>
          <w:color w:val="000000" w:themeColor="text1"/>
          <w:sz w:val="22"/>
          <w:szCs w:val="22"/>
          <w:shd w:val="clear" w:color="auto" w:fill="FFFFFF"/>
        </w:rPr>
        <w:t>s to analyse and review the performance of the HSR Calculator and respond to technical issues and related matters referred to it by the HSRAC. Advice provided by the TAG has supported the Review</w:t>
      </w:r>
      <w:r w:rsidR="008C60AC">
        <w:rPr>
          <w:rFonts w:eastAsia="Times New Roman" w:cstheme="minorHAnsi"/>
          <w:color w:val="000000" w:themeColor="text1"/>
          <w:sz w:val="22"/>
          <w:szCs w:val="22"/>
          <w:shd w:val="clear" w:color="auto" w:fill="FFFFFF"/>
        </w:rPr>
        <w:t xml:space="preserve"> and the TAG has now been disbanded</w:t>
      </w:r>
      <w:r w:rsidRPr="006B0997">
        <w:rPr>
          <w:rFonts w:eastAsia="Times New Roman" w:cstheme="minorHAnsi"/>
          <w:color w:val="000000" w:themeColor="text1"/>
          <w:sz w:val="22"/>
          <w:szCs w:val="22"/>
          <w:shd w:val="clear" w:color="auto" w:fill="FFFFFF"/>
        </w:rPr>
        <w:t xml:space="preserve">. </w:t>
      </w:r>
      <w:r w:rsidR="00F43B13" w:rsidRPr="006B0997">
        <w:rPr>
          <w:rFonts w:cs="TimesNewRomanPSMT"/>
          <w:color w:val="000000" w:themeColor="text1"/>
          <w:sz w:val="22"/>
          <w:szCs w:val="22"/>
        </w:rPr>
        <w:t>Specifically, the TAG:</w:t>
      </w:r>
    </w:p>
    <w:p w14:paraId="6ED6AA06" w14:textId="77777777" w:rsidR="00F43B13" w:rsidRPr="006B0997" w:rsidRDefault="00F43B13">
      <w:pPr>
        <w:pStyle w:val="NormalWeb"/>
        <w:spacing w:before="0" w:beforeAutospacing="0" w:after="0" w:afterAutospacing="0"/>
        <w:rPr>
          <w:rFonts w:asciiTheme="minorHAnsi" w:hAnsiTheme="minorHAnsi"/>
          <w:color w:val="000000" w:themeColor="text1"/>
          <w:sz w:val="22"/>
          <w:szCs w:val="22"/>
          <w:lang w:val="en-AU"/>
        </w:rPr>
      </w:pPr>
    </w:p>
    <w:p w14:paraId="3C45A7A2" w14:textId="578FA60B" w:rsidR="00F43B13" w:rsidRPr="006B0997" w:rsidRDefault="00F43B13">
      <w:pPr>
        <w:pStyle w:val="NormalWeb"/>
        <w:numPr>
          <w:ilvl w:val="0"/>
          <w:numId w:val="3"/>
        </w:numPr>
        <w:spacing w:before="0" w:beforeAutospacing="0" w:after="0" w:afterAutospacing="0"/>
        <w:rPr>
          <w:rFonts w:asciiTheme="minorHAnsi" w:hAnsiTheme="minorHAnsi" w:cs="TimesNewRomanPSMT"/>
          <w:color w:val="000000" w:themeColor="text1"/>
          <w:sz w:val="22"/>
          <w:szCs w:val="22"/>
          <w:lang w:val="en-AU"/>
        </w:rPr>
      </w:pPr>
      <w:r w:rsidRPr="006B0997">
        <w:rPr>
          <w:rFonts w:asciiTheme="minorHAnsi" w:hAnsiTheme="minorHAnsi" w:cs="TimesNewRomanPSMT"/>
          <w:color w:val="000000" w:themeColor="text1"/>
          <w:sz w:val="22"/>
          <w:szCs w:val="22"/>
          <w:lang w:val="en-AU"/>
        </w:rPr>
        <w:t>analyse</w:t>
      </w:r>
      <w:r w:rsidR="008C60AC">
        <w:rPr>
          <w:rFonts w:asciiTheme="minorHAnsi" w:hAnsiTheme="minorHAnsi" w:cs="TimesNewRomanPSMT"/>
          <w:color w:val="000000" w:themeColor="text1"/>
          <w:sz w:val="22"/>
          <w:szCs w:val="22"/>
          <w:lang w:val="en-AU"/>
        </w:rPr>
        <w:t>d</w:t>
      </w:r>
      <w:r w:rsidRPr="006B0997">
        <w:rPr>
          <w:rFonts w:asciiTheme="minorHAnsi" w:hAnsiTheme="minorHAnsi" w:cs="TimesNewRomanPSMT"/>
          <w:color w:val="000000" w:themeColor="text1"/>
          <w:sz w:val="22"/>
          <w:szCs w:val="22"/>
          <w:lang w:val="en-AU"/>
        </w:rPr>
        <w:t xml:space="preserve"> the HSRs produced by the HSR Calculator and consider</w:t>
      </w:r>
      <w:r w:rsidR="008C60AC">
        <w:rPr>
          <w:rFonts w:asciiTheme="minorHAnsi" w:hAnsiTheme="minorHAnsi" w:cs="TimesNewRomanPSMT"/>
          <w:color w:val="000000" w:themeColor="text1"/>
          <w:sz w:val="22"/>
          <w:szCs w:val="22"/>
          <w:lang w:val="en-AU"/>
        </w:rPr>
        <w:t>ed</w:t>
      </w:r>
      <w:r w:rsidRPr="006B0997">
        <w:rPr>
          <w:rFonts w:asciiTheme="minorHAnsi" w:hAnsiTheme="minorHAnsi" w:cs="TimesNewRomanPSMT"/>
          <w:color w:val="000000" w:themeColor="text1"/>
          <w:sz w:val="22"/>
          <w:szCs w:val="22"/>
          <w:lang w:val="en-AU"/>
        </w:rPr>
        <w:t xml:space="preserve"> whether the</w:t>
      </w:r>
      <w:r w:rsidR="00591AAD" w:rsidRPr="006B0997">
        <w:rPr>
          <w:rFonts w:asciiTheme="minorHAnsi" w:hAnsiTheme="minorHAnsi" w:cs="TimesNewRomanPSMT"/>
          <w:color w:val="000000" w:themeColor="text1"/>
          <w:sz w:val="22"/>
          <w:szCs w:val="22"/>
          <w:lang w:val="en-AU"/>
        </w:rPr>
        <w:t xml:space="preserve">y </w:t>
      </w:r>
      <w:r w:rsidRPr="006B0997">
        <w:rPr>
          <w:rFonts w:asciiTheme="minorHAnsi" w:hAnsiTheme="minorHAnsi" w:cs="TimesNewRomanPSMT"/>
          <w:color w:val="000000" w:themeColor="text1"/>
          <w:sz w:val="22"/>
          <w:szCs w:val="22"/>
          <w:lang w:val="en-AU"/>
        </w:rPr>
        <w:t xml:space="preserve">align with Dietary Guidelines </w:t>
      </w:r>
    </w:p>
    <w:p w14:paraId="573CCAA4" w14:textId="5A1F21E1" w:rsidR="00F43B13" w:rsidRPr="006B0997" w:rsidRDefault="00F43B13">
      <w:pPr>
        <w:pStyle w:val="NormalWeb"/>
        <w:numPr>
          <w:ilvl w:val="0"/>
          <w:numId w:val="3"/>
        </w:numPr>
        <w:spacing w:before="0" w:beforeAutospacing="0" w:after="0" w:afterAutospacing="0"/>
        <w:rPr>
          <w:rFonts w:asciiTheme="minorHAnsi" w:hAnsiTheme="minorHAnsi" w:cs="TimesNewRomanPSMT"/>
          <w:color w:val="000000" w:themeColor="text1"/>
          <w:sz w:val="22"/>
          <w:szCs w:val="22"/>
          <w:lang w:val="en-AU"/>
        </w:rPr>
      </w:pPr>
      <w:r w:rsidRPr="006B0997">
        <w:rPr>
          <w:rFonts w:asciiTheme="minorHAnsi" w:hAnsiTheme="minorHAnsi" w:cs="TimesNewRomanPSMT"/>
          <w:color w:val="000000" w:themeColor="text1"/>
          <w:sz w:val="22"/>
          <w:szCs w:val="22"/>
          <w:lang w:val="en-AU"/>
        </w:rPr>
        <w:t>respond</w:t>
      </w:r>
      <w:r w:rsidR="008C60AC">
        <w:rPr>
          <w:rFonts w:asciiTheme="minorHAnsi" w:hAnsiTheme="minorHAnsi" w:cs="TimesNewRomanPSMT"/>
          <w:color w:val="000000" w:themeColor="text1"/>
          <w:sz w:val="22"/>
          <w:szCs w:val="22"/>
          <w:lang w:val="en-AU"/>
        </w:rPr>
        <w:t>ed</w:t>
      </w:r>
      <w:r w:rsidRPr="006B0997">
        <w:rPr>
          <w:rFonts w:asciiTheme="minorHAnsi" w:hAnsiTheme="minorHAnsi" w:cs="TimesNewRomanPSMT"/>
          <w:color w:val="000000" w:themeColor="text1"/>
          <w:sz w:val="22"/>
          <w:szCs w:val="22"/>
          <w:lang w:val="en-AU"/>
        </w:rPr>
        <w:t xml:space="preserve"> to technical issues referred by the HSRAC, including anomaly submissions and issues raised by stakeholders </w:t>
      </w:r>
    </w:p>
    <w:p w14:paraId="1D275D61" w14:textId="30D3682D" w:rsidR="00F43B13" w:rsidRPr="006B0997" w:rsidRDefault="00F43B13">
      <w:pPr>
        <w:pStyle w:val="NormalWeb"/>
        <w:numPr>
          <w:ilvl w:val="0"/>
          <w:numId w:val="3"/>
        </w:numPr>
        <w:spacing w:before="0" w:beforeAutospacing="0" w:after="0" w:afterAutospacing="0"/>
        <w:rPr>
          <w:rFonts w:asciiTheme="minorHAnsi" w:hAnsiTheme="minorHAnsi" w:cs="TimesNewRomanPSMT"/>
          <w:color w:val="000000" w:themeColor="text1"/>
          <w:sz w:val="22"/>
          <w:szCs w:val="22"/>
          <w:lang w:val="en-AU"/>
        </w:rPr>
      </w:pPr>
      <w:r w:rsidRPr="006B0997">
        <w:rPr>
          <w:rFonts w:asciiTheme="minorHAnsi" w:hAnsiTheme="minorHAnsi" w:cs="TimesNewRomanPSMT"/>
          <w:color w:val="000000" w:themeColor="text1"/>
          <w:sz w:val="22"/>
          <w:szCs w:val="22"/>
          <w:lang w:val="en-AU"/>
        </w:rPr>
        <w:t>analyse</w:t>
      </w:r>
      <w:r w:rsidR="008C60AC">
        <w:rPr>
          <w:rFonts w:asciiTheme="minorHAnsi" w:hAnsiTheme="minorHAnsi" w:cs="TimesNewRomanPSMT"/>
          <w:color w:val="000000" w:themeColor="text1"/>
          <w:sz w:val="22"/>
          <w:szCs w:val="22"/>
          <w:lang w:val="en-AU"/>
        </w:rPr>
        <w:t>d</w:t>
      </w:r>
      <w:r w:rsidRPr="006B0997">
        <w:rPr>
          <w:rFonts w:asciiTheme="minorHAnsi" w:hAnsiTheme="minorHAnsi" w:cs="TimesNewRomanPSMT"/>
          <w:color w:val="000000" w:themeColor="text1"/>
          <w:sz w:val="22"/>
          <w:szCs w:val="22"/>
          <w:lang w:val="en-AU"/>
        </w:rPr>
        <w:t xml:space="preserve"> the implications of proposed amendments to the HSR Calculator. </w:t>
      </w:r>
    </w:p>
    <w:p w14:paraId="0A361B39" w14:textId="77777777" w:rsidR="00F43B13" w:rsidRPr="006B0997" w:rsidRDefault="00F43B13">
      <w:pPr>
        <w:pStyle w:val="NormalWeb"/>
        <w:spacing w:before="0" w:beforeAutospacing="0" w:after="0" w:afterAutospacing="0"/>
        <w:rPr>
          <w:rFonts w:asciiTheme="minorHAnsi" w:hAnsiTheme="minorHAnsi" w:cs="TimesNewRomanPSMT"/>
          <w:color w:val="000000" w:themeColor="text1"/>
          <w:sz w:val="22"/>
          <w:szCs w:val="22"/>
          <w:lang w:val="en-AU"/>
        </w:rPr>
      </w:pPr>
    </w:p>
    <w:p w14:paraId="58BF0A09" w14:textId="24A1E532" w:rsidR="00F43B13" w:rsidRPr="00CC1ADD" w:rsidRDefault="00F43B13" w:rsidP="004B53A8">
      <w:pPr>
        <w:pStyle w:val="mpcNormal"/>
      </w:pPr>
      <w:r w:rsidRPr="006B0997">
        <w:t>The TAG consist</w:t>
      </w:r>
      <w:r w:rsidR="008C60AC">
        <w:t>ed</w:t>
      </w:r>
      <w:r w:rsidRPr="006B0997">
        <w:t xml:space="preserve"> of a tripartite (government, food industry, public health) group of experts with backgrounds in food science and food labelling, clinical nutrition, regulation to prevent diet-related disease, public health law and health policy analysis. It include</w:t>
      </w:r>
      <w:r w:rsidR="008C60AC">
        <w:t>d</w:t>
      </w:r>
      <w:r w:rsidRPr="006B0997">
        <w:t xml:space="preserve"> representation from FSANZ and </w:t>
      </w:r>
      <w:r w:rsidR="008C60AC">
        <w:t>was</w:t>
      </w:r>
      <w:r w:rsidRPr="006B0997">
        <w:t xml:space="preserve"> chaired by a representative of the </w:t>
      </w:r>
      <w:r w:rsidR="004B53A8">
        <w:t>Commonwealth</w:t>
      </w:r>
      <w:r w:rsidR="004B53A8" w:rsidRPr="00CC1ADD">
        <w:t xml:space="preserve"> </w:t>
      </w:r>
      <w:r w:rsidRPr="006B0997">
        <w:t>Department of Health.</w:t>
      </w:r>
    </w:p>
    <w:p w14:paraId="648669ED" w14:textId="77777777" w:rsidR="00F43B13" w:rsidRPr="00CC1ADD" w:rsidRDefault="00F43B13">
      <w:pPr>
        <w:rPr>
          <w:rFonts w:cstheme="minorHAnsi"/>
          <w:sz w:val="22"/>
          <w:szCs w:val="22"/>
        </w:rPr>
      </w:pPr>
    </w:p>
    <w:p w14:paraId="139AA4E2" w14:textId="1039A9A5" w:rsidR="00F43B13" w:rsidRPr="00CC1ADD" w:rsidRDefault="00591AAD">
      <w:pPr>
        <w:rPr>
          <w:rFonts w:cstheme="minorHAnsi"/>
          <w:sz w:val="22"/>
          <w:szCs w:val="22"/>
        </w:rPr>
      </w:pPr>
      <w:r>
        <w:rPr>
          <w:rFonts w:cstheme="minorHAnsi"/>
          <w:sz w:val="22"/>
          <w:szCs w:val="22"/>
        </w:rPr>
        <w:t>R</w:t>
      </w:r>
      <w:r w:rsidRPr="00CC1ADD">
        <w:rPr>
          <w:rFonts w:cstheme="minorHAnsi"/>
          <w:sz w:val="22"/>
          <w:szCs w:val="22"/>
        </w:rPr>
        <w:t>efer to Chapter 6</w:t>
      </w:r>
      <w:r>
        <w:rPr>
          <w:rFonts w:cstheme="minorHAnsi"/>
          <w:sz w:val="22"/>
          <w:szCs w:val="22"/>
        </w:rPr>
        <w:t xml:space="preserve"> f</w:t>
      </w:r>
      <w:r w:rsidR="00F43B13" w:rsidRPr="00CC1ADD">
        <w:rPr>
          <w:rFonts w:cstheme="minorHAnsi"/>
          <w:sz w:val="22"/>
          <w:szCs w:val="22"/>
        </w:rPr>
        <w:t>or more information on the governance arrangements.</w:t>
      </w:r>
    </w:p>
    <w:p w14:paraId="2EB42847" w14:textId="77777777" w:rsidR="00F43B13" w:rsidRPr="00CC1ADD" w:rsidRDefault="00F43B13">
      <w:pPr>
        <w:rPr>
          <w:rFonts w:cstheme="minorHAnsi"/>
          <w:sz w:val="22"/>
          <w:szCs w:val="22"/>
        </w:rPr>
      </w:pPr>
    </w:p>
    <w:p w14:paraId="5079EBC8" w14:textId="77777777" w:rsidR="00F43B13" w:rsidRPr="00CC1ADD" w:rsidRDefault="00F43B13" w:rsidP="005A162A">
      <w:pPr>
        <w:pStyle w:val="mpcheading3"/>
      </w:pPr>
      <w:r w:rsidRPr="00CC1ADD">
        <w:t>Funding of the HSR System</w:t>
      </w:r>
    </w:p>
    <w:p w14:paraId="70573623" w14:textId="77777777" w:rsidR="00F43B13" w:rsidRPr="00CC1ADD" w:rsidRDefault="00F43B13" w:rsidP="000A22C3">
      <w:pPr>
        <w:pStyle w:val="mpcNormal"/>
        <w:keepNext w:val="0"/>
      </w:pPr>
    </w:p>
    <w:p w14:paraId="5CC4DECA" w14:textId="77777777" w:rsidR="00F43B13" w:rsidRPr="00CC1ADD" w:rsidRDefault="00F43B13" w:rsidP="000A22C3">
      <w:pPr>
        <w:pStyle w:val="mpcNormal"/>
        <w:keepNext w:val="0"/>
      </w:pPr>
      <w:r w:rsidRPr="00CC1ADD">
        <w:t>The HSR System is co-funded by the Australian Government, each of the States and Territories and the New Zealand Government. Each jurisdiction contributes to funding for administrative and evaluation activities. Australian jurisdictions provide additional funding for monitoring and marketing in Australia and the New Zealand government funds monitoring and marketing in New Zealand.</w:t>
      </w:r>
    </w:p>
    <w:p w14:paraId="07A3D1D0" w14:textId="77777777" w:rsidR="00F43B13" w:rsidRPr="00CC1ADD" w:rsidRDefault="00F43B13" w:rsidP="000A22C3">
      <w:pPr>
        <w:pStyle w:val="mpcNormal"/>
        <w:keepNext w:val="0"/>
      </w:pPr>
    </w:p>
    <w:p w14:paraId="32B4D7A7" w14:textId="50505C58" w:rsidR="00F43B13" w:rsidRPr="00CC1ADD" w:rsidRDefault="00F43B13" w:rsidP="000A22C3">
      <w:pPr>
        <w:pStyle w:val="mpcNormal"/>
        <w:keepNext w:val="0"/>
      </w:pPr>
      <w:r w:rsidRPr="00CC1ADD">
        <w:t xml:space="preserve">Australian, State and Territory and New Zealand Food Ministers agreed that cost sharing arrangements would be determined by the AHMAC cost sharing formula. </w:t>
      </w:r>
    </w:p>
    <w:p w14:paraId="5EC1F942" w14:textId="77777777" w:rsidR="00F43B13" w:rsidRPr="00CC1ADD" w:rsidRDefault="00F43B13" w:rsidP="006B0997">
      <w:pPr>
        <w:pStyle w:val="mpcNormal"/>
        <w:keepNext w:val="0"/>
      </w:pPr>
    </w:p>
    <w:p w14:paraId="52843FC7" w14:textId="64DB67BA" w:rsidR="00F43B13" w:rsidRPr="00A25D38" w:rsidRDefault="00F43B13" w:rsidP="006B0997">
      <w:pPr>
        <w:pStyle w:val="mpcNormal"/>
        <w:keepNext w:val="0"/>
      </w:pPr>
      <w:r w:rsidRPr="00A25D38">
        <w:t>In November 2013, AHMAC agreed to initial financial contributions from Australian jurisdictions totalling $8,890,000 over three years from 2013 to 2016. In December 2015, AHMAC agreed to $11,426,500 over 2016</w:t>
      </w:r>
      <w:r w:rsidR="009E06FA" w:rsidRPr="00A25D38">
        <w:t>-17</w:t>
      </w:r>
      <w:r w:rsidRPr="00A25D38">
        <w:t xml:space="preserve"> to 20</w:t>
      </w:r>
      <w:r w:rsidR="009E06FA" w:rsidRPr="00A25D38">
        <w:t>18-</w:t>
      </w:r>
      <w:r w:rsidRPr="00A25D38">
        <w:t>19. More than 64% of this funding was apportioned to the social marketing campaign in Australia to promote uptake and use of the HSR System.</w:t>
      </w:r>
    </w:p>
    <w:p w14:paraId="368F973A" w14:textId="77777777" w:rsidR="00F43B13" w:rsidRPr="00A25D38" w:rsidRDefault="00F43B13" w:rsidP="006B0997">
      <w:pPr>
        <w:pStyle w:val="mpcNormal"/>
        <w:keepNext w:val="0"/>
      </w:pPr>
    </w:p>
    <w:p w14:paraId="6CD66C63" w14:textId="7909014E" w:rsidR="00C97B3A" w:rsidRPr="00C97B3A" w:rsidRDefault="00F43B13" w:rsidP="00C97B3A">
      <w:pPr>
        <w:pStyle w:val="mpcNormal"/>
        <w:keepNext w:val="0"/>
      </w:pPr>
      <w:r w:rsidRPr="00C97B3A">
        <w:t xml:space="preserve">New Zealand has contributed </w:t>
      </w:r>
      <w:r w:rsidR="00CB0A32" w:rsidRPr="00C97B3A">
        <w:t xml:space="preserve">approximately </w:t>
      </w:r>
      <w:r w:rsidR="006125C9" w:rsidRPr="00C97B3A">
        <w:t>NZD</w:t>
      </w:r>
      <w:r w:rsidRPr="00C97B3A">
        <w:t xml:space="preserve">$603,000 over the period 2016-17 to 2018-19 to the </w:t>
      </w:r>
      <w:r w:rsidR="00196244" w:rsidRPr="00C97B3A">
        <w:t xml:space="preserve">joint </w:t>
      </w:r>
      <w:r w:rsidR="006125C9" w:rsidRPr="00C97B3A">
        <w:t xml:space="preserve">governance and operation </w:t>
      </w:r>
      <w:r w:rsidRPr="00C97B3A">
        <w:t xml:space="preserve">of the HSR System. </w:t>
      </w:r>
      <w:r w:rsidR="00C97B3A" w:rsidRPr="00C97B3A">
        <w:t>The New Zealand Government also separately funded approximately NZD$2,315,000 for monitoring, evaluation, social marketing and education in New Zealand.</w:t>
      </w:r>
    </w:p>
    <w:p w14:paraId="234AB4C3" w14:textId="77777777" w:rsidR="00F43B13" w:rsidRPr="00C97B3A" w:rsidRDefault="00F43B13" w:rsidP="006B0997">
      <w:pPr>
        <w:pStyle w:val="mpcNormal"/>
        <w:keepNext w:val="0"/>
      </w:pPr>
    </w:p>
    <w:p w14:paraId="04056D2B" w14:textId="77777777" w:rsidR="00F43B13" w:rsidRPr="00CC1ADD" w:rsidRDefault="00F43B13" w:rsidP="000A22C3">
      <w:pPr>
        <w:pStyle w:val="mpcNormal"/>
        <w:keepNext w:val="0"/>
      </w:pPr>
      <w:r w:rsidRPr="00C97B3A">
        <w:t>There are no fees associated with using the HSR System or displaying the HSR graphic</w:t>
      </w:r>
      <w:r w:rsidRPr="00CC1ADD">
        <w:t>.</w:t>
      </w:r>
    </w:p>
    <w:p w14:paraId="5F39B34E" w14:textId="6D9C32F3" w:rsidR="00F43B13" w:rsidRPr="00CC1ADD" w:rsidRDefault="00F43B13" w:rsidP="000A22C3">
      <w:pPr>
        <w:pStyle w:val="mpcNormal"/>
        <w:keepNext w:val="0"/>
      </w:pPr>
      <w:r w:rsidRPr="00CC1ADD">
        <w:br/>
        <w:t>No fees are paid to members of the governance committees. Wages and expenses for HSR System</w:t>
      </w:r>
      <w:r w:rsidR="008B6118">
        <w:t>-</w:t>
      </w:r>
      <w:r w:rsidRPr="00CC1ADD">
        <w:t>related business are the responsibility of the members’ respective organisation</w:t>
      </w:r>
      <w:r w:rsidR="001439DA" w:rsidRPr="00CC1ADD">
        <w:t>, other than for the Chair of the HSRAC for whom some financial support is</w:t>
      </w:r>
      <w:r w:rsidRPr="00CC1ADD">
        <w:t xml:space="preserve"> </w:t>
      </w:r>
      <w:r w:rsidR="001439DA" w:rsidRPr="00CC1ADD">
        <w:t>provided from</w:t>
      </w:r>
      <w:r w:rsidRPr="00CC1ADD">
        <w:t xml:space="preserve"> the HSR System budget.</w:t>
      </w:r>
    </w:p>
    <w:p w14:paraId="43A0A960" w14:textId="77777777" w:rsidR="00F43B13" w:rsidRPr="00CC1ADD" w:rsidRDefault="00F43B13" w:rsidP="000A22C3">
      <w:pPr>
        <w:pStyle w:val="mpcNormal"/>
        <w:keepNext w:val="0"/>
      </w:pPr>
    </w:p>
    <w:p w14:paraId="058EB340" w14:textId="4DD54441" w:rsidR="00F43B13" w:rsidRPr="00CC1ADD" w:rsidRDefault="00591AAD" w:rsidP="000A22C3">
      <w:pPr>
        <w:pStyle w:val="mpcNormal"/>
        <w:keepNext w:val="0"/>
      </w:pPr>
      <w:r>
        <w:t>R</w:t>
      </w:r>
      <w:r w:rsidRPr="00CC1ADD">
        <w:t>efer to Chapter 6</w:t>
      </w:r>
      <w:r>
        <w:t xml:space="preserve"> f</w:t>
      </w:r>
      <w:r w:rsidR="00F43B13" w:rsidRPr="00CC1ADD">
        <w:t>or more information on the funding arrangements</w:t>
      </w:r>
      <w:r>
        <w:t>.</w:t>
      </w:r>
    </w:p>
    <w:p w14:paraId="4E7F5CE4" w14:textId="77777777" w:rsidR="00F43B13" w:rsidRPr="00CC1ADD" w:rsidRDefault="00F43B13">
      <w:pPr>
        <w:rPr>
          <w:rFonts w:cstheme="minorHAnsi"/>
          <w:sz w:val="22"/>
          <w:szCs w:val="22"/>
        </w:rPr>
      </w:pPr>
    </w:p>
    <w:p w14:paraId="071B6AFA" w14:textId="77777777" w:rsidR="00F43B13" w:rsidRPr="00CC1ADD" w:rsidRDefault="00F43B13" w:rsidP="00027302">
      <w:pPr>
        <w:pStyle w:val="mpcheading3"/>
        <w:keepNext/>
      </w:pPr>
      <w:r w:rsidRPr="00CC1ADD">
        <w:t>Support to use the HSR System</w:t>
      </w:r>
    </w:p>
    <w:p w14:paraId="41E3AB9F" w14:textId="77777777" w:rsidR="00F43B13" w:rsidRPr="00CC1ADD" w:rsidRDefault="00F43B13" w:rsidP="00027302">
      <w:pPr>
        <w:pStyle w:val="mpcNormal"/>
      </w:pPr>
    </w:p>
    <w:p w14:paraId="563BD272" w14:textId="77777777" w:rsidR="00F43B13" w:rsidRPr="00CC1ADD" w:rsidRDefault="00F43B13" w:rsidP="00027302">
      <w:pPr>
        <w:pStyle w:val="mpcheading4"/>
      </w:pPr>
      <w:r w:rsidRPr="00CC1ADD">
        <w:t>Guidance tools</w:t>
      </w:r>
    </w:p>
    <w:p w14:paraId="50053787" w14:textId="77777777" w:rsidR="00F43B13" w:rsidRPr="00CC1ADD" w:rsidRDefault="00F43B13" w:rsidP="00027302">
      <w:pPr>
        <w:pStyle w:val="mpcNormal"/>
      </w:pPr>
    </w:p>
    <w:p w14:paraId="73302742" w14:textId="77777777" w:rsidR="00F43B13" w:rsidRPr="00CC1ADD" w:rsidRDefault="00F43B13" w:rsidP="00027302">
      <w:pPr>
        <w:pStyle w:val="mpcNormal"/>
      </w:pPr>
      <w:r w:rsidRPr="00CC1ADD">
        <w:t>Guidance tools were developed to help food manufacturers apply the HSR System to their products. These are available on the HSR System website and include:</w:t>
      </w:r>
    </w:p>
    <w:p w14:paraId="195EFA6D" w14:textId="77777777" w:rsidR="00F43B13" w:rsidRPr="00CC1ADD" w:rsidRDefault="00F43B13" w:rsidP="0013165D">
      <w:pPr>
        <w:pStyle w:val="mpcNormal"/>
        <w:keepNext w:val="0"/>
      </w:pPr>
    </w:p>
    <w:p w14:paraId="6BB9ED5B" w14:textId="53E29AB9" w:rsidR="00F43B13" w:rsidRPr="0047070C" w:rsidRDefault="00F43B13" w:rsidP="0013165D">
      <w:pPr>
        <w:pStyle w:val="mpcNormal"/>
        <w:keepNext w:val="0"/>
        <w:numPr>
          <w:ilvl w:val="0"/>
          <w:numId w:val="4"/>
        </w:numPr>
      </w:pPr>
      <w:r w:rsidRPr="0047070C">
        <w:t xml:space="preserve">the </w:t>
      </w:r>
      <w:hyperlink r:id="rId29" w:history="1">
        <w:r w:rsidRPr="0047070C">
          <w:rPr>
            <w:rStyle w:val="Hyperlink"/>
          </w:rPr>
          <w:t>Guide for Industry to the HSR Calculator</w:t>
        </w:r>
      </w:hyperlink>
      <w:r w:rsidRPr="0047070C">
        <w:t>, a technical guide for industry providing detailed information about how the HSR is calculated, including sample calculations</w:t>
      </w:r>
    </w:p>
    <w:p w14:paraId="56D39A05" w14:textId="660C8B91" w:rsidR="00F43B13" w:rsidRPr="0047070C" w:rsidRDefault="00F43B13" w:rsidP="0013165D">
      <w:pPr>
        <w:pStyle w:val="mpcNormal"/>
        <w:keepNext w:val="0"/>
        <w:numPr>
          <w:ilvl w:val="0"/>
          <w:numId w:val="4"/>
        </w:numPr>
      </w:pPr>
      <w:r w:rsidRPr="0047070C">
        <w:t xml:space="preserve">the </w:t>
      </w:r>
      <w:hyperlink r:id="rId30" w:history="1">
        <w:r w:rsidRPr="0047070C">
          <w:rPr>
            <w:rStyle w:val="Hyperlink"/>
          </w:rPr>
          <w:t>Online Calculator and Excel spreadsheet</w:t>
        </w:r>
      </w:hyperlink>
      <w:r w:rsidRPr="0047070C">
        <w:t xml:space="preserve">, which </w:t>
      </w:r>
      <w:r w:rsidR="002F0EC0">
        <w:t>enables</w:t>
      </w:r>
      <w:r w:rsidRPr="0047070C">
        <w:t xml:space="preserve"> industry to enter the nutritional information for a product to calculate the HSR</w:t>
      </w:r>
    </w:p>
    <w:p w14:paraId="0EC88344" w14:textId="36EE66CA" w:rsidR="00F43B13" w:rsidRPr="00CC1ADD" w:rsidRDefault="00F43B13" w:rsidP="0013165D">
      <w:pPr>
        <w:pStyle w:val="mpcNormal"/>
        <w:keepNext w:val="0"/>
        <w:numPr>
          <w:ilvl w:val="0"/>
          <w:numId w:val="4"/>
        </w:numPr>
        <w:rPr>
          <w:color w:val="000000" w:themeColor="text1"/>
        </w:rPr>
      </w:pPr>
      <w:r w:rsidRPr="0047070C">
        <w:t xml:space="preserve">the </w:t>
      </w:r>
      <w:hyperlink r:id="rId31" w:history="1">
        <w:r w:rsidRPr="0047070C">
          <w:rPr>
            <w:rStyle w:val="Hyperlink"/>
          </w:rPr>
          <w:t>HSR System Style Guide</w:t>
        </w:r>
      </w:hyperlink>
      <w:r w:rsidRPr="0047070C">
        <w:t>, which</w:t>
      </w:r>
      <w:r w:rsidRPr="00CC1ADD">
        <w:t xml:space="preserve"> includes information on how to apply the graphic to product packaging</w:t>
      </w:r>
    </w:p>
    <w:p w14:paraId="3D608C30" w14:textId="77777777" w:rsidR="00F43B13" w:rsidRPr="00CC1ADD" w:rsidRDefault="00F43B13" w:rsidP="0013165D">
      <w:pPr>
        <w:pStyle w:val="mpcNormal"/>
        <w:keepNext w:val="0"/>
        <w:numPr>
          <w:ilvl w:val="0"/>
          <w:numId w:val="4"/>
        </w:numPr>
      </w:pPr>
      <w:r w:rsidRPr="00CC1ADD">
        <w:t xml:space="preserve">an artwork file containing the HSR graphic to aid manufacturers when designing new packaging. </w:t>
      </w:r>
    </w:p>
    <w:p w14:paraId="3BEEE807"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57481F2C" w14:textId="77777777" w:rsidR="00F43B13" w:rsidRPr="00CC1ADD" w:rsidRDefault="00F43B13" w:rsidP="0013165D">
      <w:pPr>
        <w:pStyle w:val="mpcheading4"/>
        <w:keepNext w:val="0"/>
      </w:pPr>
      <w:r w:rsidRPr="00CC1ADD">
        <w:t>Anomalies and disputes</w:t>
      </w:r>
    </w:p>
    <w:p w14:paraId="04E0B188" w14:textId="77777777" w:rsidR="00F43B13" w:rsidRPr="00CC1ADD" w:rsidRDefault="00F43B13"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3B075A04" w14:textId="7AA12BCD" w:rsidR="00F43B13" w:rsidRPr="00CC1ADD" w:rsidRDefault="00591AAD"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r>
        <w:rPr>
          <w:rFonts w:asciiTheme="minorHAnsi" w:hAnsiTheme="minorHAnsi" w:cstheme="minorBidi"/>
          <w:color w:val="000000" w:themeColor="text1"/>
          <w:sz w:val="22"/>
          <w:szCs w:val="22"/>
          <w:lang w:val="en-AU" w:eastAsia="en-US"/>
        </w:rPr>
        <w:t>A</w:t>
      </w:r>
      <w:r w:rsidR="00F43B13" w:rsidRPr="00CC1ADD">
        <w:rPr>
          <w:rFonts w:asciiTheme="minorHAnsi" w:hAnsiTheme="minorHAnsi" w:cstheme="minorBidi"/>
          <w:color w:val="000000" w:themeColor="text1"/>
          <w:sz w:val="22"/>
          <w:szCs w:val="22"/>
          <w:lang w:val="en-AU" w:eastAsia="en-US"/>
        </w:rPr>
        <w:t xml:space="preserve">nomalies </w:t>
      </w:r>
      <w:r>
        <w:rPr>
          <w:rFonts w:asciiTheme="minorHAnsi" w:hAnsiTheme="minorHAnsi" w:cstheme="minorBidi"/>
          <w:color w:val="000000" w:themeColor="text1"/>
          <w:sz w:val="22"/>
          <w:szCs w:val="22"/>
          <w:lang w:val="en-AU" w:eastAsia="en-US"/>
        </w:rPr>
        <w:t xml:space="preserve">occur </w:t>
      </w:r>
      <w:r w:rsidR="00F43B13" w:rsidRPr="00CC1ADD">
        <w:rPr>
          <w:rFonts w:asciiTheme="minorHAnsi" w:hAnsiTheme="minorHAnsi" w:cstheme="minorBidi"/>
          <w:color w:val="000000" w:themeColor="text1"/>
          <w:sz w:val="22"/>
          <w:szCs w:val="22"/>
          <w:lang w:val="en-AU" w:eastAsia="en-US"/>
        </w:rPr>
        <w:t>when an HSR is inconsistent with Dietary Guidelines, or when the HSR is used to make comparisons within a food category (or across comparable food categories) in a way that is likely to mislead consumers</w:t>
      </w:r>
      <w:r w:rsidR="0047070C">
        <w:rPr>
          <w:rFonts w:asciiTheme="minorHAnsi" w:hAnsiTheme="minorHAnsi" w:cstheme="minorBidi"/>
          <w:color w:val="000000" w:themeColor="text1"/>
          <w:sz w:val="22"/>
          <w:szCs w:val="22"/>
          <w:lang w:val="en-AU" w:eastAsia="en-US"/>
        </w:rPr>
        <w:t xml:space="preserve"> (see the </w:t>
      </w:r>
      <w:hyperlink r:id="rId32" w:history="1">
        <w:r w:rsidR="0047070C" w:rsidRPr="0047070C">
          <w:rPr>
            <w:rStyle w:val="Hyperlink"/>
            <w:rFonts w:asciiTheme="minorHAnsi" w:hAnsiTheme="minorHAnsi" w:cstheme="minorBidi"/>
            <w:sz w:val="22"/>
            <w:szCs w:val="22"/>
            <w:lang w:val="en-AU" w:eastAsia="en-US"/>
          </w:rPr>
          <w:t>HSR System website</w:t>
        </w:r>
      </w:hyperlink>
      <w:r w:rsidR="0047070C">
        <w:rPr>
          <w:rFonts w:asciiTheme="minorHAnsi" w:hAnsiTheme="minorHAnsi" w:cstheme="minorBidi"/>
          <w:color w:val="000000" w:themeColor="text1"/>
          <w:sz w:val="22"/>
          <w:szCs w:val="22"/>
          <w:lang w:val="en-AU" w:eastAsia="en-US"/>
        </w:rPr>
        <w:t>)</w:t>
      </w:r>
      <w:r w:rsidR="00F43B13" w:rsidRPr="00CC1ADD">
        <w:rPr>
          <w:rFonts w:asciiTheme="minorHAnsi" w:hAnsiTheme="minorHAnsi" w:cstheme="minorBidi"/>
          <w:color w:val="000000" w:themeColor="text1"/>
          <w:sz w:val="22"/>
          <w:szCs w:val="22"/>
          <w:lang w:val="en-AU" w:eastAsia="en-US"/>
        </w:rPr>
        <w:t xml:space="preserve">. Anyone can apply to have the HSRAC consider an anomaly by using </w:t>
      </w:r>
      <w:r w:rsidR="0047070C">
        <w:rPr>
          <w:rFonts w:asciiTheme="minorHAnsi" w:hAnsiTheme="minorHAnsi" w:cstheme="minorBidi"/>
          <w:color w:val="000000" w:themeColor="text1"/>
          <w:sz w:val="22"/>
          <w:szCs w:val="22"/>
          <w:lang w:val="en-AU" w:eastAsia="en-US"/>
        </w:rPr>
        <w:t>the</w:t>
      </w:r>
      <w:r w:rsidR="00F43B13" w:rsidRPr="00CC1ADD">
        <w:rPr>
          <w:rFonts w:asciiTheme="minorHAnsi" w:hAnsiTheme="minorHAnsi" w:cstheme="minorBidi"/>
          <w:color w:val="000000" w:themeColor="text1"/>
          <w:sz w:val="22"/>
          <w:szCs w:val="22"/>
          <w:lang w:val="en-AU" w:eastAsia="en-US"/>
        </w:rPr>
        <w:t xml:space="preserve"> form available on the </w:t>
      </w:r>
      <w:hyperlink r:id="rId33" w:history="1">
        <w:r w:rsidR="00F43B13" w:rsidRPr="0047070C">
          <w:rPr>
            <w:rStyle w:val="Hyperlink"/>
            <w:rFonts w:asciiTheme="minorHAnsi" w:hAnsiTheme="minorHAnsi" w:cstheme="minorBidi"/>
            <w:sz w:val="22"/>
            <w:szCs w:val="22"/>
            <w:lang w:val="en-AU" w:eastAsia="en-US"/>
          </w:rPr>
          <w:t>HSR System website</w:t>
        </w:r>
      </w:hyperlink>
      <w:r w:rsidR="00F43B13" w:rsidRPr="00CC1ADD">
        <w:rPr>
          <w:rFonts w:asciiTheme="minorHAnsi" w:hAnsiTheme="minorHAnsi" w:cstheme="minorBidi"/>
          <w:color w:val="000000" w:themeColor="text1"/>
          <w:sz w:val="22"/>
          <w:szCs w:val="22"/>
          <w:lang w:val="en-AU" w:eastAsia="en-US"/>
        </w:rPr>
        <w:t xml:space="preserve"> and providing the required evidence. A </w:t>
      </w:r>
      <w:hyperlink r:id="rId34" w:history="1">
        <w:r w:rsidR="00F43B13" w:rsidRPr="0047070C">
          <w:rPr>
            <w:rStyle w:val="Hyperlink"/>
            <w:rFonts w:asciiTheme="minorHAnsi" w:hAnsiTheme="minorHAnsi" w:cstheme="minorBidi"/>
            <w:sz w:val="22"/>
            <w:szCs w:val="22"/>
            <w:lang w:val="en-AU" w:eastAsia="en-US"/>
          </w:rPr>
          <w:t>register of potential anomalies</w:t>
        </w:r>
      </w:hyperlink>
      <w:r w:rsidR="00F43B13" w:rsidRPr="00CC1ADD">
        <w:rPr>
          <w:rFonts w:asciiTheme="minorHAnsi" w:hAnsiTheme="minorHAnsi" w:cstheme="minorBidi"/>
          <w:color w:val="000000" w:themeColor="text1"/>
          <w:sz w:val="22"/>
          <w:szCs w:val="22"/>
          <w:lang w:val="en-AU" w:eastAsia="en-US"/>
        </w:rPr>
        <w:t xml:space="preserve"> is </w:t>
      </w:r>
      <w:r w:rsidR="0047070C">
        <w:rPr>
          <w:rFonts w:asciiTheme="minorHAnsi" w:hAnsiTheme="minorHAnsi" w:cstheme="minorBidi"/>
          <w:color w:val="000000" w:themeColor="text1"/>
          <w:sz w:val="22"/>
          <w:szCs w:val="22"/>
          <w:lang w:val="en-AU" w:eastAsia="en-US"/>
        </w:rPr>
        <w:t xml:space="preserve">also </w:t>
      </w:r>
      <w:r w:rsidR="00F43B13" w:rsidRPr="00CC1ADD">
        <w:rPr>
          <w:rFonts w:asciiTheme="minorHAnsi" w:hAnsiTheme="minorHAnsi" w:cstheme="minorBidi"/>
          <w:color w:val="000000" w:themeColor="text1"/>
          <w:sz w:val="22"/>
          <w:szCs w:val="22"/>
          <w:lang w:val="en-AU" w:eastAsia="en-US"/>
        </w:rPr>
        <w:t>available, which includes a brief description of the application, the HSRAC’s determination on the issue (including the rationale) and next steps.</w:t>
      </w:r>
    </w:p>
    <w:p w14:paraId="24151A5B"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58A0D2CC" w14:textId="4A8048AA"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HSRAC also has a process for assessing and resolving disputes related to the HSR System. This process is separate to the process for assessing potential anomalies within the HSR Calculator. The </w:t>
      </w:r>
      <w:r w:rsidR="00A25D38">
        <w:rPr>
          <w:rFonts w:asciiTheme="minorHAnsi" w:hAnsiTheme="minorHAnsi" w:cstheme="minorBidi"/>
          <w:color w:val="000000" w:themeColor="text1"/>
          <w:sz w:val="22"/>
          <w:szCs w:val="22"/>
          <w:lang w:val="en-AU" w:eastAsia="en-US"/>
        </w:rPr>
        <w:t>d</w:t>
      </w:r>
      <w:r w:rsidRPr="00CC1ADD">
        <w:rPr>
          <w:rFonts w:asciiTheme="minorHAnsi" w:hAnsiTheme="minorHAnsi" w:cstheme="minorBidi"/>
          <w:color w:val="000000" w:themeColor="text1"/>
          <w:sz w:val="22"/>
          <w:szCs w:val="22"/>
          <w:lang w:val="en-AU" w:eastAsia="en-US"/>
        </w:rPr>
        <w:t xml:space="preserve">ispute </w:t>
      </w:r>
      <w:r w:rsidR="00A25D38">
        <w:rPr>
          <w:rFonts w:asciiTheme="minorHAnsi" w:hAnsiTheme="minorHAnsi" w:cstheme="minorBidi"/>
          <w:color w:val="000000" w:themeColor="text1"/>
          <w:sz w:val="22"/>
          <w:szCs w:val="22"/>
          <w:lang w:val="en-AU" w:eastAsia="en-US"/>
        </w:rPr>
        <w:t>r</w:t>
      </w:r>
      <w:r w:rsidRPr="00CC1ADD">
        <w:rPr>
          <w:rFonts w:asciiTheme="minorHAnsi" w:hAnsiTheme="minorHAnsi" w:cstheme="minorBidi"/>
          <w:color w:val="000000" w:themeColor="text1"/>
          <w:sz w:val="22"/>
          <w:szCs w:val="22"/>
          <w:lang w:val="en-AU" w:eastAsia="en-US"/>
        </w:rPr>
        <w:t xml:space="preserve">esolution </w:t>
      </w:r>
      <w:r w:rsidR="00A25D38">
        <w:rPr>
          <w:rFonts w:asciiTheme="minorHAnsi" w:hAnsiTheme="minorHAnsi" w:cstheme="minorBidi"/>
          <w:color w:val="000000" w:themeColor="text1"/>
          <w:sz w:val="22"/>
          <w:szCs w:val="22"/>
          <w:lang w:val="en-AU" w:eastAsia="en-US"/>
        </w:rPr>
        <w:t>p</w:t>
      </w:r>
      <w:r w:rsidRPr="00CC1ADD">
        <w:rPr>
          <w:rFonts w:asciiTheme="minorHAnsi" w:hAnsiTheme="minorHAnsi" w:cstheme="minorBidi"/>
          <w:color w:val="000000" w:themeColor="text1"/>
          <w:sz w:val="22"/>
          <w:szCs w:val="22"/>
          <w:lang w:val="en-AU" w:eastAsia="en-US"/>
        </w:rPr>
        <w:t xml:space="preserve">rocess and form are available on the </w:t>
      </w:r>
      <w:hyperlink r:id="rId35" w:history="1">
        <w:r w:rsidRPr="0047070C">
          <w:rPr>
            <w:rStyle w:val="Hyperlink"/>
            <w:rFonts w:asciiTheme="minorHAnsi" w:hAnsiTheme="minorHAnsi" w:cstheme="minorBidi"/>
            <w:sz w:val="22"/>
            <w:szCs w:val="22"/>
            <w:lang w:val="en-AU" w:eastAsia="en-US"/>
          </w:rPr>
          <w:t>HSR System website</w:t>
        </w:r>
      </w:hyperlink>
      <w:r w:rsidRPr="00CC1ADD">
        <w:rPr>
          <w:rFonts w:asciiTheme="minorHAnsi" w:hAnsiTheme="minorHAnsi" w:cstheme="minorBidi"/>
          <w:color w:val="000000" w:themeColor="text1"/>
          <w:sz w:val="22"/>
          <w:szCs w:val="22"/>
          <w:lang w:val="en-AU" w:eastAsia="en-US"/>
        </w:rPr>
        <w:t xml:space="preserve">. HSRAC considers all disputes in the first instance with support from the </w:t>
      </w:r>
      <w:r w:rsidR="0047070C">
        <w:rPr>
          <w:rFonts w:asciiTheme="minorHAnsi" w:hAnsiTheme="minorHAnsi" w:cstheme="minorBidi"/>
          <w:color w:val="000000" w:themeColor="text1"/>
          <w:sz w:val="22"/>
          <w:szCs w:val="22"/>
          <w:lang w:val="en-AU" w:eastAsia="en-US"/>
        </w:rPr>
        <w:t>HSR</w:t>
      </w:r>
      <w:r w:rsidRPr="00CC1ADD">
        <w:rPr>
          <w:rFonts w:asciiTheme="minorHAnsi" w:hAnsiTheme="minorHAnsi" w:cstheme="minorBidi"/>
          <w:color w:val="000000" w:themeColor="text1"/>
          <w:sz w:val="22"/>
          <w:szCs w:val="22"/>
          <w:lang w:val="en-AU" w:eastAsia="en-US"/>
        </w:rPr>
        <w:t xml:space="preserve"> Secretariat. No disputes have been raised since the implementation of the System.</w:t>
      </w:r>
    </w:p>
    <w:p w14:paraId="2CC3CFBA"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6F04D075"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There are no fees associated with applying to have an anomaly considered or a dispute resolved.</w:t>
      </w:r>
    </w:p>
    <w:p w14:paraId="26BE1A0F" w14:textId="77777777" w:rsidR="00F43B13" w:rsidRPr="00CC1ADD" w:rsidRDefault="00F43B13" w:rsidP="0013165D">
      <w:pPr>
        <w:pStyle w:val="mpcNormal"/>
        <w:keepNext w:val="0"/>
        <w:rPr>
          <w:highlight w:val="yellow"/>
        </w:rPr>
      </w:pPr>
    </w:p>
    <w:p w14:paraId="65FA672C" w14:textId="77777777" w:rsidR="00F43B13" w:rsidRPr="00CC1ADD" w:rsidRDefault="00F43B13" w:rsidP="0013165D">
      <w:pPr>
        <w:pStyle w:val="NormalWeb"/>
        <w:spacing w:before="0" w:beforeAutospacing="0" w:after="0" w:afterAutospacing="0"/>
        <w:rPr>
          <w:rFonts w:asciiTheme="minorHAnsi" w:hAnsiTheme="minorHAnsi" w:cstheme="minorBidi"/>
          <w:b/>
          <w:color w:val="000000" w:themeColor="text1"/>
          <w:sz w:val="22"/>
          <w:szCs w:val="22"/>
          <w:lang w:val="en-AU" w:eastAsia="en-US"/>
        </w:rPr>
      </w:pPr>
      <w:r w:rsidRPr="00CC1ADD">
        <w:rPr>
          <w:rFonts w:asciiTheme="minorHAnsi" w:hAnsiTheme="minorHAnsi" w:cstheme="minorBidi"/>
          <w:b/>
          <w:color w:val="000000" w:themeColor="text1"/>
          <w:sz w:val="22"/>
          <w:szCs w:val="22"/>
          <w:lang w:val="en-AU" w:eastAsia="en-US"/>
        </w:rPr>
        <w:t>HSR System consumer campaigns</w:t>
      </w:r>
    </w:p>
    <w:p w14:paraId="5254E5E4"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1E042CAE"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Consumer education and marketing campaigns in Australia and New Zealand have supported the implementation of the HSR System. The primary objectives of the campaigns were to:</w:t>
      </w:r>
    </w:p>
    <w:p w14:paraId="2132C250"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33554C42" w14:textId="77777777"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raise awareness of the HSR System</w:t>
      </w:r>
    </w:p>
    <w:p w14:paraId="6A5B479B" w14:textId="77777777"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support consumers to understand how to interpret and use the HSR System</w:t>
      </w:r>
    </w:p>
    <w:p w14:paraId="4AD6F806" w14:textId="423BE5D0"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prompt consideration of nutrition and the role of the HSR System in influencing nutrition</w:t>
      </w:r>
    </w:p>
    <w:p w14:paraId="33F5DB8B" w14:textId="77777777" w:rsidR="00F43B13" w:rsidRPr="00CC1ADD" w:rsidRDefault="00F43B13">
      <w:pPr>
        <w:pStyle w:val="NormalWeb"/>
        <w:numPr>
          <w:ilvl w:val="0"/>
          <w:numId w:val="5"/>
        </w:numPr>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develop consumer confidence in the HSR System as an independent, informative and easy to use nutritional guide.</w:t>
      </w:r>
    </w:p>
    <w:p w14:paraId="79F42368"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0459203F" w14:textId="5ED8BBB1" w:rsidR="006057F0" w:rsidRPr="00A25D38"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A25D38">
        <w:rPr>
          <w:rFonts w:asciiTheme="minorHAnsi" w:hAnsiTheme="minorHAnsi" w:cstheme="minorBidi"/>
          <w:color w:val="000000" w:themeColor="text1"/>
          <w:sz w:val="22"/>
          <w:szCs w:val="22"/>
          <w:lang w:val="en-AU" w:eastAsia="en-US"/>
        </w:rPr>
        <w:t>In Australia, the campaigns have included print and online advertisements, trolley advertisements and social media communications</w:t>
      </w:r>
      <w:r w:rsidR="006057F0" w:rsidRPr="00A25D38">
        <w:rPr>
          <w:rFonts w:asciiTheme="minorHAnsi" w:hAnsiTheme="minorHAnsi" w:cstheme="minorBidi"/>
          <w:color w:val="000000" w:themeColor="text1"/>
          <w:sz w:val="22"/>
          <w:szCs w:val="22"/>
          <w:lang w:val="en-AU" w:eastAsia="en-US"/>
        </w:rPr>
        <w:t xml:space="preserve">. </w:t>
      </w:r>
      <w:r w:rsidR="006057F0" w:rsidRPr="00A25D38">
        <w:rPr>
          <w:rFonts w:asciiTheme="minorHAnsi" w:hAnsiTheme="minorHAnsi" w:cstheme="minorHAnsi"/>
          <w:color w:val="000000" w:themeColor="text1"/>
          <w:sz w:val="22"/>
          <w:szCs w:val="22"/>
          <w:lang w:val="en-AU" w:eastAsia="en-US"/>
        </w:rPr>
        <w:t>Approximately $13 million was allocated to the HSR System campaign over the period 2014-15 to 2018-19.</w:t>
      </w:r>
      <w:r w:rsidRPr="00A25D38">
        <w:rPr>
          <w:rFonts w:asciiTheme="minorHAnsi" w:hAnsiTheme="minorHAnsi" w:cstheme="minorBidi"/>
          <w:color w:val="000000" w:themeColor="text1"/>
          <w:sz w:val="22"/>
          <w:szCs w:val="22"/>
          <w:lang w:val="en-AU" w:eastAsia="en-US"/>
        </w:rPr>
        <w:t xml:space="preserve"> </w:t>
      </w:r>
    </w:p>
    <w:p w14:paraId="5200F67E" w14:textId="77777777" w:rsidR="006057F0" w:rsidRPr="00A25D38" w:rsidRDefault="006057F0">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25FF4AAA" w14:textId="618900EF" w:rsidR="00F43B13" w:rsidRPr="00CC1ADD" w:rsidRDefault="00F43B13">
      <w:pPr>
        <w:pStyle w:val="NormalWeb"/>
        <w:spacing w:before="0" w:beforeAutospacing="0" w:after="0" w:afterAutospacing="0"/>
        <w:rPr>
          <w:rFonts w:asciiTheme="minorHAnsi" w:hAnsiTheme="minorHAnsi" w:cstheme="minorHAnsi"/>
          <w:color w:val="000000" w:themeColor="text1"/>
          <w:sz w:val="22"/>
          <w:szCs w:val="22"/>
          <w:lang w:val="en-AU" w:eastAsia="en-US"/>
        </w:rPr>
      </w:pPr>
      <w:r w:rsidRPr="00A25D38">
        <w:rPr>
          <w:rFonts w:asciiTheme="minorHAnsi" w:hAnsiTheme="minorHAnsi" w:cstheme="minorBidi"/>
          <w:color w:val="000000" w:themeColor="text1"/>
          <w:sz w:val="22"/>
          <w:szCs w:val="22"/>
          <w:lang w:val="en-AU" w:eastAsia="en-US"/>
        </w:rPr>
        <w:t xml:space="preserve">In New Zealand, the campaigns </w:t>
      </w:r>
      <w:r w:rsidR="00A337CA" w:rsidRPr="00A25D38">
        <w:rPr>
          <w:rFonts w:asciiTheme="minorHAnsi" w:hAnsiTheme="minorHAnsi" w:cstheme="minorBidi"/>
          <w:color w:val="000000" w:themeColor="text1"/>
          <w:sz w:val="22"/>
          <w:szCs w:val="22"/>
          <w:lang w:val="en-AU" w:eastAsia="en-US"/>
        </w:rPr>
        <w:t xml:space="preserve">have </w:t>
      </w:r>
      <w:r w:rsidRPr="00A25D38">
        <w:rPr>
          <w:rFonts w:asciiTheme="minorHAnsi" w:hAnsiTheme="minorHAnsi" w:cstheme="minorBidi"/>
          <w:color w:val="000000" w:themeColor="text1"/>
          <w:sz w:val="22"/>
          <w:szCs w:val="22"/>
          <w:lang w:val="en-AU" w:eastAsia="en-US"/>
        </w:rPr>
        <w:t>included online videos, outdoor posters, in</w:t>
      </w:r>
      <w:r w:rsidR="00B33DA3" w:rsidRPr="00A25D38">
        <w:rPr>
          <w:rFonts w:asciiTheme="minorHAnsi" w:hAnsiTheme="minorHAnsi" w:cstheme="minorBidi"/>
          <w:color w:val="000000" w:themeColor="text1"/>
          <w:sz w:val="22"/>
          <w:szCs w:val="22"/>
          <w:lang w:val="en-AU" w:eastAsia="en-US"/>
        </w:rPr>
        <w:t>-</w:t>
      </w:r>
      <w:r w:rsidRPr="00A25D38">
        <w:rPr>
          <w:rFonts w:asciiTheme="minorHAnsi" w:hAnsiTheme="minorHAnsi" w:cstheme="minorBidi"/>
          <w:color w:val="000000" w:themeColor="text1"/>
          <w:sz w:val="22"/>
          <w:szCs w:val="22"/>
          <w:lang w:val="en-AU" w:eastAsia="en-US"/>
        </w:rPr>
        <w:t>store advertising, customer mailers, cinema</w:t>
      </w:r>
      <w:r w:rsidR="00A337CA" w:rsidRPr="00A25D38">
        <w:rPr>
          <w:rFonts w:asciiTheme="minorHAnsi" w:hAnsiTheme="minorHAnsi" w:cstheme="minorBidi"/>
          <w:color w:val="000000" w:themeColor="text1"/>
          <w:sz w:val="22"/>
          <w:szCs w:val="22"/>
          <w:lang w:val="en-AU" w:eastAsia="en-US"/>
        </w:rPr>
        <w:t xml:space="preserve"> advertising and</w:t>
      </w:r>
      <w:r w:rsidRPr="00A25D38">
        <w:rPr>
          <w:rFonts w:asciiTheme="minorHAnsi" w:hAnsiTheme="minorHAnsi" w:cstheme="minorBidi"/>
          <w:color w:val="000000" w:themeColor="text1"/>
          <w:sz w:val="22"/>
          <w:szCs w:val="22"/>
          <w:lang w:val="en-AU" w:eastAsia="en-US"/>
        </w:rPr>
        <w:t xml:space="preserve"> television advertising</w:t>
      </w:r>
      <w:r w:rsidR="00E07CA7" w:rsidRPr="00A25D38">
        <w:rPr>
          <w:rFonts w:asciiTheme="minorHAnsi" w:hAnsiTheme="minorHAnsi" w:cstheme="minorBidi"/>
          <w:color w:val="000000" w:themeColor="text1"/>
          <w:sz w:val="22"/>
          <w:szCs w:val="22"/>
          <w:lang w:val="en-AU" w:eastAsia="en-US"/>
        </w:rPr>
        <w:t xml:space="preserve">. </w:t>
      </w:r>
      <w:r w:rsidRPr="00A25D38">
        <w:rPr>
          <w:rFonts w:asciiTheme="minorHAnsi" w:hAnsiTheme="minorHAnsi" w:cstheme="minorHAnsi"/>
          <w:color w:val="000000" w:themeColor="text1"/>
          <w:sz w:val="22"/>
          <w:szCs w:val="22"/>
          <w:lang w:val="en-AU" w:eastAsia="en-US"/>
        </w:rPr>
        <w:t>New Zealand</w:t>
      </w:r>
      <w:r w:rsidR="006057F0" w:rsidRPr="00A25D38">
        <w:rPr>
          <w:rFonts w:asciiTheme="minorHAnsi" w:hAnsiTheme="minorHAnsi" w:cstheme="minorHAnsi"/>
          <w:color w:val="000000" w:themeColor="text1"/>
          <w:sz w:val="22"/>
          <w:szCs w:val="22"/>
          <w:lang w:val="en-AU" w:eastAsia="en-US"/>
        </w:rPr>
        <w:t xml:space="preserve"> allocated</w:t>
      </w:r>
      <w:r w:rsidRPr="00A25D38">
        <w:rPr>
          <w:rFonts w:asciiTheme="minorHAnsi" w:hAnsiTheme="minorHAnsi" w:cstheme="minorHAnsi"/>
          <w:color w:val="000000" w:themeColor="text1"/>
          <w:sz w:val="22"/>
          <w:szCs w:val="22"/>
          <w:lang w:val="en-AU" w:eastAsia="en-US"/>
        </w:rPr>
        <w:t xml:space="preserve"> approximately </w:t>
      </w:r>
      <w:r w:rsidR="009952BB" w:rsidRPr="00A25D38">
        <w:rPr>
          <w:rFonts w:asciiTheme="minorHAnsi" w:hAnsiTheme="minorHAnsi" w:cstheme="minorHAnsi"/>
          <w:sz w:val="22"/>
          <w:szCs w:val="22"/>
          <w:lang w:val="en-AU"/>
        </w:rPr>
        <w:t>NZD</w:t>
      </w:r>
      <w:r w:rsidRPr="00A25D38">
        <w:rPr>
          <w:rFonts w:asciiTheme="minorHAnsi" w:hAnsiTheme="minorHAnsi" w:cstheme="minorHAnsi"/>
          <w:color w:val="000000" w:themeColor="text1"/>
          <w:sz w:val="22"/>
          <w:szCs w:val="22"/>
          <w:lang w:val="en-AU" w:eastAsia="en-US"/>
        </w:rPr>
        <w:t>$1</w:t>
      </w:r>
      <w:r w:rsidR="006125C9" w:rsidRPr="00A25D38">
        <w:rPr>
          <w:rFonts w:asciiTheme="minorHAnsi" w:hAnsiTheme="minorHAnsi" w:cstheme="minorHAnsi"/>
          <w:color w:val="000000" w:themeColor="text1"/>
          <w:sz w:val="22"/>
          <w:szCs w:val="22"/>
          <w:lang w:val="en-AU" w:eastAsia="en-US"/>
        </w:rPr>
        <w:t>.</w:t>
      </w:r>
      <w:r w:rsidRPr="00A25D38">
        <w:rPr>
          <w:rFonts w:asciiTheme="minorHAnsi" w:hAnsiTheme="minorHAnsi" w:cstheme="minorHAnsi"/>
          <w:color w:val="000000" w:themeColor="text1"/>
          <w:sz w:val="22"/>
          <w:szCs w:val="22"/>
          <w:lang w:val="en-AU" w:eastAsia="en-US"/>
        </w:rPr>
        <w:t>9</w:t>
      </w:r>
      <w:r w:rsidR="006125C9" w:rsidRPr="00A25D38">
        <w:rPr>
          <w:rFonts w:asciiTheme="minorHAnsi" w:hAnsiTheme="minorHAnsi" w:cstheme="minorHAnsi"/>
          <w:color w:val="000000" w:themeColor="text1"/>
          <w:sz w:val="22"/>
          <w:szCs w:val="22"/>
          <w:lang w:val="en-AU" w:eastAsia="en-US"/>
        </w:rPr>
        <w:t xml:space="preserve"> million</w:t>
      </w:r>
      <w:r w:rsidRPr="00A25D38">
        <w:rPr>
          <w:rFonts w:asciiTheme="minorHAnsi" w:hAnsiTheme="minorHAnsi" w:cstheme="minorHAnsi"/>
          <w:color w:val="000000" w:themeColor="text1"/>
          <w:sz w:val="22"/>
          <w:szCs w:val="22"/>
          <w:lang w:val="en-AU" w:eastAsia="en-US"/>
        </w:rPr>
        <w:t xml:space="preserve"> to the HSR System campaign</w:t>
      </w:r>
      <w:r w:rsidR="00A25D38" w:rsidRPr="00A25D38">
        <w:rPr>
          <w:rFonts w:asciiTheme="minorHAnsi" w:hAnsiTheme="minorHAnsi" w:cstheme="minorHAnsi"/>
          <w:color w:val="000000" w:themeColor="text1"/>
          <w:sz w:val="22"/>
          <w:szCs w:val="22"/>
          <w:lang w:val="en-AU" w:eastAsia="en-US"/>
        </w:rPr>
        <w:t>, including consumer research</w:t>
      </w:r>
      <w:r w:rsidRPr="00A25D38">
        <w:rPr>
          <w:rFonts w:asciiTheme="minorHAnsi" w:hAnsiTheme="minorHAnsi" w:cstheme="minorHAnsi"/>
          <w:color w:val="000000" w:themeColor="text1"/>
          <w:sz w:val="22"/>
          <w:szCs w:val="22"/>
          <w:lang w:val="en-AU" w:eastAsia="en-US"/>
        </w:rPr>
        <w:t xml:space="preserve"> over the period 2015-16 to 2017</w:t>
      </w:r>
      <w:r w:rsidR="0047070C" w:rsidRPr="00A25D38">
        <w:rPr>
          <w:rFonts w:asciiTheme="minorHAnsi" w:hAnsiTheme="minorHAnsi" w:cstheme="minorHAnsi"/>
          <w:color w:val="000000" w:themeColor="text1"/>
          <w:sz w:val="22"/>
          <w:szCs w:val="22"/>
          <w:lang w:val="en-AU" w:eastAsia="en-US"/>
        </w:rPr>
        <w:noBreakHyphen/>
      </w:r>
      <w:r w:rsidRPr="00A25D38">
        <w:rPr>
          <w:rFonts w:asciiTheme="minorHAnsi" w:hAnsiTheme="minorHAnsi" w:cstheme="minorHAnsi"/>
          <w:color w:val="000000" w:themeColor="text1"/>
          <w:sz w:val="22"/>
          <w:szCs w:val="22"/>
          <w:lang w:val="en-AU" w:eastAsia="en-US"/>
        </w:rPr>
        <w:t>18.</w:t>
      </w:r>
    </w:p>
    <w:p w14:paraId="405F69DC" w14:textId="276D06CC" w:rsidR="00E07CA7" w:rsidRPr="00CC1ADD" w:rsidRDefault="00E07CA7">
      <w:pPr>
        <w:pStyle w:val="NormalWeb"/>
        <w:spacing w:before="0" w:beforeAutospacing="0" w:after="0" w:afterAutospacing="0"/>
        <w:rPr>
          <w:rFonts w:asciiTheme="minorHAnsi" w:hAnsiTheme="minorHAnsi" w:cstheme="minorHAnsi"/>
          <w:color w:val="000000" w:themeColor="text1"/>
          <w:sz w:val="22"/>
          <w:szCs w:val="22"/>
          <w:lang w:val="en-AU" w:eastAsia="en-US"/>
        </w:rPr>
      </w:pPr>
    </w:p>
    <w:p w14:paraId="1CAA8CD7" w14:textId="02B1B01F" w:rsidR="00E07CA7" w:rsidRPr="00CC1ADD" w:rsidRDefault="0047070C">
      <w:pPr>
        <w:pStyle w:val="NormalWeb"/>
        <w:spacing w:before="0" w:beforeAutospacing="0" w:after="0" w:afterAutospacing="0"/>
        <w:rPr>
          <w:rFonts w:asciiTheme="minorHAnsi" w:hAnsiTheme="minorHAnsi" w:cstheme="minorHAnsi"/>
          <w:color w:val="000000" w:themeColor="text1"/>
          <w:sz w:val="22"/>
          <w:szCs w:val="22"/>
          <w:lang w:val="en-AU" w:eastAsia="en-US"/>
        </w:rPr>
      </w:pPr>
      <w:r>
        <w:rPr>
          <w:rFonts w:asciiTheme="minorHAnsi" w:hAnsiTheme="minorHAnsi" w:cstheme="minorBidi"/>
          <w:color w:val="000000" w:themeColor="text1"/>
          <w:sz w:val="22"/>
          <w:szCs w:val="22"/>
          <w:lang w:val="en-AU" w:eastAsia="en-US"/>
        </w:rPr>
        <w:t>R</w:t>
      </w:r>
      <w:r w:rsidRPr="00CC1ADD">
        <w:rPr>
          <w:rFonts w:asciiTheme="minorHAnsi" w:hAnsiTheme="minorHAnsi" w:cstheme="minorBidi"/>
          <w:color w:val="000000" w:themeColor="text1"/>
          <w:sz w:val="22"/>
          <w:szCs w:val="22"/>
          <w:lang w:val="en-AU" w:eastAsia="en-US"/>
        </w:rPr>
        <w:t>efer to Chapter 4</w:t>
      </w:r>
      <w:r>
        <w:rPr>
          <w:rFonts w:asciiTheme="minorHAnsi" w:hAnsiTheme="minorHAnsi" w:cstheme="minorBidi"/>
          <w:color w:val="000000" w:themeColor="text1"/>
          <w:sz w:val="22"/>
          <w:szCs w:val="22"/>
          <w:lang w:val="en-AU" w:eastAsia="en-US"/>
        </w:rPr>
        <w:t xml:space="preserve"> f</w:t>
      </w:r>
      <w:r w:rsidR="00E07CA7" w:rsidRPr="00CC1ADD">
        <w:rPr>
          <w:rFonts w:asciiTheme="minorHAnsi" w:hAnsiTheme="minorHAnsi" w:cstheme="minorBidi"/>
          <w:color w:val="000000" w:themeColor="text1"/>
          <w:sz w:val="22"/>
          <w:szCs w:val="22"/>
          <w:lang w:val="en-AU" w:eastAsia="en-US"/>
        </w:rPr>
        <w:t>or more information about the campaigns.</w:t>
      </w:r>
    </w:p>
    <w:p w14:paraId="4DE0153A"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289B3820" w14:textId="77777777" w:rsidR="00F43B13" w:rsidRPr="00CC1ADD" w:rsidRDefault="00F43B13" w:rsidP="0013165D">
      <w:pPr>
        <w:pStyle w:val="mpcheading2"/>
        <w:spacing w:after="0"/>
        <w:rPr>
          <w:rFonts w:cstheme="minorHAnsi"/>
        </w:rPr>
      </w:pPr>
      <w:bookmarkStart w:id="51" w:name="Monitoring"/>
      <w:bookmarkStart w:id="52" w:name="_Toc9955036"/>
      <w:bookmarkEnd w:id="51"/>
      <w:r w:rsidRPr="00CC1ADD">
        <w:rPr>
          <w:rFonts w:cstheme="minorHAnsi"/>
        </w:rPr>
        <w:t>Monitoring of the HSR System</w:t>
      </w:r>
      <w:bookmarkEnd w:id="52"/>
    </w:p>
    <w:p w14:paraId="65C4E63C" w14:textId="77777777" w:rsidR="00F43B13" w:rsidRPr="00CC1ADD" w:rsidRDefault="00F43B13" w:rsidP="0013165D">
      <w:pPr>
        <w:pStyle w:val="NormalWeb"/>
        <w:spacing w:before="0" w:beforeAutospacing="0" w:after="0" w:afterAutospacing="0"/>
        <w:rPr>
          <w:rFonts w:asciiTheme="minorHAnsi" w:hAnsiTheme="minorHAnsi"/>
          <w:color w:val="333333"/>
          <w:sz w:val="22"/>
          <w:szCs w:val="22"/>
          <w:lang w:val="en-AU"/>
        </w:rPr>
      </w:pPr>
    </w:p>
    <w:p w14:paraId="4DC177FE" w14:textId="77777777" w:rsidR="00F43B13" w:rsidRPr="00CC1ADD" w:rsidRDefault="00F43B13"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The monitoring of the HSR System is overseen by the HSRAC. For the purposes of monitoring and evaluating the HSR, the HSRAC determined that key areas of enquiry (AoEs) are:</w:t>
      </w:r>
    </w:p>
    <w:p w14:paraId="12253034" w14:textId="77777777" w:rsidR="00F43B13" w:rsidRPr="00CC1ADD" w:rsidRDefault="00F43B13" w:rsidP="005A3631">
      <w:pPr>
        <w:pStyle w:val="NormalWeb"/>
        <w:spacing w:before="0" w:beforeAutospacing="0" w:after="0" w:afterAutospacing="0"/>
        <w:rPr>
          <w:rFonts w:asciiTheme="minorHAnsi" w:hAnsiTheme="minorHAnsi"/>
          <w:color w:val="333333"/>
          <w:sz w:val="22"/>
          <w:szCs w:val="22"/>
          <w:lang w:val="en-AU"/>
        </w:rPr>
      </w:pPr>
    </w:p>
    <w:p w14:paraId="37B70811" w14:textId="77777777" w:rsidR="00F43B13" w:rsidRPr="00CC1ADD" w:rsidRDefault="00F43B13" w:rsidP="0013165D">
      <w:pPr>
        <w:pStyle w:val="mpcNormal"/>
        <w:keepNext w:val="0"/>
        <w:numPr>
          <w:ilvl w:val="0"/>
          <w:numId w:val="4"/>
        </w:numPr>
      </w:pPr>
      <w:r w:rsidRPr="00CC1ADD">
        <w:rPr>
          <w:b/>
        </w:rPr>
        <w:t>AoE1:</w:t>
      </w:r>
      <w:r w:rsidRPr="00CC1ADD">
        <w:t xml:space="preserve"> label implementation and consistency with the HSR System Style Guide</w:t>
      </w:r>
    </w:p>
    <w:p w14:paraId="03BD5177" w14:textId="77777777" w:rsidR="00F43B13" w:rsidRPr="00CC1ADD" w:rsidRDefault="00F43B13" w:rsidP="0013165D">
      <w:pPr>
        <w:pStyle w:val="mpcNormal"/>
        <w:keepNext w:val="0"/>
        <w:numPr>
          <w:ilvl w:val="0"/>
          <w:numId w:val="4"/>
        </w:numPr>
      </w:pPr>
      <w:r w:rsidRPr="00CC1ADD">
        <w:rPr>
          <w:b/>
        </w:rPr>
        <w:t>AoE2:</w:t>
      </w:r>
      <w:r w:rsidRPr="00CC1ADD">
        <w:t xml:space="preserve"> consumer awareness and ability to use the HSR System correctly</w:t>
      </w:r>
    </w:p>
    <w:p w14:paraId="10EAFB2E" w14:textId="77777777" w:rsidR="00F43B13" w:rsidRPr="00CC1ADD" w:rsidRDefault="00F43B13" w:rsidP="0013165D">
      <w:pPr>
        <w:pStyle w:val="mpcNormal"/>
        <w:keepNext w:val="0"/>
        <w:numPr>
          <w:ilvl w:val="0"/>
          <w:numId w:val="4"/>
        </w:numPr>
      </w:pPr>
      <w:r w:rsidRPr="00CC1ADD">
        <w:rPr>
          <w:b/>
        </w:rPr>
        <w:t>AoE3:</w:t>
      </w:r>
      <w:r w:rsidRPr="00CC1ADD">
        <w:t xml:space="preserve"> nutrient status of products carrying an HSR System label.</w:t>
      </w:r>
    </w:p>
    <w:p w14:paraId="21B2C8FD" w14:textId="77777777" w:rsidR="00F43B13" w:rsidRPr="00CC1ADD" w:rsidRDefault="00F43B13" w:rsidP="005A3631">
      <w:pPr>
        <w:pStyle w:val="NormalWeb"/>
        <w:spacing w:before="0" w:beforeAutospacing="0" w:after="0" w:afterAutospacing="0"/>
        <w:rPr>
          <w:rFonts w:asciiTheme="minorHAnsi" w:hAnsiTheme="minorHAnsi"/>
          <w:color w:val="333333"/>
          <w:sz w:val="22"/>
          <w:szCs w:val="22"/>
          <w:lang w:val="en-AU"/>
        </w:rPr>
      </w:pPr>
    </w:p>
    <w:p w14:paraId="62D54B01" w14:textId="328AC94A"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w:t>
      </w:r>
      <w:r w:rsidR="00C82D90" w:rsidRPr="00CC1ADD">
        <w:rPr>
          <w:rFonts w:asciiTheme="minorHAnsi" w:hAnsiTheme="minorHAnsi" w:cstheme="minorBidi"/>
          <w:color w:val="000000" w:themeColor="text1"/>
          <w:sz w:val="22"/>
          <w:szCs w:val="22"/>
          <w:lang w:val="en-AU" w:eastAsia="en-US"/>
        </w:rPr>
        <w:t xml:space="preserve">National Heart Foundation of Australia (the NHF) </w:t>
      </w:r>
      <w:r w:rsidRPr="00CC1ADD">
        <w:rPr>
          <w:rFonts w:asciiTheme="minorHAnsi" w:hAnsiTheme="minorHAnsi" w:cstheme="minorBidi"/>
          <w:color w:val="000000" w:themeColor="text1"/>
          <w:sz w:val="22"/>
          <w:szCs w:val="22"/>
          <w:lang w:val="en-AU" w:eastAsia="en-US"/>
        </w:rPr>
        <w:t>developed a </w:t>
      </w:r>
      <w:hyperlink r:id="rId36" w:history="1">
        <w:r w:rsidRPr="00CC1ADD">
          <w:rPr>
            <w:rFonts w:asciiTheme="minorHAnsi" w:hAnsiTheme="minorHAnsi" w:cstheme="minorBidi"/>
            <w:color w:val="000000" w:themeColor="text1"/>
            <w:sz w:val="22"/>
            <w:szCs w:val="22"/>
            <w:lang w:val="en-AU" w:eastAsia="en-US"/>
          </w:rPr>
          <w:t>framework </w:t>
        </w:r>
      </w:hyperlink>
      <w:r w:rsidRPr="00CC1ADD">
        <w:rPr>
          <w:rFonts w:asciiTheme="minorHAnsi" w:hAnsiTheme="minorHAnsi" w:cstheme="minorBidi"/>
          <w:color w:val="000000" w:themeColor="text1"/>
          <w:sz w:val="22"/>
          <w:szCs w:val="22"/>
          <w:lang w:val="en-AU" w:eastAsia="en-US"/>
        </w:rPr>
        <w:t>to guide monitoring and reporting against these three areas of enquiry in both Australia and New Zealand.</w:t>
      </w:r>
    </w:p>
    <w:p w14:paraId="2BAB4EF0" w14:textId="77777777" w:rsidR="00F43B13" w:rsidRPr="00CC1ADD" w:rsidRDefault="00F43B13">
      <w:pPr>
        <w:rPr>
          <w:rFonts w:cs="Times New Roman"/>
          <w:color w:val="333333"/>
          <w:sz w:val="22"/>
          <w:szCs w:val="22"/>
          <w:lang w:eastAsia="en-GB"/>
        </w:rPr>
      </w:pPr>
    </w:p>
    <w:p w14:paraId="66002467" w14:textId="77777777" w:rsidR="00F43B13" w:rsidRPr="00CC1ADD" w:rsidRDefault="00F43B13" w:rsidP="0013165D">
      <w:pPr>
        <w:pStyle w:val="mpcheading4"/>
        <w:keepNext w:val="0"/>
        <w:rPr>
          <w:lang w:eastAsia="en-GB"/>
        </w:rPr>
      </w:pPr>
      <w:r w:rsidRPr="00CC1ADD">
        <w:rPr>
          <w:lang w:eastAsia="en-GB"/>
        </w:rPr>
        <w:t>Australia</w:t>
      </w:r>
    </w:p>
    <w:p w14:paraId="2E816DBE" w14:textId="77777777" w:rsidR="00F43B13" w:rsidRPr="00CC1ADD" w:rsidRDefault="00F43B13" w:rsidP="0013165D">
      <w:pPr>
        <w:pStyle w:val="mpcheading4"/>
        <w:keepNext w:val="0"/>
        <w:rPr>
          <w:lang w:eastAsia="en-GB"/>
        </w:rPr>
      </w:pPr>
    </w:p>
    <w:p w14:paraId="365BE233" w14:textId="7DBDACC8"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w:t>
      </w:r>
      <w:r w:rsidR="001B1041">
        <w:rPr>
          <w:rFonts w:asciiTheme="minorHAnsi" w:hAnsiTheme="minorHAnsi" w:cstheme="minorBidi"/>
          <w:color w:val="000000" w:themeColor="text1"/>
          <w:sz w:val="22"/>
          <w:szCs w:val="22"/>
          <w:lang w:val="en-AU" w:eastAsia="en-US"/>
        </w:rPr>
        <w:t>Commonwealth</w:t>
      </w:r>
      <w:r w:rsidR="002F0EC0">
        <w:rPr>
          <w:rFonts w:asciiTheme="minorHAnsi" w:hAnsiTheme="minorHAnsi" w:cstheme="minorBidi"/>
          <w:color w:val="000000" w:themeColor="text1"/>
          <w:sz w:val="22"/>
          <w:szCs w:val="22"/>
          <w:lang w:val="en-AU" w:eastAsia="en-US"/>
        </w:rPr>
        <w:t xml:space="preserve"> </w:t>
      </w:r>
      <w:r w:rsidRPr="00CC1ADD">
        <w:rPr>
          <w:rFonts w:asciiTheme="minorHAnsi" w:hAnsiTheme="minorHAnsi" w:cstheme="minorBidi"/>
          <w:color w:val="000000" w:themeColor="text1"/>
          <w:sz w:val="22"/>
          <w:szCs w:val="22"/>
          <w:lang w:val="en-AU" w:eastAsia="en-US"/>
        </w:rPr>
        <w:t xml:space="preserve">Department of Health engaged the </w:t>
      </w:r>
      <w:r w:rsidR="00654C50" w:rsidRPr="00CC1ADD">
        <w:rPr>
          <w:rFonts w:asciiTheme="minorHAnsi" w:hAnsiTheme="minorHAnsi" w:cstheme="minorBidi"/>
          <w:color w:val="000000" w:themeColor="text1"/>
          <w:sz w:val="22"/>
          <w:szCs w:val="22"/>
          <w:lang w:val="en-AU" w:eastAsia="en-US"/>
        </w:rPr>
        <w:t>NHF</w:t>
      </w:r>
      <w:r w:rsidRPr="00CC1ADD">
        <w:rPr>
          <w:rFonts w:asciiTheme="minorHAnsi" w:hAnsiTheme="minorHAnsi" w:cstheme="minorBidi"/>
          <w:color w:val="000000" w:themeColor="text1"/>
          <w:sz w:val="22"/>
          <w:szCs w:val="22"/>
          <w:lang w:val="en-AU" w:eastAsia="en-US"/>
        </w:rPr>
        <w:t xml:space="preserve"> to undertake data collection and analysis in Australia for the three key areas of enquiry. The </w:t>
      </w:r>
      <w:r w:rsidR="00654C50" w:rsidRPr="00CC1ADD">
        <w:rPr>
          <w:rFonts w:asciiTheme="minorHAnsi" w:hAnsiTheme="minorHAnsi" w:cstheme="minorBidi"/>
          <w:color w:val="000000" w:themeColor="text1"/>
          <w:sz w:val="22"/>
          <w:szCs w:val="22"/>
          <w:lang w:val="en-AU" w:eastAsia="en-US"/>
        </w:rPr>
        <w:t>NHF</w:t>
      </w:r>
      <w:r w:rsidRPr="00CC1ADD">
        <w:rPr>
          <w:rFonts w:asciiTheme="minorHAnsi" w:hAnsiTheme="minorHAnsi" w:cstheme="minorBidi"/>
          <w:color w:val="000000" w:themeColor="text1"/>
          <w:sz w:val="22"/>
          <w:szCs w:val="22"/>
          <w:lang w:val="en-AU" w:eastAsia="en-US"/>
        </w:rPr>
        <w:t xml:space="preserve"> has published a series of reports covering each year of implementation of the HSR System, available on the </w:t>
      </w:r>
      <w:hyperlink r:id="rId37" w:history="1">
        <w:r w:rsidRPr="006057F0">
          <w:rPr>
            <w:rStyle w:val="Hyperlink"/>
            <w:rFonts w:asciiTheme="minorHAnsi" w:hAnsiTheme="minorHAnsi" w:cstheme="minorBidi"/>
            <w:sz w:val="22"/>
            <w:szCs w:val="22"/>
            <w:lang w:val="en-AU" w:eastAsia="en-US"/>
          </w:rPr>
          <w:t>HSR System website</w:t>
        </w:r>
      </w:hyperlink>
      <w:r w:rsidRPr="00CC1ADD">
        <w:rPr>
          <w:rFonts w:asciiTheme="minorHAnsi" w:hAnsiTheme="minorHAnsi" w:cstheme="minorBidi"/>
          <w:color w:val="000000" w:themeColor="text1"/>
          <w:sz w:val="22"/>
          <w:szCs w:val="22"/>
          <w:lang w:val="en-AU" w:eastAsia="en-US"/>
        </w:rPr>
        <w:t>.</w:t>
      </w:r>
    </w:p>
    <w:p w14:paraId="7E017FA3"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1A8A8A80" w14:textId="42D0B9C4"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Market research company Pollinate was engaged to support the work being undertaken to assess consumer awareness and ability to use the system correctly and evaluate the performance of the HSR System campaign in Australia. Pollinate undertook an assessment against AoE2 early in 2015. The </w:t>
      </w:r>
      <w:r w:rsidR="00654C50" w:rsidRPr="00CC1ADD">
        <w:rPr>
          <w:rFonts w:asciiTheme="minorHAnsi" w:hAnsiTheme="minorHAnsi" w:cstheme="minorBidi"/>
          <w:color w:val="000000" w:themeColor="text1"/>
          <w:sz w:val="22"/>
          <w:szCs w:val="22"/>
          <w:lang w:val="en-AU" w:eastAsia="en-US"/>
        </w:rPr>
        <w:t>NHF</w:t>
      </w:r>
      <w:r w:rsidRPr="00CC1ADD">
        <w:rPr>
          <w:rFonts w:asciiTheme="minorHAnsi" w:hAnsiTheme="minorHAnsi" w:cstheme="minorBidi"/>
          <w:color w:val="000000" w:themeColor="text1"/>
          <w:sz w:val="22"/>
          <w:szCs w:val="22"/>
          <w:lang w:val="en-AU" w:eastAsia="en-US"/>
        </w:rPr>
        <w:t xml:space="preserve"> continues to monitor against this area of enquiry. Pollinate has also undertaken evaluations of the HSR System social marketing campaign activity in Australia in 2015, </w:t>
      </w:r>
      <w:r w:rsidR="00FE54AF" w:rsidRPr="00CC1ADD">
        <w:rPr>
          <w:rFonts w:asciiTheme="minorHAnsi" w:hAnsiTheme="minorHAnsi" w:cstheme="minorBidi"/>
          <w:color w:val="000000" w:themeColor="text1"/>
          <w:sz w:val="22"/>
          <w:szCs w:val="22"/>
          <w:lang w:val="en-AU" w:eastAsia="en-US"/>
        </w:rPr>
        <w:t>20</w:t>
      </w:r>
      <w:r w:rsidRPr="00CC1ADD">
        <w:rPr>
          <w:rFonts w:asciiTheme="minorHAnsi" w:hAnsiTheme="minorHAnsi" w:cstheme="minorBidi"/>
          <w:color w:val="000000" w:themeColor="text1"/>
          <w:sz w:val="22"/>
          <w:szCs w:val="22"/>
          <w:lang w:val="en-AU" w:eastAsia="en-US"/>
        </w:rPr>
        <w:t xml:space="preserve">16 and </w:t>
      </w:r>
      <w:r w:rsidR="00FE54AF" w:rsidRPr="00CC1ADD">
        <w:rPr>
          <w:rFonts w:asciiTheme="minorHAnsi" w:hAnsiTheme="minorHAnsi" w:cstheme="minorBidi"/>
          <w:color w:val="000000" w:themeColor="text1"/>
          <w:sz w:val="22"/>
          <w:szCs w:val="22"/>
          <w:lang w:val="en-AU" w:eastAsia="en-US"/>
        </w:rPr>
        <w:t>20</w:t>
      </w:r>
      <w:r w:rsidRPr="00CC1ADD">
        <w:rPr>
          <w:rFonts w:asciiTheme="minorHAnsi" w:hAnsiTheme="minorHAnsi" w:cstheme="minorBidi"/>
          <w:color w:val="000000" w:themeColor="text1"/>
          <w:sz w:val="22"/>
          <w:szCs w:val="22"/>
          <w:lang w:val="en-AU" w:eastAsia="en-US"/>
        </w:rPr>
        <w:t>17.</w:t>
      </w:r>
    </w:p>
    <w:p w14:paraId="4FF014C2" w14:textId="77777777" w:rsidR="00F43B13" w:rsidRPr="00CC1ADD" w:rsidRDefault="00F43B13">
      <w:pPr>
        <w:rPr>
          <w:rFonts w:cs="Times New Roman"/>
          <w:color w:val="333333"/>
          <w:sz w:val="22"/>
          <w:szCs w:val="22"/>
          <w:lang w:eastAsia="en-GB"/>
        </w:rPr>
      </w:pPr>
    </w:p>
    <w:p w14:paraId="48594286" w14:textId="77777777" w:rsidR="00F43B13" w:rsidRPr="00CC1ADD" w:rsidRDefault="00F43B13" w:rsidP="0013165D">
      <w:pPr>
        <w:pStyle w:val="mpcheading4"/>
        <w:keepNext w:val="0"/>
        <w:rPr>
          <w:lang w:eastAsia="en-GB"/>
        </w:rPr>
      </w:pPr>
      <w:r w:rsidRPr="00CC1ADD">
        <w:rPr>
          <w:lang w:eastAsia="en-GB"/>
        </w:rPr>
        <w:t>New Zealand</w:t>
      </w:r>
    </w:p>
    <w:p w14:paraId="2359E5AC" w14:textId="77777777" w:rsidR="00F43B13" w:rsidRPr="00CC1ADD" w:rsidRDefault="00F43B13" w:rsidP="0013165D">
      <w:pPr>
        <w:pStyle w:val="mpcheading4"/>
        <w:keepNext w:val="0"/>
        <w:rPr>
          <w:lang w:eastAsia="en-GB"/>
        </w:rPr>
      </w:pPr>
    </w:p>
    <w:p w14:paraId="4ACCCCE7" w14:textId="04AB549D" w:rsidR="00F43B13" w:rsidRPr="00CC1ADD" w:rsidRDefault="00F43B13" w:rsidP="0013165D">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w:t>
      </w:r>
      <w:r w:rsidR="004B53A8">
        <w:rPr>
          <w:rFonts w:asciiTheme="minorHAnsi" w:hAnsiTheme="minorHAnsi" w:cstheme="minorBidi"/>
          <w:color w:val="000000" w:themeColor="text1"/>
          <w:sz w:val="22"/>
          <w:szCs w:val="22"/>
          <w:lang w:val="en-AU" w:eastAsia="en-US"/>
        </w:rPr>
        <w:t>MPI</w:t>
      </w:r>
      <w:r w:rsidRPr="00CC1ADD">
        <w:rPr>
          <w:rFonts w:asciiTheme="minorHAnsi" w:hAnsiTheme="minorHAnsi" w:cstheme="minorBidi"/>
          <w:color w:val="000000" w:themeColor="text1"/>
          <w:sz w:val="22"/>
          <w:szCs w:val="22"/>
          <w:lang w:val="en-AU" w:eastAsia="en-US"/>
        </w:rPr>
        <w:t xml:space="preserve"> leads the development, implementation and governance of the HSR </w:t>
      </w:r>
      <w:r w:rsidR="0047070C">
        <w:rPr>
          <w:rFonts w:asciiTheme="minorHAnsi" w:hAnsiTheme="minorHAnsi" w:cstheme="minorBidi"/>
          <w:color w:val="000000" w:themeColor="text1"/>
          <w:sz w:val="22"/>
          <w:szCs w:val="22"/>
          <w:lang w:val="en-AU" w:eastAsia="en-US"/>
        </w:rPr>
        <w:t>S</w:t>
      </w:r>
      <w:r w:rsidRPr="00CC1ADD">
        <w:rPr>
          <w:rFonts w:asciiTheme="minorHAnsi" w:hAnsiTheme="minorHAnsi" w:cstheme="minorBidi"/>
          <w:color w:val="000000" w:themeColor="text1"/>
          <w:sz w:val="22"/>
          <w:szCs w:val="22"/>
          <w:lang w:val="en-AU" w:eastAsia="en-US"/>
        </w:rPr>
        <w:t xml:space="preserve">ystem in New Zealand. </w:t>
      </w:r>
    </w:p>
    <w:p w14:paraId="2DDD9675" w14:textId="77777777" w:rsidR="00F43B13" w:rsidRPr="00CC1ADD" w:rsidRDefault="00F43B13" w:rsidP="005A3631">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28E1C67F" w14:textId="1AF9226C"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r w:rsidRPr="00CC1ADD">
        <w:rPr>
          <w:rFonts w:asciiTheme="minorHAnsi" w:hAnsiTheme="minorHAnsi" w:cstheme="minorBidi"/>
          <w:color w:val="000000" w:themeColor="text1"/>
          <w:sz w:val="22"/>
          <w:szCs w:val="22"/>
          <w:lang w:val="en-AU" w:eastAsia="en-US"/>
        </w:rPr>
        <w:t xml:space="preserve">The Ministry of Health and the Health Promotion Agency (HPA) </w:t>
      </w:r>
      <w:r w:rsidR="00744408">
        <w:rPr>
          <w:rFonts w:asciiTheme="minorHAnsi" w:hAnsiTheme="minorHAnsi" w:cstheme="minorBidi"/>
          <w:color w:val="000000" w:themeColor="text1"/>
          <w:sz w:val="22"/>
          <w:szCs w:val="22"/>
          <w:lang w:val="en-AU" w:eastAsia="en-US"/>
        </w:rPr>
        <w:t>are</w:t>
      </w:r>
      <w:r w:rsidRPr="00CC1ADD">
        <w:rPr>
          <w:rFonts w:asciiTheme="minorHAnsi" w:hAnsiTheme="minorHAnsi" w:cstheme="minorBidi"/>
          <w:color w:val="000000" w:themeColor="text1"/>
          <w:sz w:val="22"/>
          <w:szCs w:val="22"/>
          <w:lang w:val="en-AU" w:eastAsia="en-US"/>
        </w:rPr>
        <w:t xml:space="preserve"> responsible for the consumer education and awareness campaign. The Ministry of Health funded the HPA to develop, implement and monitor the consumer marketing and education campaign to help consumers understand the HSR System. HPA commissioned Colmar Brunton to conduct surveys to monitor awareness, recognition, understanding and correct use of the HSR System. A survey was conducted in 2015, with two follow-up waves in 2016 and 2018.</w:t>
      </w:r>
    </w:p>
    <w:p w14:paraId="7888AE41"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11A125F3" w14:textId="044FBD7B" w:rsidR="00E07CA7" w:rsidRPr="00CC1ADD" w:rsidRDefault="0047070C">
      <w:pPr>
        <w:pStyle w:val="NormalWeb"/>
        <w:spacing w:before="0" w:beforeAutospacing="0" w:after="0" w:afterAutospacing="0"/>
        <w:rPr>
          <w:rFonts w:asciiTheme="minorHAnsi" w:hAnsiTheme="minorHAnsi" w:cstheme="minorHAnsi"/>
          <w:color w:val="000000" w:themeColor="text1"/>
          <w:sz w:val="22"/>
          <w:szCs w:val="22"/>
          <w:lang w:val="en-AU" w:eastAsia="en-US"/>
        </w:rPr>
      </w:pPr>
      <w:r>
        <w:rPr>
          <w:rFonts w:asciiTheme="minorHAnsi" w:hAnsiTheme="minorHAnsi" w:cstheme="minorBidi"/>
          <w:color w:val="000000" w:themeColor="text1"/>
          <w:sz w:val="22"/>
          <w:szCs w:val="22"/>
          <w:lang w:val="en-AU" w:eastAsia="en-US"/>
        </w:rPr>
        <w:t>R</w:t>
      </w:r>
      <w:r w:rsidRPr="00CC1ADD">
        <w:rPr>
          <w:rFonts w:asciiTheme="minorHAnsi" w:hAnsiTheme="minorHAnsi" w:cstheme="minorBidi"/>
          <w:color w:val="000000" w:themeColor="text1"/>
          <w:sz w:val="22"/>
          <w:szCs w:val="22"/>
          <w:lang w:val="en-AU" w:eastAsia="en-US"/>
        </w:rPr>
        <w:t>efer to Chapter 3</w:t>
      </w:r>
      <w:r>
        <w:rPr>
          <w:rFonts w:asciiTheme="minorHAnsi" w:hAnsiTheme="minorHAnsi" w:cstheme="minorBidi"/>
          <w:color w:val="000000" w:themeColor="text1"/>
          <w:sz w:val="22"/>
          <w:szCs w:val="22"/>
          <w:lang w:val="en-AU" w:eastAsia="en-US"/>
        </w:rPr>
        <w:t xml:space="preserve"> f</w:t>
      </w:r>
      <w:r w:rsidR="00E07CA7" w:rsidRPr="00CC1ADD">
        <w:rPr>
          <w:rFonts w:asciiTheme="minorHAnsi" w:hAnsiTheme="minorHAnsi" w:cstheme="minorBidi"/>
          <w:color w:val="000000" w:themeColor="text1"/>
          <w:sz w:val="22"/>
          <w:szCs w:val="22"/>
          <w:lang w:val="en-AU" w:eastAsia="en-US"/>
        </w:rPr>
        <w:t xml:space="preserve">or more information about the monitoring of the HSR </w:t>
      </w:r>
      <w:r>
        <w:rPr>
          <w:rFonts w:asciiTheme="minorHAnsi" w:hAnsiTheme="minorHAnsi" w:cstheme="minorBidi"/>
          <w:color w:val="000000" w:themeColor="text1"/>
          <w:sz w:val="22"/>
          <w:szCs w:val="22"/>
          <w:lang w:val="en-AU" w:eastAsia="en-US"/>
        </w:rPr>
        <w:t xml:space="preserve">System </w:t>
      </w:r>
      <w:r w:rsidR="00E07CA7" w:rsidRPr="00CC1ADD">
        <w:rPr>
          <w:rFonts w:asciiTheme="minorHAnsi" w:hAnsiTheme="minorHAnsi" w:cstheme="minorBidi"/>
          <w:color w:val="000000" w:themeColor="text1"/>
          <w:sz w:val="22"/>
          <w:szCs w:val="22"/>
          <w:lang w:val="en-AU" w:eastAsia="en-US"/>
        </w:rPr>
        <w:t>and its impact.</w:t>
      </w:r>
    </w:p>
    <w:p w14:paraId="6A3DA03C" w14:textId="77777777" w:rsidR="00F43B13" w:rsidRPr="00CC1ADD" w:rsidRDefault="00F43B13">
      <w:pPr>
        <w:pStyle w:val="NormalWeb"/>
        <w:spacing w:before="0" w:beforeAutospacing="0" w:after="0" w:afterAutospacing="0"/>
        <w:rPr>
          <w:rFonts w:asciiTheme="minorHAnsi" w:hAnsiTheme="minorHAnsi" w:cstheme="minorBidi"/>
          <w:color w:val="000000" w:themeColor="text1"/>
          <w:sz w:val="22"/>
          <w:szCs w:val="22"/>
          <w:lang w:val="en-AU" w:eastAsia="en-US"/>
        </w:rPr>
      </w:pPr>
    </w:p>
    <w:p w14:paraId="7C514C6C" w14:textId="77777777" w:rsidR="00F43B13" w:rsidRPr="00CC1ADD" w:rsidRDefault="00F43B13">
      <w:pPr>
        <w:pStyle w:val="mpcheading1"/>
      </w:pPr>
      <w:r w:rsidRPr="00CC1ADD">
        <w:br w:type="column"/>
      </w:r>
      <w:bookmarkStart w:id="53" w:name="Chapter2"/>
      <w:bookmarkStart w:id="54" w:name="_Toc9955037"/>
      <w:bookmarkEnd w:id="53"/>
      <w:r w:rsidRPr="00CC1ADD">
        <w:t>Chapter 2 – About the Five Year Review</w:t>
      </w:r>
      <w:bookmarkEnd w:id="54"/>
      <w:r w:rsidRPr="00CC1ADD">
        <w:t xml:space="preserve"> </w:t>
      </w:r>
    </w:p>
    <w:p w14:paraId="55EDB93A" w14:textId="77777777" w:rsidR="00F43B13" w:rsidRPr="00CC1ADD" w:rsidRDefault="00F43B13">
      <w:pPr>
        <w:pStyle w:val="mpcheading2"/>
        <w:spacing w:after="0"/>
        <w:rPr>
          <w:rFonts w:cstheme="minorHAnsi"/>
        </w:rPr>
      </w:pPr>
      <w:bookmarkStart w:id="55" w:name="Purpose"/>
      <w:bookmarkStart w:id="56" w:name="_Toc9955038"/>
      <w:bookmarkEnd w:id="55"/>
      <w:r w:rsidRPr="00CC1ADD">
        <w:rPr>
          <w:rFonts w:cstheme="minorHAnsi"/>
        </w:rPr>
        <w:t>Purpose of the Five Year Review</w:t>
      </w:r>
      <w:bookmarkEnd w:id="56"/>
    </w:p>
    <w:p w14:paraId="1BE7D8CA" w14:textId="77777777" w:rsidR="00F43B13" w:rsidRPr="00CC1ADD" w:rsidRDefault="00F43B13" w:rsidP="0013165D">
      <w:pPr>
        <w:pStyle w:val="mpcNormal"/>
        <w:keepNext w:val="0"/>
      </w:pPr>
    </w:p>
    <w:p w14:paraId="28747462" w14:textId="0787BC3F" w:rsidR="00F43B13" w:rsidRPr="00CC1ADD" w:rsidRDefault="00591AAD" w:rsidP="0013165D">
      <w:pPr>
        <w:pStyle w:val="mpcNormal"/>
        <w:keepNext w:val="0"/>
      </w:pPr>
      <w:r>
        <w:t xml:space="preserve">The Forum </w:t>
      </w:r>
      <w:r w:rsidR="00F43B13" w:rsidRPr="00CC1ADD">
        <w:t>agreed that a formal review of the HSR System be carried out after five years of implementation. mpconsulting was engaged to undertake the review and present findings to the Forum, through the FRSC</w:t>
      </w:r>
      <w:r w:rsidR="00654C50" w:rsidRPr="00CC1ADD">
        <w:t xml:space="preserve"> </w:t>
      </w:r>
      <w:r w:rsidR="00F43B13" w:rsidRPr="00CC1ADD">
        <w:t>and the HSRAC.</w:t>
      </w:r>
    </w:p>
    <w:p w14:paraId="16A19385" w14:textId="77777777" w:rsidR="00F43B13" w:rsidRPr="00CC1ADD" w:rsidRDefault="00F43B13" w:rsidP="0013165D">
      <w:pPr>
        <w:pStyle w:val="mpcNormal"/>
        <w:keepNext w:val="0"/>
      </w:pPr>
    </w:p>
    <w:p w14:paraId="4FA50678" w14:textId="20961325" w:rsidR="00F43B13" w:rsidRPr="00CC1ADD" w:rsidRDefault="00F43B13" w:rsidP="0013165D">
      <w:pPr>
        <w:pStyle w:val="mpcNormal"/>
        <w:keepNext w:val="0"/>
      </w:pPr>
      <w:r w:rsidRPr="00CC1ADD">
        <w:t xml:space="preserve">The purpose of the Review </w:t>
      </w:r>
      <w:r w:rsidR="00027302">
        <w:t>wa</w:t>
      </w:r>
      <w:r w:rsidRPr="00CC1ADD">
        <w:t>s to consider:</w:t>
      </w:r>
    </w:p>
    <w:p w14:paraId="08F6096E" w14:textId="77777777" w:rsidR="00F43B13" w:rsidRPr="00CC1ADD" w:rsidRDefault="00F43B13" w:rsidP="0013165D">
      <w:pPr>
        <w:pStyle w:val="mpcNormal"/>
        <w:keepNext w:val="0"/>
      </w:pPr>
    </w:p>
    <w:p w14:paraId="61D480A6" w14:textId="77777777" w:rsidR="00F43B13" w:rsidRPr="00CC1ADD" w:rsidRDefault="00F43B13" w:rsidP="0013165D">
      <w:pPr>
        <w:pStyle w:val="mpcNormal"/>
        <w:keepNext w:val="0"/>
        <w:numPr>
          <w:ilvl w:val="0"/>
          <w:numId w:val="11"/>
        </w:numPr>
      </w:pPr>
      <w:r w:rsidRPr="00CC1ADD">
        <w:t>how well the objectives of the HSR System are being met, including by reference to the impact of the HSR System</w:t>
      </w:r>
    </w:p>
    <w:p w14:paraId="30584948" w14:textId="36A94FCE" w:rsidR="00F43B13" w:rsidRPr="00CC1ADD" w:rsidRDefault="00F43B13" w:rsidP="0013165D">
      <w:pPr>
        <w:pStyle w:val="mpcNormal"/>
        <w:keepNext w:val="0"/>
        <w:numPr>
          <w:ilvl w:val="0"/>
          <w:numId w:val="11"/>
        </w:numPr>
      </w:pPr>
      <w:r w:rsidRPr="00CC1ADD">
        <w:t xml:space="preserve">options for enhancing the HSR System, should continuation </w:t>
      </w:r>
      <w:r w:rsidR="00744408">
        <w:t xml:space="preserve">of the System </w:t>
      </w:r>
      <w:r w:rsidRPr="00CC1ADD">
        <w:t>be recommended.</w:t>
      </w:r>
    </w:p>
    <w:p w14:paraId="460014FD" w14:textId="77777777" w:rsidR="00F43B13" w:rsidRPr="00CC1ADD" w:rsidRDefault="00F43B13" w:rsidP="005A3631">
      <w:pPr>
        <w:rPr>
          <w:rFonts w:cstheme="minorHAnsi"/>
          <w:sz w:val="22"/>
          <w:szCs w:val="22"/>
        </w:rPr>
      </w:pPr>
    </w:p>
    <w:p w14:paraId="0C3212D8" w14:textId="043310C4" w:rsidR="00F43B13" w:rsidRPr="00CC1ADD" w:rsidRDefault="00F43B13">
      <w:pPr>
        <w:rPr>
          <w:rFonts w:cstheme="minorHAnsi"/>
          <w:sz w:val="22"/>
          <w:szCs w:val="22"/>
        </w:rPr>
      </w:pPr>
      <w:r w:rsidRPr="00CC1ADD">
        <w:rPr>
          <w:rFonts w:cstheme="minorHAnsi"/>
          <w:sz w:val="22"/>
          <w:szCs w:val="22"/>
        </w:rPr>
        <w:t xml:space="preserve">mpconsulting </w:t>
      </w:r>
      <w:r w:rsidR="00027302">
        <w:rPr>
          <w:rFonts w:cstheme="minorHAnsi"/>
          <w:sz w:val="22"/>
          <w:szCs w:val="22"/>
        </w:rPr>
        <w:t>also considered</w:t>
      </w:r>
      <w:r w:rsidRPr="00CC1ADD">
        <w:rPr>
          <w:rFonts w:cstheme="minorHAnsi"/>
          <w:sz w:val="22"/>
          <w:szCs w:val="22"/>
        </w:rPr>
        <w:t xml:space="preserve"> HSR System communications, monitoring and governance.</w:t>
      </w:r>
    </w:p>
    <w:p w14:paraId="78098F47" w14:textId="77777777" w:rsidR="00F43B13" w:rsidRPr="00CC1ADD" w:rsidRDefault="00F43B13" w:rsidP="0013165D">
      <w:pPr>
        <w:pStyle w:val="mpcNormal"/>
        <w:keepNext w:val="0"/>
      </w:pPr>
    </w:p>
    <w:p w14:paraId="21CA9A72" w14:textId="2F27B61F" w:rsidR="00F43B13" w:rsidRPr="00CC1ADD" w:rsidRDefault="00F43B13">
      <w:pPr>
        <w:pStyle w:val="mpcheading2"/>
        <w:spacing w:after="0"/>
        <w:rPr>
          <w:rFonts w:cstheme="minorHAnsi"/>
        </w:rPr>
      </w:pPr>
      <w:bookmarkStart w:id="57" w:name="Process"/>
      <w:bookmarkStart w:id="58" w:name="_Toc9955039"/>
      <w:bookmarkEnd w:id="57"/>
      <w:r w:rsidRPr="00CC1ADD">
        <w:rPr>
          <w:rFonts w:cstheme="minorHAnsi"/>
        </w:rPr>
        <w:t>Five Year Review Process</w:t>
      </w:r>
      <w:bookmarkEnd w:id="58"/>
    </w:p>
    <w:p w14:paraId="7493C06E" w14:textId="77777777" w:rsidR="00F43B13" w:rsidRPr="00CC1ADD" w:rsidRDefault="00F43B13" w:rsidP="0013165D">
      <w:pPr>
        <w:pStyle w:val="mpcNormal"/>
        <w:keepNext w:val="0"/>
      </w:pPr>
    </w:p>
    <w:p w14:paraId="634A44EE" w14:textId="2836910C" w:rsidR="00F43B13" w:rsidRPr="00CC1ADD" w:rsidRDefault="00F43B13" w:rsidP="0013165D">
      <w:pPr>
        <w:pStyle w:val="mpcNormal"/>
        <w:keepNext w:val="0"/>
      </w:pPr>
      <w:r w:rsidRPr="00CC1ADD">
        <w:t xml:space="preserve">During the course of the Review, mpconsulting consulted extensively with stakeholders, reviewed relevant literature and worked closely with the HSRAC and </w:t>
      </w:r>
      <w:r w:rsidR="00654C50" w:rsidRPr="00CC1ADD">
        <w:t xml:space="preserve">the </w:t>
      </w:r>
      <w:r w:rsidRPr="00CC1ADD">
        <w:t xml:space="preserve">TAG to determine the impact of the System, the extent to which it is meeting its objectives and identify options for improvements. </w:t>
      </w:r>
      <w:r w:rsidR="00357932">
        <w:t xml:space="preserve">Table </w:t>
      </w:r>
      <w:r w:rsidR="00027302">
        <w:t>1</w:t>
      </w:r>
      <w:r w:rsidR="00357932">
        <w:t xml:space="preserve"> provides</w:t>
      </w:r>
      <w:r w:rsidRPr="00CC1ADD">
        <w:t xml:space="preserve"> a synopsis of the activities undertaken over the course of the Review. A list of key resources is included </w:t>
      </w:r>
      <w:r w:rsidR="00744408">
        <w:t>in</w:t>
      </w:r>
      <w:r w:rsidRPr="00CC1ADD">
        <w:t xml:space="preserve"> the Bibliography.</w:t>
      </w:r>
    </w:p>
    <w:p w14:paraId="334339CD" w14:textId="77777777" w:rsidR="00F43B13" w:rsidRPr="00CC1ADD" w:rsidRDefault="00F43B13" w:rsidP="005A3631">
      <w:pPr>
        <w:pStyle w:val="mpctableheading"/>
        <w:rPr>
          <w:rFonts w:cstheme="minorHAnsi"/>
          <w:szCs w:val="22"/>
        </w:rPr>
      </w:pPr>
    </w:p>
    <w:p w14:paraId="350D310F" w14:textId="77777777" w:rsidR="00F43B13" w:rsidRPr="00CC1ADD" w:rsidRDefault="00F43B13">
      <w:pPr>
        <w:pStyle w:val="mpctableheading"/>
        <w:rPr>
          <w:rFonts w:cstheme="minorHAnsi"/>
          <w:szCs w:val="22"/>
        </w:rPr>
      </w:pPr>
      <w:r w:rsidRPr="00CC1ADD">
        <w:rPr>
          <w:rFonts w:cstheme="minorHAnsi"/>
          <w:szCs w:val="22"/>
        </w:rPr>
        <w:t>Table 1: Five Year Review timeline</w:t>
      </w:r>
    </w:p>
    <w:p w14:paraId="561FE025" w14:textId="77777777" w:rsidR="00F43B13" w:rsidRPr="00CC1ADD" w:rsidRDefault="00F43B13">
      <w:pPr>
        <w:pStyle w:val="mpctableheading"/>
        <w:rPr>
          <w:rFonts w:cstheme="minorHAnsi"/>
          <w:szCs w:val="22"/>
        </w:rPr>
      </w:pPr>
    </w:p>
    <w:tbl>
      <w:tblPr>
        <w:tblStyle w:val="TableGrid"/>
        <w:tblW w:w="5000" w:type="pct"/>
        <w:tblCellMar>
          <w:top w:w="57" w:type="dxa"/>
          <w:bottom w:w="57" w:type="dxa"/>
        </w:tblCellMar>
        <w:tblLook w:val="04A0" w:firstRow="1" w:lastRow="0" w:firstColumn="1" w:lastColumn="0" w:noHBand="0" w:noVBand="1"/>
        <w:tblCaption w:val="Table 1: Five Year Review Timeline"/>
        <w:tblDescription w:val="This table list the activity undertaken in completeing the Five Year Review."/>
      </w:tblPr>
      <w:tblGrid>
        <w:gridCol w:w="1788"/>
        <w:gridCol w:w="7948"/>
      </w:tblGrid>
      <w:tr w:rsidR="00F43B13" w:rsidRPr="00CC1ADD" w14:paraId="2942DA6C" w14:textId="77777777" w:rsidTr="00B36208">
        <w:trPr>
          <w:tblHeader/>
        </w:trPr>
        <w:tc>
          <w:tcPr>
            <w:tcW w:w="918" w:type="pct"/>
            <w:shd w:val="clear" w:color="auto" w:fill="516A8E"/>
          </w:tcPr>
          <w:p w14:paraId="1FE6C129" w14:textId="77777777" w:rsidR="00F43B13" w:rsidRPr="00CC1ADD" w:rsidRDefault="00F43B13">
            <w:pPr>
              <w:tabs>
                <w:tab w:val="left" w:pos="851"/>
                <w:tab w:val="left" w:pos="900"/>
                <w:tab w:val="left" w:pos="1701"/>
                <w:tab w:val="left" w:pos="6237"/>
                <w:tab w:val="left" w:pos="6480"/>
                <w:tab w:val="left" w:pos="7740"/>
              </w:tabs>
              <w:autoSpaceDE w:val="0"/>
              <w:autoSpaceDN w:val="0"/>
              <w:adjustRightInd w:val="0"/>
              <w:rPr>
                <w:rFonts w:cstheme="minorHAnsi"/>
                <w:b/>
                <w:color w:val="FFFFFF" w:themeColor="background1"/>
                <w:sz w:val="20"/>
                <w:szCs w:val="20"/>
              </w:rPr>
            </w:pPr>
            <w:bookmarkStart w:id="59" w:name="Date"/>
            <w:bookmarkEnd w:id="59"/>
            <w:r w:rsidRPr="00CC1ADD">
              <w:rPr>
                <w:rFonts w:cstheme="minorHAnsi"/>
                <w:b/>
                <w:color w:val="FFFFFF" w:themeColor="background1"/>
                <w:sz w:val="20"/>
                <w:szCs w:val="20"/>
              </w:rPr>
              <w:t>Date</w:t>
            </w:r>
          </w:p>
        </w:tc>
        <w:tc>
          <w:tcPr>
            <w:tcW w:w="4082" w:type="pct"/>
            <w:shd w:val="clear" w:color="auto" w:fill="516A8E"/>
          </w:tcPr>
          <w:p w14:paraId="728D13F0" w14:textId="77777777" w:rsidR="00F43B13" w:rsidRPr="00CC1ADD" w:rsidRDefault="00F43B13">
            <w:pPr>
              <w:tabs>
                <w:tab w:val="left" w:pos="851"/>
                <w:tab w:val="left" w:pos="900"/>
                <w:tab w:val="left" w:pos="1701"/>
                <w:tab w:val="left" w:pos="6237"/>
                <w:tab w:val="left" w:pos="6480"/>
                <w:tab w:val="left" w:pos="7740"/>
              </w:tabs>
              <w:autoSpaceDE w:val="0"/>
              <w:autoSpaceDN w:val="0"/>
              <w:adjustRightInd w:val="0"/>
              <w:rPr>
                <w:rFonts w:cstheme="minorHAnsi"/>
                <w:b/>
                <w:color w:val="FFFFFF" w:themeColor="background1"/>
                <w:sz w:val="20"/>
                <w:szCs w:val="20"/>
              </w:rPr>
            </w:pPr>
            <w:r w:rsidRPr="00CC1ADD">
              <w:rPr>
                <w:rFonts w:cstheme="minorHAnsi"/>
                <w:b/>
                <w:color w:val="FFFFFF" w:themeColor="background1"/>
                <w:sz w:val="20"/>
                <w:szCs w:val="20"/>
              </w:rPr>
              <w:t>Description of activity</w:t>
            </w:r>
          </w:p>
        </w:tc>
      </w:tr>
      <w:tr w:rsidR="00F43B13" w:rsidRPr="00CC1ADD" w14:paraId="411AEBBA" w14:textId="77777777" w:rsidTr="00B36208">
        <w:tc>
          <w:tcPr>
            <w:tcW w:w="918" w:type="pct"/>
          </w:tcPr>
          <w:p w14:paraId="739FA4F0" w14:textId="77777777" w:rsidR="00F43B13" w:rsidRPr="00CC1ADD" w:rsidRDefault="00F43B13" w:rsidP="005A3631">
            <w:pPr>
              <w:pStyle w:val="mpctabletext"/>
              <w:rPr>
                <w:rFonts w:cstheme="minorHAnsi"/>
              </w:rPr>
            </w:pPr>
            <w:r w:rsidRPr="00CC1ADD">
              <w:rPr>
                <w:rFonts w:cstheme="minorHAnsi"/>
              </w:rPr>
              <w:t>June 2017 (prior to engagement of mpconsulting)</w:t>
            </w:r>
          </w:p>
        </w:tc>
        <w:tc>
          <w:tcPr>
            <w:tcW w:w="4082" w:type="pct"/>
          </w:tcPr>
          <w:p w14:paraId="4E878C37" w14:textId="532E0391" w:rsidR="00F43B13" w:rsidRPr="00CC1ADD" w:rsidRDefault="00F43B13">
            <w:pPr>
              <w:pStyle w:val="mpctabletext"/>
              <w:rPr>
                <w:rFonts w:cstheme="minorHAnsi"/>
              </w:rPr>
            </w:pPr>
            <w:r w:rsidRPr="00CC1ADD">
              <w:rPr>
                <w:rFonts w:cstheme="minorHAnsi"/>
              </w:rPr>
              <w:t xml:space="preserve">Release of discussion paper by </w:t>
            </w:r>
            <w:r w:rsidR="00121238">
              <w:rPr>
                <w:rFonts w:cstheme="minorHAnsi"/>
              </w:rPr>
              <w:t xml:space="preserve">the </w:t>
            </w:r>
            <w:r w:rsidRPr="00CC1ADD">
              <w:rPr>
                <w:rFonts w:cstheme="minorHAnsi"/>
              </w:rPr>
              <w:t>HSRAC, seeking submissions on the merits of the HSR System in response to a series of consultation questions. Submissions were invited during the period 8</w:t>
            </w:r>
            <w:r w:rsidR="00744408">
              <w:rPr>
                <w:rFonts w:cstheme="minorHAnsi"/>
              </w:rPr>
              <w:t> </w:t>
            </w:r>
            <w:r w:rsidRPr="00CC1ADD">
              <w:rPr>
                <w:rFonts w:cstheme="minorHAnsi"/>
              </w:rPr>
              <w:t>June to 20 July 2017.</w:t>
            </w:r>
          </w:p>
        </w:tc>
      </w:tr>
      <w:tr w:rsidR="00F34E8B" w:rsidRPr="00CC1ADD" w14:paraId="0342A7BA" w14:textId="77777777" w:rsidTr="004702C5">
        <w:tc>
          <w:tcPr>
            <w:tcW w:w="918" w:type="pct"/>
            <w:tcBorders>
              <w:bottom w:val="single" w:sz="4" w:space="0" w:color="auto"/>
            </w:tcBorders>
          </w:tcPr>
          <w:p w14:paraId="690D93F4" w14:textId="197D2513" w:rsidR="00F34E8B" w:rsidRPr="00CC1ADD" w:rsidRDefault="00F34E8B" w:rsidP="00F34E8B">
            <w:pPr>
              <w:pStyle w:val="mpctabletext"/>
              <w:rPr>
                <w:rFonts w:cstheme="minorHAnsi"/>
              </w:rPr>
            </w:pPr>
            <w:r w:rsidRPr="00CC1ADD">
              <w:rPr>
                <w:rFonts w:cstheme="minorHAnsi"/>
              </w:rPr>
              <w:t>October 2017</w:t>
            </w:r>
          </w:p>
        </w:tc>
        <w:tc>
          <w:tcPr>
            <w:tcW w:w="4082" w:type="pct"/>
          </w:tcPr>
          <w:p w14:paraId="48F1E749" w14:textId="6A4EDBC3" w:rsidR="00F34E8B" w:rsidRPr="00CC1ADD" w:rsidRDefault="00F34E8B" w:rsidP="00F34E8B">
            <w:pPr>
              <w:pStyle w:val="mpctabletext"/>
              <w:rPr>
                <w:rFonts w:cstheme="minorHAnsi"/>
              </w:rPr>
            </w:pPr>
            <w:r w:rsidRPr="00CC1ADD">
              <w:rPr>
                <w:rFonts w:cstheme="minorHAnsi"/>
              </w:rPr>
              <w:t>Review</w:t>
            </w:r>
            <w:r w:rsidR="00027302">
              <w:rPr>
                <w:rFonts w:cstheme="minorHAnsi"/>
              </w:rPr>
              <w:t xml:space="preserve"> of</w:t>
            </w:r>
            <w:r w:rsidRPr="00CC1ADD">
              <w:rPr>
                <w:rFonts w:cstheme="minorHAnsi"/>
              </w:rPr>
              <w:t xml:space="preserve"> 483 stakeholder submissions and published a </w:t>
            </w:r>
            <w:hyperlink r:id="rId38" w:history="1">
              <w:r w:rsidRPr="00CC1ADD">
                <w:rPr>
                  <w:rStyle w:val="Hyperlink"/>
                  <w:rFonts w:cstheme="minorHAnsi"/>
                </w:rPr>
                <w:t>summary of submissions</w:t>
              </w:r>
            </w:hyperlink>
            <w:r w:rsidRPr="00CC1ADD">
              <w:rPr>
                <w:rFonts w:cstheme="minorHAnsi"/>
              </w:rPr>
              <w:t xml:space="preserve">. </w:t>
            </w:r>
          </w:p>
        </w:tc>
      </w:tr>
      <w:tr w:rsidR="00F34E8B" w:rsidRPr="00CC1ADD" w14:paraId="3A0471D8" w14:textId="77777777" w:rsidTr="004702C5">
        <w:tc>
          <w:tcPr>
            <w:tcW w:w="918" w:type="pct"/>
            <w:tcBorders>
              <w:top w:val="single" w:sz="4" w:space="0" w:color="auto"/>
              <w:left w:val="single" w:sz="4" w:space="0" w:color="auto"/>
              <w:bottom w:val="nil"/>
              <w:right w:val="single" w:sz="4" w:space="0" w:color="auto"/>
            </w:tcBorders>
          </w:tcPr>
          <w:p w14:paraId="292F08AC" w14:textId="36BF837A" w:rsidR="00F34E8B" w:rsidRPr="00CC1ADD" w:rsidRDefault="003F76B3" w:rsidP="00F34E8B">
            <w:pPr>
              <w:pStyle w:val="mpctabletext"/>
              <w:rPr>
                <w:rFonts w:cstheme="minorHAnsi"/>
              </w:rPr>
            </w:pPr>
            <w:r>
              <w:rPr>
                <w:rFonts w:cstheme="minorHAnsi"/>
              </w:rPr>
              <w:t>October</w:t>
            </w:r>
            <w:r w:rsidR="00F34E8B">
              <w:rPr>
                <w:rFonts w:cstheme="minorHAnsi"/>
              </w:rPr>
              <w:t xml:space="preserve"> 2017 – May 2019</w:t>
            </w:r>
          </w:p>
        </w:tc>
        <w:tc>
          <w:tcPr>
            <w:tcW w:w="4082" w:type="pct"/>
            <w:tcBorders>
              <w:left w:val="single" w:sz="4" w:space="0" w:color="auto"/>
            </w:tcBorders>
          </w:tcPr>
          <w:p w14:paraId="0C6C83AE" w14:textId="64A8E4F4" w:rsidR="00F34E8B" w:rsidRPr="00CC1ADD" w:rsidRDefault="00F34E8B" w:rsidP="00F34E8B">
            <w:pPr>
              <w:pStyle w:val="mpctabletext"/>
              <w:rPr>
                <w:rFonts w:cstheme="minorHAnsi"/>
              </w:rPr>
            </w:pPr>
            <w:r w:rsidRPr="00CC1ADD">
              <w:rPr>
                <w:rFonts w:cstheme="minorHAnsi"/>
              </w:rPr>
              <w:t xml:space="preserve">Review of primary references including relevant policy statements, guides (specific to the HSR System and also relating to diet more broadly), research, scientific articles and monitoring data developed by the </w:t>
            </w:r>
            <w:r>
              <w:rPr>
                <w:rFonts w:cstheme="minorHAnsi"/>
              </w:rPr>
              <w:t>NHF</w:t>
            </w:r>
            <w:r w:rsidRPr="00CC1ADD">
              <w:rPr>
                <w:rFonts w:cstheme="minorHAnsi"/>
              </w:rPr>
              <w:t xml:space="preserve"> and the </w:t>
            </w:r>
            <w:r>
              <w:rPr>
                <w:rFonts w:cstheme="minorHAnsi"/>
              </w:rPr>
              <w:t>MPI</w:t>
            </w:r>
            <w:r w:rsidRPr="00CC1ADD">
              <w:rPr>
                <w:rFonts w:cstheme="minorHAnsi"/>
              </w:rPr>
              <w:t>.</w:t>
            </w:r>
          </w:p>
        </w:tc>
      </w:tr>
      <w:tr w:rsidR="00F34E8B" w:rsidRPr="00CC1ADD" w14:paraId="39483EC7" w14:textId="77777777" w:rsidTr="004702C5">
        <w:tc>
          <w:tcPr>
            <w:tcW w:w="918" w:type="pct"/>
            <w:tcBorders>
              <w:top w:val="nil"/>
              <w:left w:val="single" w:sz="4" w:space="0" w:color="auto"/>
              <w:bottom w:val="nil"/>
              <w:right w:val="single" w:sz="4" w:space="0" w:color="auto"/>
            </w:tcBorders>
          </w:tcPr>
          <w:p w14:paraId="50B4D695" w14:textId="77777777" w:rsidR="00F34E8B" w:rsidRPr="00CC1ADD" w:rsidRDefault="00F34E8B" w:rsidP="00F34E8B">
            <w:pPr>
              <w:pStyle w:val="mpctabletext"/>
              <w:rPr>
                <w:rFonts w:cstheme="minorHAnsi"/>
              </w:rPr>
            </w:pPr>
          </w:p>
        </w:tc>
        <w:tc>
          <w:tcPr>
            <w:tcW w:w="4082" w:type="pct"/>
            <w:tcBorders>
              <w:left w:val="single" w:sz="4" w:space="0" w:color="auto"/>
            </w:tcBorders>
          </w:tcPr>
          <w:p w14:paraId="4498E9A5" w14:textId="2713BC52" w:rsidR="00F34E8B" w:rsidRPr="00CC1ADD" w:rsidRDefault="00F34E8B" w:rsidP="00F34E8B">
            <w:pPr>
              <w:pStyle w:val="mpctabletext"/>
              <w:rPr>
                <w:rFonts w:cstheme="minorHAnsi"/>
              </w:rPr>
            </w:pPr>
            <w:r w:rsidRPr="00CC1ADD">
              <w:rPr>
                <w:rFonts w:cstheme="minorHAnsi"/>
              </w:rPr>
              <w:t>Meetings with the HSRAC and the TAG</w:t>
            </w:r>
            <w:r>
              <w:rPr>
                <w:rFonts w:cstheme="minorHAnsi"/>
              </w:rPr>
              <w:t>,</w:t>
            </w:r>
            <w:r w:rsidRPr="00CC1ADD">
              <w:rPr>
                <w:rFonts w:cstheme="minorHAnsi"/>
              </w:rPr>
              <w:t xml:space="preserve"> including to observe operations and governance arrangements.</w:t>
            </w:r>
          </w:p>
        </w:tc>
      </w:tr>
      <w:tr w:rsidR="00F34E8B" w:rsidRPr="00CC1ADD" w14:paraId="5E392ED8" w14:textId="77777777" w:rsidTr="004702C5">
        <w:tc>
          <w:tcPr>
            <w:tcW w:w="918" w:type="pct"/>
            <w:tcBorders>
              <w:top w:val="nil"/>
              <w:left w:val="single" w:sz="4" w:space="0" w:color="auto"/>
              <w:bottom w:val="single" w:sz="4" w:space="0" w:color="auto"/>
              <w:right w:val="single" w:sz="4" w:space="0" w:color="auto"/>
            </w:tcBorders>
          </w:tcPr>
          <w:p w14:paraId="0F97786D" w14:textId="77777777" w:rsidR="00F34E8B" w:rsidRPr="00CC1ADD" w:rsidRDefault="00F34E8B" w:rsidP="00F34E8B">
            <w:pPr>
              <w:pStyle w:val="mpctabletext"/>
              <w:rPr>
                <w:rFonts w:cstheme="minorHAnsi"/>
              </w:rPr>
            </w:pPr>
          </w:p>
        </w:tc>
        <w:tc>
          <w:tcPr>
            <w:tcW w:w="4082" w:type="pct"/>
            <w:tcBorders>
              <w:left w:val="single" w:sz="4" w:space="0" w:color="auto"/>
            </w:tcBorders>
          </w:tcPr>
          <w:p w14:paraId="40F3A622" w14:textId="6815CA9E" w:rsidR="00F34E8B" w:rsidRPr="00CC1ADD" w:rsidRDefault="00F34E8B" w:rsidP="00F34E8B">
            <w:pPr>
              <w:pStyle w:val="mpctabletext"/>
              <w:rPr>
                <w:rFonts w:cstheme="minorHAnsi"/>
              </w:rPr>
            </w:pPr>
            <w:r w:rsidRPr="00CC1ADD">
              <w:rPr>
                <w:rFonts w:cstheme="minorHAnsi"/>
              </w:rPr>
              <w:t>Meetings and teleconferences with a wide range of stakeholders including government, public health, academic, consumer and industry across Australia</w:t>
            </w:r>
            <w:r>
              <w:rPr>
                <w:rFonts w:cstheme="minorHAnsi"/>
              </w:rPr>
              <w:t xml:space="preserve">, </w:t>
            </w:r>
            <w:r w:rsidRPr="00CC1ADD">
              <w:rPr>
                <w:rFonts w:cstheme="minorHAnsi"/>
              </w:rPr>
              <w:t>New Zealand</w:t>
            </w:r>
            <w:r>
              <w:rPr>
                <w:rFonts w:cstheme="minorHAnsi"/>
              </w:rPr>
              <w:t xml:space="preserve"> and internationally.</w:t>
            </w:r>
          </w:p>
        </w:tc>
      </w:tr>
      <w:tr w:rsidR="00F34E8B" w:rsidRPr="00CC1ADD" w14:paraId="04E86713" w14:textId="77777777" w:rsidTr="004702C5">
        <w:tc>
          <w:tcPr>
            <w:tcW w:w="918" w:type="pct"/>
            <w:tcBorders>
              <w:top w:val="single" w:sz="4" w:space="0" w:color="auto"/>
            </w:tcBorders>
          </w:tcPr>
          <w:p w14:paraId="66D3FF4A" w14:textId="77777777" w:rsidR="00F34E8B" w:rsidRPr="00CC1ADD" w:rsidRDefault="00F34E8B" w:rsidP="00F34E8B">
            <w:pPr>
              <w:pStyle w:val="mpctabletext"/>
              <w:rPr>
                <w:rFonts w:cstheme="minorHAnsi"/>
              </w:rPr>
            </w:pPr>
            <w:r w:rsidRPr="00CC1ADD">
              <w:rPr>
                <w:rFonts w:cstheme="minorHAnsi"/>
              </w:rPr>
              <w:t>January 2018</w:t>
            </w:r>
          </w:p>
        </w:tc>
        <w:tc>
          <w:tcPr>
            <w:tcW w:w="4082" w:type="pct"/>
          </w:tcPr>
          <w:p w14:paraId="6DF5AC85" w14:textId="23EB6792" w:rsidR="00F34E8B" w:rsidRPr="00CC1ADD" w:rsidRDefault="00F34E8B" w:rsidP="00F34E8B">
            <w:pPr>
              <w:pStyle w:val="mpctabletext"/>
              <w:rPr>
                <w:rFonts w:cstheme="minorHAnsi"/>
              </w:rPr>
            </w:pPr>
            <w:r w:rsidRPr="00CC1ADD">
              <w:rPr>
                <w:rFonts w:cstheme="minorHAnsi"/>
              </w:rPr>
              <w:t>Releas</w:t>
            </w:r>
            <w:r w:rsidR="00027302">
              <w:rPr>
                <w:rFonts w:cstheme="minorHAnsi"/>
              </w:rPr>
              <w:t>e of</w:t>
            </w:r>
            <w:r w:rsidRPr="00CC1ADD">
              <w:rPr>
                <w:rFonts w:cstheme="minorHAnsi"/>
              </w:rPr>
              <w:t xml:space="preserve"> a </w:t>
            </w:r>
            <w:hyperlink r:id="rId39" w:history="1">
              <w:r w:rsidRPr="00CC1ADD">
                <w:rPr>
                  <w:rStyle w:val="Hyperlink"/>
                  <w:rFonts w:cstheme="minorHAnsi"/>
                </w:rPr>
                <w:t>Navigation Paper</w:t>
              </w:r>
            </w:hyperlink>
            <w:r w:rsidRPr="00CC1ADD">
              <w:rPr>
                <w:rFonts w:cstheme="minorHAnsi"/>
              </w:rPr>
              <w:t xml:space="preserve"> providing background information about findings to date, principles guiding recommended changes to the HSR System and the direction of the Review.</w:t>
            </w:r>
          </w:p>
        </w:tc>
      </w:tr>
      <w:tr w:rsidR="00F34E8B" w:rsidRPr="00CC1ADD" w14:paraId="601E38C2" w14:textId="77777777" w:rsidTr="00B36208">
        <w:tc>
          <w:tcPr>
            <w:tcW w:w="918" w:type="pct"/>
          </w:tcPr>
          <w:p w14:paraId="62C70803" w14:textId="77777777" w:rsidR="00F34E8B" w:rsidRPr="00CC1ADD" w:rsidRDefault="00F34E8B" w:rsidP="00F34E8B">
            <w:pPr>
              <w:pStyle w:val="mpctabletext"/>
              <w:rPr>
                <w:rFonts w:cstheme="minorHAnsi"/>
              </w:rPr>
            </w:pPr>
            <w:r w:rsidRPr="00CC1ADD">
              <w:rPr>
                <w:rFonts w:cstheme="minorHAnsi"/>
              </w:rPr>
              <w:t>February – April 2018</w:t>
            </w:r>
          </w:p>
        </w:tc>
        <w:tc>
          <w:tcPr>
            <w:tcW w:w="4082" w:type="pct"/>
          </w:tcPr>
          <w:p w14:paraId="088B3934" w14:textId="0260F17E" w:rsidR="00F34E8B" w:rsidRPr="00CC1ADD" w:rsidRDefault="00F34E8B" w:rsidP="00F34E8B">
            <w:pPr>
              <w:pStyle w:val="mpctabletext"/>
              <w:rPr>
                <w:rFonts w:cstheme="minorHAnsi"/>
              </w:rPr>
            </w:pPr>
            <w:r w:rsidRPr="00CC1ADD">
              <w:rPr>
                <w:rFonts w:cstheme="minorHAnsi"/>
              </w:rPr>
              <w:t>Facilitat</w:t>
            </w:r>
            <w:r w:rsidR="00027302">
              <w:rPr>
                <w:rFonts w:cstheme="minorHAnsi"/>
              </w:rPr>
              <w:t xml:space="preserve">ion of </w:t>
            </w:r>
            <w:r w:rsidRPr="00CC1ADD">
              <w:rPr>
                <w:rFonts w:cstheme="minorHAnsi"/>
              </w:rPr>
              <w:t>nine public forums across Australia and in New Zealand to hear from over 270 stakeholders on a number of key issues for the Review, including: objectives, impact and monitoring; communications; governance and consideration of possible enhancements.</w:t>
            </w:r>
          </w:p>
        </w:tc>
      </w:tr>
      <w:tr w:rsidR="00F34E8B" w:rsidRPr="00CC1ADD" w14:paraId="7AD63B09" w14:textId="77777777" w:rsidTr="00B36208">
        <w:tc>
          <w:tcPr>
            <w:tcW w:w="918" w:type="pct"/>
          </w:tcPr>
          <w:p w14:paraId="02746583" w14:textId="77777777" w:rsidR="00F34E8B" w:rsidRPr="00CC1ADD" w:rsidRDefault="00F34E8B" w:rsidP="00F34E8B">
            <w:pPr>
              <w:pStyle w:val="mpctabletext"/>
              <w:rPr>
                <w:rFonts w:cstheme="minorHAnsi"/>
              </w:rPr>
            </w:pPr>
            <w:r w:rsidRPr="00CC1ADD">
              <w:rPr>
                <w:rFonts w:cstheme="minorHAnsi"/>
              </w:rPr>
              <w:t>August – September 2018</w:t>
            </w:r>
          </w:p>
        </w:tc>
        <w:tc>
          <w:tcPr>
            <w:tcW w:w="4082" w:type="pct"/>
          </w:tcPr>
          <w:p w14:paraId="46670FCE" w14:textId="68CD87BC" w:rsidR="00F34E8B" w:rsidRPr="00CC1ADD" w:rsidRDefault="00F34E8B" w:rsidP="00F34E8B">
            <w:pPr>
              <w:pStyle w:val="mpctabletext"/>
              <w:rPr>
                <w:rFonts w:cstheme="minorHAnsi"/>
              </w:rPr>
            </w:pPr>
            <w:r w:rsidRPr="00CC1ADD">
              <w:rPr>
                <w:rFonts w:cstheme="minorHAnsi"/>
              </w:rPr>
              <w:t>Review</w:t>
            </w:r>
            <w:r w:rsidR="00027302">
              <w:rPr>
                <w:rFonts w:cstheme="minorHAnsi"/>
              </w:rPr>
              <w:t xml:space="preserve"> of</w:t>
            </w:r>
            <w:r w:rsidRPr="00CC1ADD">
              <w:rPr>
                <w:rFonts w:cstheme="minorHAnsi"/>
              </w:rPr>
              <w:t xml:space="preserve"> detailed modelling provided by the TAG relating to how the HSR System aligns with Dietary Guidelines and modelling various options for System enhancement as identified by data analysis, research and stakeholders. </w:t>
            </w:r>
          </w:p>
        </w:tc>
      </w:tr>
      <w:tr w:rsidR="00F34E8B" w:rsidRPr="00CC1ADD" w14:paraId="0CA533B9" w14:textId="77777777" w:rsidTr="00B36208">
        <w:tc>
          <w:tcPr>
            <w:tcW w:w="918" w:type="pct"/>
          </w:tcPr>
          <w:p w14:paraId="07A3BA04" w14:textId="77777777" w:rsidR="00F34E8B" w:rsidRPr="00CC1ADD" w:rsidRDefault="00F34E8B" w:rsidP="00F34E8B">
            <w:pPr>
              <w:pStyle w:val="mpctabletext"/>
              <w:rPr>
                <w:rFonts w:cstheme="minorHAnsi"/>
              </w:rPr>
            </w:pPr>
            <w:r w:rsidRPr="00CC1ADD">
              <w:rPr>
                <w:rFonts w:cstheme="minorHAnsi"/>
              </w:rPr>
              <w:t>October 2018</w:t>
            </w:r>
          </w:p>
        </w:tc>
        <w:tc>
          <w:tcPr>
            <w:tcW w:w="4082" w:type="pct"/>
          </w:tcPr>
          <w:p w14:paraId="2F23D4BD" w14:textId="7B58FCBF" w:rsidR="00F34E8B" w:rsidRPr="00CC1ADD" w:rsidRDefault="00F34E8B" w:rsidP="00F34E8B">
            <w:pPr>
              <w:pStyle w:val="mpctabletext"/>
              <w:rPr>
                <w:rFonts w:cstheme="minorHAnsi"/>
              </w:rPr>
            </w:pPr>
            <w:r w:rsidRPr="00CC1ADD">
              <w:rPr>
                <w:rFonts w:cstheme="minorHAnsi"/>
              </w:rPr>
              <w:t>Release</w:t>
            </w:r>
            <w:r w:rsidR="00027302">
              <w:rPr>
                <w:rFonts w:cstheme="minorHAnsi"/>
              </w:rPr>
              <w:t xml:space="preserve"> of</w:t>
            </w:r>
            <w:r w:rsidRPr="00CC1ADD">
              <w:rPr>
                <w:rFonts w:cstheme="minorHAnsi"/>
              </w:rPr>
              <w:t xml:space="preserve"> </w:t>
            </w:r>
            <w:hyperlink r:id="rId40" w:history="1">
              <w:r w:rsidRPr="00CC1ADD">
                <w:rPr>
                  <w:rStyle w:val="Hyperlink"/>
                  <w:rFonts w:cstheme="minorHAnsi"/>
                </w:rPr>
                <w:t>Consultation Paper: Options for System Enhancement</w:t>
              </w:r>
            </w:hyperlink>
            <w:r w:rsidRPr="00CC1ADD">
              <w:rPr>
                <w:rFonts w:cstheme="minorHAnsi"/>
              </w:rPr>
              <w:t xml:space="preserve"> for public consultation, published the </w:t>
            </w:r>
            <w:hyperlink r:id="rId41" w:history="1">
              <w:r w:rsidRPr="00CC1ADD">
                <w:rPr>
                  <w:rStyle w:val="Hyperlink"/>
                  <w:rFonts w:cstheme="minorHAnsi"/>
                </w:rPr>
                <w:t>TAG technical papers and a Test Calculator</w:t>
              </w:r>
            </w:hyperlink>
            <w:r w:rsidRPr="00CC1ADD">
              <w:rPr>
                <w:rFonts w:cstheme="minorHAnsi"/>
              </w:rPr>
              <w:t xml:space="preserve"> (for stakeholders to test the effects of </w:t>
            </w:r>
            <w:r>
              <w:rPr>
                <w:rFonts w:cstheme="minorHAnsi"/>
              </w:rPr>
              <w:t>p</w:t>
            </w:r>
            <w:r>
              <w:t xml:space="preserve">referred </w:t>
            </w:r>
            <w:r w:rsidRPr="00CC1ADD">
              <w:rPr>
                <w:rFonts w:cstheme="minorHAnsi"/>
              </w:rPr>
              <w:t xml:space="preserve">options identified in the Consultation Paper). </w:t>
            </w:r>
          </w:p>
        </w:tc>
      </w:tr>
      <w:tr w:rsidR="00F34E8B" w:rsidRPr="00CC1ADD" w14:paraId="2A9CA6D2" w14:textId="77777777" w:rsidTr="00B36208">
        <w:tc>
          <w:tcPr>
            <w:tcW w:w="918" w:type="pct"/>
          </w:tcPr>
          <w:p w14:paraId="38BE0A9D" w14:textId="77777777" w:rsidR="00F34E8B" w:rsidRPr="00CC1ADD" w:rsidRDefault="00F34E8B" w:rsidP="00F34E8B">
            <w:pPr>
              <w:pStyle w:val="mpctabletext"/>
              <w:rPr>
                <w:rFonts w:cstheme="minorHAnsi"/>
              </w:rPr>
            </w:pPr>
            <w:r w:rsidRPr="00CC1ADD">
              <w:rPr>
                <w:rFonts w:cstheme="minorHAnsi"/>
              </w:rPr>
              <w:t>November 2018</w:t>
            </w:r>
          </w:p>
        </w:tc>
        <w:tc>
          <w:tcPr>
            <w:tcW w:w="4082" w:type="pct"/>
          </w:tcPr>
          <w:p w14:paraId="6DA9EAAB" w14:textId="2C22F506" w:rsidR="00F34E8B" w:rsidRPr="00CC1ADD" w:rsidRDefault="00F34E8B" w:rsidP="00F34E8B">
            <w:pPr>
              <w:pStyle w:val="mpctabletext"/>
              <w:rPr>
                <w:rFonts w:cstheme="minorHAnsi"/>
              </w:rPr>
            </w:pPr>
            <w:r w:rsidRPr="00CC1ADD">
              <w:rPr>
                <w:rFonts w:cstheme="minorHAnsi"/>
              </w:rPr>
              <w:t>Facilitat</w:t>
            </w:r>
            <w:r w:rsidR="00027302">
              <w:rPr>
                <w:rFonts w:cstheme="minorHAnsi"/>
              </w:rPr>
              <w:t>ion of</w:t>
            </w:r>
            <w:r w:rsidRPr="00CC1ADD">
              <w:rPr>
                <w:rFonts w:cstheme="minorHAnsi"/>
              </w:rPr>
              <w:t xml:space="preserve"> public forums in Sydney, Melbourne and Auckland to discuss the options outlined in the Consultation Paper.</w:t>
            </w:r>
          </w:p>
        </w:tc>
      </w:tr>
      <w:tr w:rsidR="00F34E8B" w:rsidRPr="00CC1ADD" w14:paraId="6C9F7547" w14:textId="77777777" w:rsidTr="00B36208">
        <w:tc>
          <w:tcPr>
            <w:tcW w:w="918" w:type="pct"/>
          </w:tcPr>
          <w:p w14:paraId="56B89423" w14:textId="77777777" w:rsidR="00F34E8B" w:rsidRPr="00CC1ADD" w:rsidRDefault="00F34E8B" w:rsidP="00F34E8B">
            <w:pPr>
              <w:pStyle w:val="mpctabletext"/>
              <w:rPr>
                <w:rFonts w:cstheme="minorHAnsi"/>
              </w:rPr>
            </w:pPr>
            <w:r w:rsidRPr="00CC1ADD">
              <w:rPr>
                <w:rFonts w:cstheme="minorHAnsi"/>
              </w:rPr>
              <w:t>December 2018 – January 2019</w:t>
            </w:r>
          </w:p>
        </w:tc>
        <w:tc>
          <w:tcPr>
            <w:tcW w:w="4082" w:type="pct"/>
          </w:tcPr>
          <w:p w14:paraId="0217F85B" w14:textId="22868DF0" w:rsidR="00F34E8B" w:rsidRPr="00CC1ADD" w:rsidRDefault="00F34E8B" w:rsidP="00F34E8B">
            <w:pPr>
              <w:pStyle w:val="mpctabletext"/>
              <w:rPr>
                <w:rFonts w:cstheme="minorHAnsi"/>
              </w:rPr>
            </w:pPr>
            <w:r w:rsidRPr="00CC1ADD">
              <w:rPr>
                <w:rFonts w:cstheme="minorHAnsi"/>
              </w:rPr>
              <w:t>Review</w:t>
            </w:r>
            <w:r w:rsidR="00027302">
              <w:rPr>
                <w:rFonts w:cstheme="minorHAnsi"/>
              </w:rPr>
              <w:t xml:space="preserve"> of</w:t>
            </w:r>
            <w:r w:rsidRPr="00CC1ADD">
              <w:rPr>
                <w:rFonts w:cstheme="minorHAnsi"/>
              </w:rPr>
              <w:t xml:space="preserve"> stakeholder submissions on the Consultation Paper and undertook further modelling of options through the TAG, the University of Auckland and the George Institute</w:t>
            </w:r>
            <w:r>
              <w:rPr>
                <w:rFonts w:cstheme="minorHAnsi"/>
              </w:rPr>
              <w:t xml:space="preserve"> for Global Health (George Institute)</w:t>
            </w:r>
            <w:r w:rsidRPr="00CC1ADD">
              <w:rPr>
                <w:rFonts w:cstheme="minorHAnsi"/>
              </w:rPr>
              <w:t>.</w:t>
            </w:r>
          </w:p>
        </w:tc>
      </w:tr>
      <w:tr w:rsidR="00F34E8B" w:rsidRPr="00CC1ADD" w14:paraId="36D9F6B2" w14:textId="77777777" w:rsidTr="00B36208">
        <w:tc>
          <w:tcPr>
            <w:tcW w:w="918" w:type="pct"/>
          </w:tcPr>
          <w:p w14:paraId="3C6303CE" w14:textId="77777777" w:rsidR="00F34E8B" w:rsidRPr="00CC1ADD" w:rsidRDefault="00F34E8B" w:rsidP="00F34E8B">
            <w:pPr>
              <w:pStyle w:val="mpctabletext"/>
              <w:rPr>
                <w:rFonts w:cstheme="minorHAnsi"/>
              </w:rPr>
            </w:pPr>
            <w:r w:rsidRPr="00CC1ADD">
              <w:rPr>
                <w:rFonts w:cstheme="minorHAnsi"/>
              </w:rPr>
              <w:t>February 2019</w:t>
            </w:r>
          </w:p>
        </w:tc>
        <w:tc>
          <w:tcPr>
            <w:tcW w:w="4082" w:type="pct"/>
          </w:tcPr>
          <w:p w14:paraId="3D95CCAE" w14:textId="3D3ED984" w:rsidR="00F34E8B" w:rsidRPr="00CC1ADD" w:rsidRDefault="00F34E8B" w:rsidP="00F34E8B">
            <w:pPr>
              <w:pStyle w:val="mpctabletext"/>
              <w:rPr>
                <w:rFonts w:cstheme="minorHAnsi"/>
              </w:rPr>
            </w:pPr>
            <w:r w:rsidRPr="00CC1ADD">
              <w:rPr>
                <w:rFonts w:cstheme="minorHAnsi"/>
              </w:rPr>
              <w:t>Release</w:t>
            </w:r>
            <w:r w:rsidR="00027302">
              <w:rPr>
                <w:rFonts w:cstheme="minorHAnsi"/>
              </w:rPr>
              <w:t xml:space="preserve"> of</w:t>
            </w:r>
            <w:r w:rsidRPr="00CC1ADD">
              <w:rPr>
                <w:rFonts w:cstheme="minorHAnsi"/>
              </w:rPr>
              <w:t xml:space="preserve"> the Draft Five Year Review Report for stakeholder comment.</w:t>
            </w:r>
          </w:p>
        </w:tc>
      </w:tr>
      <w:tr w:rsidR="00F34E8B" w:rsidRPr="00CC1ADD" w14:paraId="41622156" w14:textId="77777777" w:rsidTr="00B36208">
        <w:tc>
          <w:tcPr>
            <w:tcW w:w="918" w:type="pct"/>
          </w:tcPr>
          <w:p w14:paraId="5E99AB31" w14:textId="1C512A43" w:rsidR="00F34E8B" w:rsidRPr="00CC1ADD" w:rsidRDefault="00F34E8B" w:rsidP="00F34E8B">
            <w:pPr>
              <w:pStyle w:val="mpctabletext"/>
              <w:rPr>
                <w:rFonts w:cstheme="minorHAnsi"/>
              </w:rPr>
            </w:pPr>
            <w:r>
              <w:rPr>
                <w:rFonts w:cstheme="minorHAnsi"/>
              </w:rPr>
              <w:t>March – May 2019</w:t>
            </w:r>
          </w:p>
        </w:tc>
        <w:tc>
          <w:tcPr>
            <w:tcW w:w="4082" w:type="pct"/>
          </w:tcPr>
          <w:p w14:paraId="48495C2E" w14:textId="072F60E0" w:rsidR="00F34E8B" w:rsidRPr="00CC1ADD" w:rsidRDefault="00F34E8B" w:rsidP="00F34E8B">
            <w:pPr>
              <w:pStyle w:val="mpctabletext"/>
              <w:rPr>
                <w:rFonts w:cstheme="minorHAnsi"/>
              </w:rPr>
            </w:pPr>
            <w:r>
              <w:rPr>
                <w:rFonts w:cstheme="minorHAnsi"/>
              </w:rPr>
              <w:t>Review</w:t>
            </w:r>
            <w:r w:rsidR="00027302">
              <w:rPr>
                <w:rFonts w:cstheme="minorHAnsi"/>
              </w:rPr>
              <w:t xml:space="preserve"> of</w:t>
            </w:r>
            <w:r>
              <w:rPr>
                <w:rFonts w:cstheme="minorHAnsi"/>
              </w:rPr>
              <w:t xml:space="preserve"> stakeholder submissions on the Draft Review Report and undertook further modelling of options through the TAG, University of Auckland and the George Institute.</w:t>
            </w:r>
          </w:p>
        </w:tc>
      </w:tr>
      <w:tr w:rsidR="00F34E8B" w:rsidRPr="00CC1ADD" w14:paraId="292FCF2E" w14:textId="77777777" w:rsidTr="00B36208">
        <w:tc>
          <w:tcPr>
            <w:tcW w:w="918" w:type="pct"/>
          </w:tcPr>
          <w:p w14:paraId="62D9C914" w14:textId="70D661DF" w:rsidR="00F34E8B" w:rsidRPr="00CC1ADD" w:rsidRDefault="00F34E8B" w:rsidP="00F34E8B">
            <w:pPr>
              <w:pStyle w:val="mpctabletext"/>
              <w:rPr>
                <w:rFonts w:cstheme="minorHAnsi"/>
              </w:rPr>
            </w:pPr>
            <w:r>
              <w:rPr>
                <w:rFonts w:cstheme="minorHAnsi"/>
              </w:rPr>
              <w:t xml:space="preserve">May </w:t>
            </w:r>
            <w:r w:rsidRPr="00CC1ADD">
              <w:rPr>
                <w:rFonts w:cstheme="minorHAnsi"/>
              </w:rPr>
              <w:t>2019</w:t>
            </w:r>
          </w:p>
        </w:tc>
        <w:tc>
          <w:tcPr>
            <w:tcW w:w="4082" w:type="pct"/>
          </w:tcPr>
          <w:p w14:paraId="5803E9DE" w14:textId="77777777" w:rsidR="00F34E8B" w:rsidRPr="00CC1ADD" w:rsidRDefault="00F34E8B" w:rsidP="00F34E8B">
            <w:pPr>
              <w:pStyle w:val="mpctabletext"/>
              <w:rPr>
                <w:rFonts w:cstheme="minorHAnsi"/>
              </w:rPr>
            </w:pPr>
            <w:r w:rsidRPr="00CC1ADD">
              <w:rPr>
                <w:rFonts w:cstheme="minorHAnsi"/>
              </w:rPr>
              <w:t>Provision of the Final Five Year Review Report to the Forum for consideration.</w:t>
            </w:r>
          </w:p>
        </w:tc>
      </w:tr>
    </w:tbl>
    <w:p w14:paraId="2A2BCFE9" w14:textId="446F138D" w:rsidR="00F43B13" w:rsidRPr="00CC1ADD" w:rsidRDefault="00F43B13" w:rsidP="0013165D">
      <w:pPr>
        <w:pStyle w:val="mpcNormal"/>
        <w:keepNext w:val="0"/>
      </w:pPr>
    </w:p>
    <w:p w14:paraId="2CEBA76C" w14:textId="53374F05" w:rsidR="00F43B13" w:rsidRPr="00CC1ADD" w:rsidRDefault="00F43B13" w:rsidP="005A3631">
      <w:pPr>
        <w:pStyle w:val="mpcheading2"/>
        <w:spacing w:after="0"/>
        <w:rPr>
          <w:rFonts w:cstheme="minorHAnsi"/>
        </w:rPr>
      </w:pPr>
      <w:bookmarkStart w:id="60" w:name="Principles"/>
      <w:bookmarkStart w:id="61" w:name="_Toc9955040"/>
      <w:bookmarkEnd w:id="60"/>
      <w:r w:rsidRPr="00CC1ADD">
        <w:rPr>
          <w:rFonts w:cstheme="minorHAnsi"/>
        </w:rPr>
        <w:t xml:space="preserve">Principles guiding the </w:t>
      </w:r>
      <w:r w:rsidR="00CB56DE">
        <w:rPr>
          <w:rFonts w:cstheme="minorHAnsi"/>
        </w:rPr>
        <w:t xml:space="preserve">Five Year </w:t>
      </w:r>
      <w:r w:rsidRPr="00CC1ADD">
        <w:rPr>
          <w:rFonts w:cstheme="minorHAnsi"/>
        </w:rPr>
        <w:t>Review</w:t>
      </w:r>
      <w:bookmarkEnd w:id="61"/>
    </w:p>
    <w:p w14:paraId="6782938D" w14:textId="77777777" w:rsidR="00F43B13" w:rsidRPr="00CC1ADD" w:rsidRDefault="00F43B13" w:rsidP="0013165D">
      <w:pPr>
        <w:pStyle w:val="mpcNormal"/>
        <w:keepNext w:val="0"/>
      </w:pPr>
    </w:p>
    <w:p w14:paraId="176386B4" w14:textId="77777777" w:rsidR="00F43B13" w:rsidRPr="00CC1ADD" w:rsidRDefault="00F43B13" w:rsidP="005A3631">
      <w:pPr>
        <w:rPr>
          <w:sz w:val="22"/>
          <w:szCs w:val="22"/>
        </w:rPr>
      </w:pPr>
      <w:r w:rsidRPr="00CC1ADD">
        <w:rPr>
          <w:sz w:val="22"/>
          <w:szCs w:val="22"/>
        </w:rPr>
        <w:t>In evaluating the HSR System and developing recommendations, the following principles have been applied:</w:t>
      </w:r>
    </w:p>
    <w:p w14:paraId="6033723E" w14:textId="77777777" w:rsidR="00F43B13" w:rsidRPr="00CC1ADD" w:rsidRDefault="00F43B13">
      <w:pPr>
        <w:rPr>
          <w:sz w:val="22"/>
          <w:szCs w:val="22"/>
        </w:rPr>
      </w:pPr>
    </w:p>
    <w:p w14:paraId="30B29FF9" w14:textId="35E3D3D5" w:rsidR="00F43B13" w:rsidRPr="00D82678" w:rsidRDefault="00F43B13" w:rsidP="007E0D2C">
      <w:pPr>
        <w:pStyle w:val="mpcbullets1"/>
        <w:numPr>
          <w:ilvl w:val="0"/>
          <w:numId w:val="10"/>
        </w:numPr>
        <w:rPr>
          <w:b/>
          <w:bCs/>
        </w:rPr>
      </w:pPr>
      <w:r w:rsidRPr="00D82678">
        <w:rPr>
          <w:b/>
          <w:bCs/>
        </w:rPr>
        <w:t>Clearly articulate the problem to be addressed and target solutions to the problem</w:t>
      </w:r>
      <w:r w:rsidR="00744408" w:rsidRPr="00D82678">
        <w:rPr>
          <w:b/>
          <w:bCs/>
        </w:rPr>
        <w:t>.</w:t>
      </w:r>
    </w:p>
    <w:p w14:paraId="4FAFD911" w14:textId="77777777" w:rsidR="00F43B13" w:rsidRPr="00707297" w:rsidRDefault="00F43B13" w:rsidP="00173A82">
      <w:pPr>
        <w:pStyle w:val="mpcbullets2"/>
      </w:pPr>
      <w:r w:rsidRPr="00707297">
        <w:t>Where stakeholders have generally described problems, the Review has sought to understand the underlying concern, understand why the problem (if any) manifests in the HSR System and recommend solutions that target the problem without unnecessarily impacting the HSR System more broadly.</w:t>
      </w:r>
    </w:p>
    <w:p w14:paraId="28273133" w14:textId="77777777" w:rsidR="00F43B13" w:rsidRPr="00CC1ADD" w:rsidRDefault="00F43B13" w:rsidP="0013165D">
      <w:pPr>
        <w:pStyle w:val="mpcNormal"/>
        <w:keepNext w:val="0"/>
      </w:pPr>
    </w:p>
    <w:p w14:paraId="02974B12" w14:textId="02DC8DFA" w:rsidR="00F43B13" w:rsidRPr="00D82678" w:rsidRDefault="00F43B13" w:rsidP="007E0D2C">
      <w:pPr>
        <w:pStyle w:val="mpcbullets1"/>
        <w:numPr>
          <w:ilvl w:val="0"/>
          <w:numId w:val="10"/>
        </w:numPr>
        <w:rPr>
          <w:b/>
          <w:bCs/>
        </w:rPr>
      </w:pPr>
      <w:r w:rsidRPr="00D82678">
        <w:rPr>
          <w:b/>
          <w:bCs/>
        </w:rPr>
        <w:t>Retain the integrity of the HSR System and maintain alignment with Dietary Guidelines, the NPSC and other food regulation, where possible</w:t>
      </w:r>
      <w:r w:rsidR="00744408" w:rsidRPr="00D82678">
        <w:rPr>
          <w:b/>
          <w:bCs/>
        </w:rPr>
        <w:t>.</w:t>
      </w:r>
    </w:p>
    <w:p w14:paraId="0127A757" w14:textId="30F846FB" w:rsidR="00F43B13" w:rsidRPr="00CC1ADD" w:rsidRDefault="00F43B13" w:rsidP="00173A82">
      <w:pPr>
        <w:pStyle w:val="mpcbullets2"/>
      </w:pPr>
      <w:r w:rsidRPr="00CC1ADD">
        <w:t xml:space="preserve">Early in the Review </w:t>
      </w:r>
      <w:r w:rsidR="0047070C">
        <w:t>it was</w:t>
      </w:r>
      <w:r w:rsidRPr="00CC1ADD">
        <w:t xml:space="preserve"> established that the HSR System is generally performing well</w:t>
      </w:r>
      <w:r w:rsidR="0047070C">
        <w:t>. As</w:t>
      </w:r>
      <w:r w:rsidRPr="00CC1ADD">
        <w:t xml:space="preserve"> such</w:t>
      </w:r>
      <w:r w:rsidR="0047070C">
        <w:t>,</w:t>
      </w:r>
      <w:r w:rsidRPr="00CC1ADD">
        <w:t xml:space="preserve"> broad or large</w:t>
      </w:r>
      <w:r w:rsidRPr="00CC1ADD">
        <w:noBreakHyphen/>
        <w:t xml:space="preserve">scale changes (that would fundamentally disrupt or replace the existing System) </w:t>
      </w:r>
      <w:r w:rsidR="0047070C">
        <w:t>are</w:t>
      </w:r>
      <w:r w:rsidRPr="00CC1ADD">
        <w:t xml:space="preserve"> not warranted. </w:t>
      </w:r>
    </w:p>
    <w:p w14:paraId="694B781E" w14:textId="61C558F7" w:rsidR="00F43B13" w:rsidRPr="00CC1ADD" w:rsidRDefault="00F43B13" w:rsidP="00173A82">
      <w:pPr>
        <w:pStyle w:val="mpcbullets2"/>
      </w:pPr>
      <w:r w:rsidRPr="00CC1ADD">
        <w:t xml:space="preserve">Where possible the Review has sought to continue alignment with the NPSC, the </w:t>
      </w:r>
      <w:r w:rsidR="00A35EB9">
        <w:t xml:space="preserve">Code </w:t>
      </w:r>
      <w:r w:rsidRPr="00CC1ADD">
        <w:t>and Dietary Guidelines. Where this is not recommended, the Review explains why divergence is warranted.</w:t>
      </w:r>
    </w:p>
    <w:p w14:paraId="0F4BFAA0" w14:textId="77777777" w:rsidR="00F43B13" w:rsidRPr="00CC1ADD" w:rsidRDefault="00F43B13" w:rsidP="0013165D">
      <w:pPr>
        <w:pStyle w:val="mpcNormal"/>
        <w:keepNext w:val="0"/>
      </w:pPr>
    </w:p>
    <w:p w14:paraId="70DA89CA" w14:textId="623F7050" w:rsidR="00F43B13" w:rsidRPr="00D82678" w:rsidRDefault="00F43B13" w:rsidP="007E0D2C">
      <w:pPr>
        <w:pStyle w:val="mpcbullets1"/>
        <w:numPr>
          <w:ilvl w:val="0"/>
          <w:numId w:val="10"/>
        </w:numPr>
        <w:rPr>
          <w:b/>
          <w:bCs/>
        </w:rPr>
      </w:pPr>
      <w:r w:rsidRPr="00D82678">
        <w:rPr>
          <w:b/>
          <w:bCs/>
        </w:rPr>
        <w:t>Be evidence based</w:t>
      </w:r>
      <w:r w:rsidR="00744408" w:rsidRPr="00D82678">
        <w:rPr>
          <w:b/>
          <w:bCs/>
        </w:rPr>
        <w:t>.</w:t>
      </w:r>
    </w:p>
    <w:p w14:paraId="0AE4F708" w14:textId="0E05C2E5" w:rsidR="00F43B13" w:rsidRPr="00CC1ADD" w:rsidRDefault="00F43B13" w:rsidP="00173A82">
      <w:pPr>
        <w:pStyle w:val="mpcbullets2"/>
      </w:pPr>
      <w:r w:rsidRPr="00CC1ADD">
        <w:t xml:space="preserve">The Review has drawn on the best available evidence. However, it is acknowledged that much of the evidence </w:t>
      </w:r>
      <w:r w:rsidR="008C60AC">
        <w:t xml:space="preserve">regarding nutrition and diet </w:t>
      </w:r>
      <w:r w:rsidRPr="00CC1ADD">
        <w:t>is disputed and</w:t>
      </w:r>
      <w:r w:rsidR="0047070C">
        <w:t>,</w:t>
      </w:r>
      <w:r w:rsidRPr="00CC1ADD">
        <w:t xml:space="preserve"> on some issues</w:t>
      </w:r>
      <w:r w:rsidR="0047070C">
        <w:t>,</w:t>
      </w:r>
      <w:r w:rsidRPr="00CC1ADD">
        <w:t xml:space="preserve"> there is either limited evidence or stakeholders have different interpretations of the evidence. </w:t>
      </w:r>
    </w:p>
    <w:p w14:paraId="0CE5B012" w14:textId="77777777" w:rsidR="00F43B13" w:rsidRPr="00CC1ADD" w:rsidRDefault="00F43B13" w:rsidP="0013165D">
      <w:pPr>
        <w:pStyle w:val="mpcNormal"/>
        <w:keepNext w:val="0"/>
      </w:pPr>
    </w:p>
    <w:p w14:paraId="62A064EC" w14:textId="2034B704" w:rsidR="00F43B13" w:rsidRPr="00D82678" w:rsidRDefault="00F43B13" w:rsidP="007E0D2C">
      <w:pPr>
        <w:pStyle w:val="mpcbullets1"/>
        <w:numPr>
          <w:ilvl w:val="0"/>
          <w:numId w:val="10"/>
        </w:numPr>
        <w:rPr>
          <w:b/>
          <w:bCs/>
        </w:rPr>
      </w:pPr>
      <w:r w:rsidRPr="00D82678">
        <w:rPr>
          <w:b/>
          <w:bCs/>
        </w:rPr>
        <w:t>Remain as simple as possible</w:t>
      </w:r>
      <w:r w:rsidR="00744408" w:rsidRPr="00D82678">
        <w:rPr>
          <w:b/>
          <w:bCs/>
        </w:rPr>
        <w:t>.</w:t>
      </w:r>
    </w:p>
    <w:p w14:paraId="3E4CAF64" w14:textId="663D6596" w:rsidR="00F43B13" w:rsidRPr="00CC1ADD" w:rsidRDefault="00F43B13" w:rsidP="00173A82">
      <w:pPr>
        <w:pStyle w:val="mpcbullets2"/>
      </w:pPr>
      <w:r w:rsidRPr="00CC1ADD">
        <w:t xml:space="preserve">The Review has focused on keeping the </w:t>
      </w:r>
      <w:r w:rsidR="00021B10">
        <w:t xml:space="preserve">HSR </w:t>
      </w:r>
      <w:r w:rsidRPr="00CC1ADD">
        <w:t>System as simple as possible. Wherever possible, the Review has applied a systems-based approach to resolve issues rather than creating special rules and exceptions for certain products.</w:t>
      </w:r>
    </w:p>
    <w:p w14:paraId="1EF15A42" w14:textId="77777777" w:rsidR="00F43B13" w:rsidRPr="00CC1ADD" w:rsidRDefault="00F43B13" w:rsidP="0013165D">
      <w:pPr>
        <w:pStyle w:val="mpcNormal"/>
        <w:keepNext w:val="0"/>
      </w:pPr>
    </w:p>
    <w:p w14:paraId="2C206208" w14:textId="215DDDA9" w:rsidR="00F43B13" w:rsidRPr="00D82678" w:rsidRDefault="00F43B13" w:rsidP="007E0D2C">
      <w:pPr>
        <w:pStyle w:val="mpcbullets1"/>
        <w:numPr>
          <w:ilvl w:val="0"/>
          <w:numId w:val="10"/>
        </w:numPr>
        <w:rPr>
          <w:b/>
          <w:bCs/>
        </w:rPr>
      </w:pPr>
      <w:r w:rsidRPr="00D82678">
        <w:rPr>
          <w:b/>
          <w:bCs/>
        </w:rPr>
        <w:t>Enable maximum discernment between like foods with different nutritional profiles</w:t>
      </w:r>
      <w:r w:rsidR="00744408" w:rsidRPr="00D82678">
        <w:rPr>
          <w:b/>
          <w:bCs/>
        </w:rPr>
        <w:t>.</w:t>
      </w:r>
    </w:p>
    <w:p w14:paraId="715D8E64" w14:textId="460A4F1C" w:rsidR="00F43B13" w:rsidRPr="00CC1ADD" w:rsidRDefault="00F43B13" w:rsidP="00173A82">
      <w:pPr>
        <w:pStyle w:val="mpcbullets2"/>
      </w:pPr>
      <w:r w:rsidRPr="00CC1ADD">
        <w:t xml:space="preserve">The HSR System is intended to support consumers to choose between like products. While the System needs to be broadly credible across the food supply, direct comparisons across HSR </w:t>
      </w:r>
      <w:r w:rsidR="00153CBD">
        <w:t>c</w:t>
      </w:r>
      <w:r w:rsidRPr="00CC1ADD">
        <w:t>ategories is discouraged (</w:t>
      </w:r>
      <w:r w:rsidR="0030513A">
        <w:t>for example,</w:t>
      </w:r>
      <w:r w:rsidR="0030513A" w:rsidRPr="00CC1ADD">
        <w:t xml:space="preserve"> </w:t>
      </w:r>
      <w:r w:rsidRPr="00CC1ADD">
        <w:t xml:space="preserve">comparing a dairy beverage to a biscuit). In evaluating how products are categorised, the Review </w:t>
      </w:r>
      <w:r w:rsidR="00744408">
        <w:t>has been mindful of</w:t>
      </w:r>
      <w:r w:rsidRPr="00CC1ADD">
        <w:t xml:space="preserve"> how consumers are likely to compare products when they shop. </w:t>
      </w:r>
    </w:p>
    <w:p w14:paraId="2D2C8917" w14:textId="77777777" w:rsidR="00F43B13" w:rsidRPr="00CC1ADD" w:rsidRDefault="00F43B13" w:rsidP="0013165D">
      <w:pPr>
        <w:pStyle w:val="mpcNormal"/>
        <w:keepNext w:val="0"/>
      </w:pPr>
    </w:p>
    <w:p w14:paraId="20940D73" w14:textId="0167310A" w:rsidR="00F43B13" w:rsidRPr="00D82678" w:rsidRDefault="00F43B13" w:rsidP="007E0D2C">
      <w:pPr>
        <w:pStyle w:val="mpcbullets1"/>
        <w:numPr>
          <w:ilvl w:val="0"/>
          <w:numId w:val="10"/>
        </w:numPr>
        <w:rPr>
          <w:b/>
          <w:bCs/>
        </w:rPr>
      </w:pPr>
      <w:r w:rsidRPr="00D82678">
        <w:rPr>
          <w:b/>
          <w:bCs/>
        </w:rPr>
        <w:t>Recognise the scope of the HSR System and avoid using the HSR System to address problems beyond its scope</w:t>
      </w:r>
      <w:r w:rsidR="00744408" w:rsidRPr="00D82678">
        <w:rPr>
          <w:b/>
          <w:bCs/>
        </w:rPr>
        <w:t>.</w:t>
      </w:r>
    </w:p>
    <w:p w14:paraId="6AD4C34D" w14:textId="77777777" w:rsidR="00F43B13" w:rsidRPr="00CC1ADD" w:rsidRDefault="00F43B13" w:rsidP="00173A82">
      <w:pPr>
        <w:pStyle w:val="mpcbullets2"/>
      </w:pPr>
      <w:r w:rsidRPr="00CC1ADD">
        <w:t>The HSR System is not intended as a complete source of dietary advice. The System is intended to complement other guidelines, tools and campaigns that support consumers to make healthier dietary choices. The Review has been mindful that other levers (such as portion sizes) may be more appropriate to address some of the concerns highlighted by stakeholders.</w:t>
      </w:r>
    </w:p>
    <w:p w14:paraId="7F554898" w14:textId="77777777" w:rsidR="00F43B13" w:rsidRPr="00CC1ADD" w:rsidRDefault="00F43B13" w:rsidP="0013165D">
      <w:pPr>
        <w:pStyle w:val="mpcNormal"/>
        <w:keepNext w:val="0"/>
      </w:pPr>
    </w:p>
    <w:p w14:paraId="05CEF784" w14:textId="0E12717C" w:rsidR="00F43B13" w:rsidRPr="00D82678" w:rsidRDefault="00F43B13" w:rsidP="007E0D2C">
      <w:pPr>
        <w:pStyle w:val="mpcbullets1"/>
        <w:numPr>
          <w:ilvl w:val="0"/>
          <w:numId w:val="10"/>
        </w:numPr>
        <w:rPr>
          <w:b/>
          <w:bCs/>
        </w:rPr>
      </w:pPr>
      <w:r w:rsidRPr="00D82678">
        <w:rPr>
          <w:b/>
          <w:bCs/>
        </w:rPr>
        <w:t>Continue to incentivise food manufacturers to decrease risk-associated nutrients</w:t>
      </w:r>
      <w:r w:rsidR="008C60AC" w:rsidRPr="00D82678">
        <w:rPr>
          <w:b/>
          <w:bCs/>
        </w:rPr>
        <w:t>.</w:t>
      </w:r>
    </w:p>
    <w:p w14:paraId="6FFA4603" w14:textId="35F92954" w:rsidR="00F43B13" w:rsidRPr="00CC1ADD" w:rsidRDefault="00F43B13" w:rsidP="00173A82">
      <w:pPr>
        <w:pStyle w:val="mpcbullets2"/>
      </w:pPr>
      <w:r w:rsidRPr="00CC1ADD">
        <w:t>Changes recommended by the Review seek to encourage positive reformulation to reduce risk nutrients, while balancing this with the need for simplicity and alignment with Dietary Guidelines.</w:t>
      </w:r>
    </w:p>
    <w:p w14:paraId="6F5CD0BB" w14:textId="77777777" w:rsidR="00F43B13" w:rsidRPr="00CC1ADD" w:rsidRDefault="00F43B13" w:rsidP="0013165D">
      <w:pPr>
        <w:pStyle w:val="mpcNormal"/>
        <w:keepNext w:val="0"/>
      </w:pPr>
    </w:p>
    <w:p w14:paraId="56C088A6" w14:textId="4FED4E01" w:rsidR="00F43B13" w:rsidRPr="00CC1ADD" w:rsidRDefault="00F43B13" w:rsidP="005A3631">
      <w:pPr>
        <w:pStyle w:val="mpcheading2"/>
      </w:pPr>
      <w:bookmarkStart w:id="62" w:name="Note"/>
      <w:bookmarkStart w:id="63" w:name="_Toc527112887"/>
      <w:bookmarkStart w:id="64" w:name="_Toc9955041"/>
      <w:bookmarkEnd w:id="62"/>
      <w:r w:rsidRPr="00CC1ADD">
        <w:t>Important note</w:t>
      </w:r>
      <w:bookmarkEnd w:id="63"/>
      <w:bookmarkEnd w:id="64"/>
    </w:p>
    <w:tbl>
      <w:tblPr>
        <w:tblStyle w:val="TableGrid"/>
        <w:tblW w:w="0" w:type="auto"/>
        <w:tblLook w:val="04A0" w:firstRow="1" w:lastRow="0" w:firstColumn="1" w:lastColumn="0" w:noHBand="0" w:noVBand="1"/>
        <w:tblCaption w:val="Important Note"/>
        <w:tblDescription w:val="Notes limitations re sources drawn on in the development of the Consultation Paper, including Australian Bureau of Statistics (ABS) data, modelling undertaken by the TAG, and data provided by stakeholders. "/>
      </w:tblPr>
      <w:tblGrid>
        <w:gridCol w:w="9736"/>
      </w:tblGrid>
      <w:tr w:rsidR="00F43B13" w:rsidRPr="00CC1ADD" w14:paraId="5B3119C0" w14:textId="77777777" w:rsidTr="00D82678">
        <w:trPr>
          <w:trHeight w:val="8883"/>
        </w:trPr>
        <w:tc>
          <w:tcPr>
            <w:tcW w:w="9736" w:type="dxa"/>
            <w:shd w:val="clear" w:color="auto" w:fill="F2F2F2" w:themeFill="background1" w:themeFillShade="F2"/>
            <w:vAlign w:val="center"/>
          </w:tcPr>
          <w:p w14:paraId="4B7FB0E8" w14:textId="47625ABF" w:rsidR="00F43B13" w:rsidRPr="00CC1ADD" w:rsidRDefault="00F43B13" w:rsidP="007E0D2C">
            <w:pPr>
              <w:pStyle w:val="mpcbullets1"/>
            </w:pPr>
            <w:r w:rsidRPr="00CC1ADD">
              <w:t>The Review has drawn on a range of sources, including Australian Bureau of Statistics (ABS) data, modelling undertaken by the TAG, the University of Auckland and the George Institute</w:t>
            </w:r>
            <w:r w:rsidR="00744408">
              <w:t xml:space="preserve"> and</w:t>
            </w:r>
            <w:r w:rsidRPr="00CC1ADD">
              <w:t xml:space="preserve"> data and information provided by stakeholders. </w:t>
            </w:r>
          </w:p>
          <w:p w14:paraId="7CB287AC" w14:textId="77777777" w:rsidR="00F43B13" w:rsidRPr="00063F3C" w:rsidRDefault="00F43B13" w:rsidP="0013165D">
            <w:pPr>
              <w:pStyle w:val="mpcNormal"/>
              <w:keepNext w:val="0"/>
            </w:pPr>
          </w:p>
          <w:p w14:paraId="680BD80E" w14:textId="77777777" w:rsidR="00F43B13" w:rsidRPr="00CC1ADD" w:rsidRDefault="00F43B13" w:rsidP="007E0D2C">
            <w:pPr>
              <w:pStyle w:val="mpcbullets1"/>
            </w:pPr>
            <w:r w:rsidRPr="00CC1ADD">
              <w:t>Unless otherwise specified, statistics referencing population level intakes of nutrients and/or foods refer to:</w:t>
            </w:r>
          </w:p>
          <w:p w14:paraId="296C739E" w14:textId="77777777" w:rsidR="00F43B13" w:rsidRPr="00CC1ADD" w:rsidRDefault="00F43B13" w:rsidP="00173A82">
            <w:pPr>
              <w:pStyle w:val="mpcbullets2"/>
            </w:pPr>
            <w:r w:rsidRPr="00CC1ADD">
              <w:t>for Australia, the 2011-12 Australian Health Survey (AHS)</w:t>
            </w:r>
            <w:r w:rsidRPr="003F76B3">
              <w:rPr>
                <w:rFonts w:cs="Calibri (Body)"/>
                <w:vertAlign w:val="superscript"/>
              </w:rPr>
              <w:footnoteReference w:id="6"/>
            </w:r>
          </w:p>
          <w:p w14:paraId="409C48C5" w14:textId="6B7068DD" w:rsidR="00F43B13" w:rsidRPr="00CC1ADD" w:rsidRDefault="00F43B13" w:rsidP="00173A82">
            <w:pPr>
              <w:pStyle w:val="mpcbullets2"/>
            </w:pPr>
            <w:r w:rsidRPr="00CC1ADD">
              <w:t>for New Zealand, the 2008/09 New Zealand Adult Nutrition Survey (NZANS)</w:t>
            </w:r>
            <w:r w:rsidRPr="003F76B3">
              <w:rPr>
                <w:rFonts w:cs="Calibri (Body)"/>
                <w:vertAlign w:val="superscript"/>
              </w:rPr>
              <w:footnoteReference w:id="7"/>
            </w:r>
            <w:r w:rsidR="003F76B3">
              <w:t>.</w:t>
            </w:r>
          </w:p>
          <w:p w14:paraId="46A07546" w14:textId="120A7362" w:rsidR="00F43B13" w:rsidRPr="00CC1ADD" w:rsidRDefault="00F43B13" w:rsidP="008C60AC">
            <w:pPr>
              <w:pStyle w:val="mpcNormal"/>
              <w:ind w:left="360"/>
            </w:pPr>
            <w:r w:rsidRPr="00CC1ADD">
              <w:t>It is acknowledged that these datasets are dated and that in some cases more recent studies based on smaller datasets produce different results. However, these surveys are the largest, most comprehensive and reliable datasets available with regard to national health and nutrition.</w:t>
            </w:r>
          </w:p>
          <w:p w14:paraId="14BFD1C1" w14:textId="77777777" w:rsidR="00F43B13" w:rsidRPr="00063F3C" w:rsidRDefault="00F43B13" w:rsidP="0013165D">
            <w:pPr>
              <w:pStyle w:val="mpcNormal"/>
              <w:keepNext w:val="0"/>
            </w:pPr>
          </w:p>
          <w:p w14:paraId="1DDE8BFE" w14:textId="58BE1F26" w:rsidR="00F43B13" w:rsidRPr="00CC1ADD" w:rsidRDefault="00F43B13" w:rsidP="007E0D2C">
            <w:pPr>
              <w:pStyle w:val="mpcbullets1"/>
            </w:pPr>
            <w:r w:rsidRPr="00CC1ADD">
              <w:t>Where Dietary Guidelines are referred to, this applies collectively to the ADG and</w:t>
            </w:r>
            <w:r w:rsidR="006057F0">
              <w:t xml:space="preserve"> </w:t>
            </w:r>
            <w:r w:rsidR="00021B10">
              <w:t xml:space="preserve">the </w:t>
            </w:r>
            <w:r w:rsidR="006057F0">
              <w:t>New Zealand Eating and Activity Guidelines (</w:t>
            </w:r>
            <w:r w:rsidRPr="00CC1ADD">
              <w:t>NZEAG</w:t>
            </w:r>
            <w:r w:rsidR="006057F0">
              <w:t>)</w:t>
            </w:r>
            <w:r w:rsidRPr="00CC1ADD">
              <w:t>. It is acknowledged that these Dietary Guidelines differ in important respects</w:t>
            </w:r>
            <w:r w:rsidR="00A337CA">
              <w:t>,</w:t>
            </w:r>
            <w:r w:rsidRPr="00CC1ADD">
              <w:t xml:space="preserve"> and where these differences are directly relevant to the discussion</w:t>
            </w:r>
            <w:r w:rsidR="008C60AC">
              <w:t xml:space="preserve"> in this Report</w:t>
            </w:r>
            <w:r w:rsidRPr="00CC1ADD">
              <w:t xml:space="preserve">, </w:t>
            </w:r>
            <w:r w:rsidR="00A337CA">
              <w:t>they</w:t>
            </w:r>
            <w:r w:rsidRPr="00CC1ADD">
              <w:t xml:space="preserve"> have been highlighted.</w:t>
            </w:r>
          </w:p>
          <w:p w14:paraId="7DAD4F8F" w14:textId="77777777" w:rsidR="00F43B13" w:rsidRPr="00063F3C" w:rsidRDefault="00F43B13" w:rsidP="0013165D">
            <w:pPr>
              <w:pStyle w:val="mpcNormal"/>
              <w:keepNext w:val="0"/>
            </w:pPr>
          </w:p>
          <w:p w14:paraId="7CD21B4E" w14:textId="1A7B84B4" w:rsidR="00F43B13" w:rsidRPr="00CC1ADD" w:rsidRDefault="00F43B13" w:rsidP="007E0D2C">
            <w:pPr>
              <w:pStyle w:val="mpcbullets1"/>
            </w:pPr>
            <w:r w:rsidRPr="00CC1ADD">
              <w:t>The AHS Discretionary Foods List</w:t>
            </w:r>
            <w:r w:rsidRPr="00CC1ADD">
              <w:rPr>
                <w:vertAlign w:val="superscript"/>
              </w:rPr>
              <w:footnoteReference w:id="8"/>
            </w:r>
            <w:r w:rsidRPr="00CC1ADD">
              <w:t xml:space="preserve"> is used by many stakeholders to classify foods as discretionary (foods for limited intake) or FFG foods. The list was developed based on the ADG and is unique to Australia. While it provides a general guide to</w:t>
            </w:r>
            <w:r w:rsidR="00A337CA">
              <w:t xml:space="preserve"> whether</w:t>
            </w:r>
            <w:r w:rsidRPr="00CC1ADD">
              <w:t xml:space="preserve"> foods are FFG or discretionary, it has a number of limitations and is not always a good guide to measuring the performance of the HSR System. The list is currently under review by the </w:t>
            </w:r>
            <w:r w:rsidR="00063F3C">
              <w:t>National Health and Medical Research Council (</w:t>
            </w:r>
            <w:r w:rsidRPr="00CC1ADD">
              <w:t>NHMRC</w:t>
            </w:r>
            <w:r w:rsidR="00063F3C">
              <w:t>)</w:t>
            </w:r>
            <w:r w:rsidRPr="00CC1ADD">
              <w:t>.</w:t>
            </w:r>
          </w:p>
          <w:p w14:paraId="236E7101" w14:textId="77777777" w:rsidR="00F43B13" w:rsidRPr="00063F3C" w:rsidRDefault="00F43B13" w:rsidP="0013165D">
            <w:pPr>
              <w:pStyle w:val="mpcNormal"/>
              <w:keepNext w:val="0"/>
            </w:pPr>
          </w:p>
          <w:p w14:paraId="5EF1FBF8" w14:textId="3462C71D" w:rsidR="00F43B13" w:rsidRPr="00CC1ADD" w:rsidRDefault="00F43B13" w:rsidP="007E0D2C">
            <w:pPr>
              <w:pStyle w:val="mpcbullets1"/>
            </w:pPr>
            <w:r w:rsidRPr="00CC1ADD">
              <w:t xml:space="preserve">The recommendations regarding </w:t>
            </w:r>
            <w:r w:rsidR="00744408">
              <w:t xml:space="preserve">HSR </w:t>
            </w:r>
            <w:r w:rsidRPr="00CC1ADD">
              <w:t>System enhancements have been modelled in a number of databases, including:</w:t>
            </w:r>
          </w:p>
          <w:p w14:paraId="045C3350" w14:textId="77777777" w:rsidR="00F43B13" w:rsidRPr="00CC1ADD" w:rsidRDefault="00F43B13" w:rsidP="00173A82">
            <w:pPr>
              <w:pStyle w:val="mpcbullets2"/>
            </w:pPr>
            <w:r w:rsidRPr="00CC1ADD">
              <w:t>the TAG database, using industry supplied data</w:t>
            </w:r>
          </w:p>
          <w:p w14:paraId="60292BD9" w14:textId="77777777" w:rsidR="00F43B13" w:rsidRPr="00CC1ADD" w:rsidRDefault="00F43B13" w:rsidP="00173A82">
            <w:pPr>
              <w:pStyle w:val="mpcbullets2"/>
            </w:pPr>
            <w:r w:rsidRPr="00CC1ADD">
              <w:t xml:space="preserve">the University of Auckland’s New Zealand Nutritrack database </w:t>
            </w:r>
          </w:p>
          <w:p w14:paraId="26840EFB" w14:textId="0AFCB013" w:rsidR="00F43B13" w:rsidRPr="00CC1ADD" w:rsidRDefault="00F43B13" w:rsidP="00173A82">
            <w:pPr>
              <w:pStyle w:val="mpcbullets2"/>
            </w:pPr>
            <w:r w:rsidRPr="00CC1ADD">
              <w:t xml:space="preserve">the George Institute’s Australian FoodSwitch database. </w:t>
            </w:r>
          </w:p>
          <w:p w14:paraId="269C41AA" w14:textId="77777777" w:rsidR="00F43B13" w:rsidRPr="00063F3C" w:rsidRDefault="00F43B13" w:rsidP="0013165D">
            <w:pPr>
              <w:pStyle w:val="mpcNormal"/>
              <w:keepNext w:val="0"/>
            </w:pPr>
          </w:p>
          <w:p w14:paraId="16E7F1BA" w14:textId="5A289FCD" w:rsidR="00F43B13" w:rsidRPr="00063F3C" w:rsidRDefault="00F43B13" w:rsidP="00D82678">
            <w:pPr>
              <w:pStyle w:val="mpcbullets1"/>
            </w:pPr>
            <w:r w:rsidRPr="00CC1ADD">
              <w:t>A number of stakeholders, including industry and public health organisations, have provided data and information to inform the Review. Where possible, we have used this information to corroborate or supplement modelling and analysis undertaken by the TAG.</w:t>
            </w:r>
          </w:p>
        </w:tc>
      </w:tr>
    </w:tbl>
    <w:p w14:paraId="60971CB1" w14:textId="77777777" w:rsidR="00F101DD" w:rsidRDefault="00123A09">
      <w:pPr>
        <w:pStyle w:val="mpcheading1"/>
      </w:pPr>
      <w:r w:rsidRPr="00CC1ADD">
        <w:br w:type="column"/>
      </w:r>
      <w:bookmarkStart w:id="65" w:name="Chapter3"/>
      <w:bookmarkStart w:id="66" w:name="_Toc9955042"/>
      <w:bookmarkEnd w:id="65"/>
      <w:r w:rsidR="00F101DD">
        <w:t>Chapter 3 – Impact of the Health Star Rating System</w:t>
      </w:r>
      <w:bookmarkEnd w:id="66"/>
    </w:p>
    <w:p w14:paraId="203491E9" w14:textId="77777777" w:rsidR="00F101DD" w:rsidRPr="00EB308C" w:rsidRDefault="00F101DD">
      <w:pPr>
        <w:pStyle w:val="mpcheading2"/>
        <w:spacing w:after="0"/>
      </w:pPr>
      <w:bookmarkStart w:id="67" w:name="Summary3"/>
      <w:bookmarkStart w:id="68" w:name="_Toc9955043"/>
      <w:bookmarkEnd w:id="67"/>
      <w:r>
        <w:t>Summary</w:t>
      </w:r>
      <w:bookmarkEnd w:id="68"/>
      <w:r>
        <w:t xml:space="preserve"> </w:t>
      </w:r>
    </w:p>
    <w:p w14:paraId="1BCE68CB" w14:textId="77777777" w:rsidR="00F101DD" w:rsidRPr="00EB308C" w:rsidRDefault="00F101DD">
      <w:pPr>
        <w:rPr>
          <w:sz w:val="22"/>
        </w:rPr>
      </w:pPr>
    </w:p>
    <w:p w14:paraId="589702B8" w14:textId="77777777" w:rsidR="00F101DD" w:rsidRDefault="00F101DD" w:rsidP="0013165D">
      <w:pPr>
        <w:pStyle w:val="mpcNormal"/>
        <w:keepNext w:val="0"/>
      </w:pPr>
      <w:r w:rsidRPr="00DB6AD8">
        <w:t xml:space="preserve">The objective of the HSR </w:t>
      </w:r>
      <w:r>
        <w:t xml:space="preserve">System </w:t>
      </w:r>
      <w:r w:rsidRPr="00DB6AD8">
        <w:t>is:</w:t>
      </w:r>
    </w:p>
    <w:p w14:paraId="345037EB" w14:textId="77777777" w:rsidR="00F101DD" w:rsidRDefault="00F101DD" w:rsidP="0013165D">
      <w:pPr>
        <w:pStyle w:val="mpcNormal"/>
        <w:keepNext w:val="0"/>
      </w:pPr>
    </w:p>
    <w:tbl>
      <w:tblPr>
        <w:tblStyle w:val="TableGrid"/>
        <w:tblW w:w="0" w:type="auto"/>
        <w:tblLook w:val="04A0" w:firstRow="1" w:lastRow="0" w:firstColumn="1" w:lastColumn="0" w:noHBand="0" w:noVBand="1"/>
        <w:tblCaption w:val="Objective"/>
        <w:tblDescription w:val="To provide convenient, relevant and readily understood nutrition information and/or guidance on food packs to assist consumers to make informed food purchases and healthier eating choices."/>
      </w:tblPr>
      <w:tblGrid>
        <w:gridCol w:w="9736"/>
      </w:tblGrid>
      <w:tr w:rsidR="00F101DD" w14:paraId="70264220" w14:textId="77777777" w:rsidTr="00F101DD">
        <w:trPr>
          <w:trHeight w:val="751"/>
        </w:trPr>
        <w:tc>
          <w:tcPr>
            <w:tcW w:w="9736" w:type="dxa"/>
            <w:tcBorders>
              <w:top w:val="nil"/>
              <w:left w:val="nil"/>
              <w:bottom w:val="nil"/>
              <w:right w:val="nil"/>
            </w:tcBorders>
            <w:shd w:val="clear" w:color="auto" w:fill="D9E2F3" w:themeFill="accent1" w:themeFillTint="33"/>
            <w:vAlign w:val="center"/>
          </w:tcPr>
          <w:p w14:paraId="047DFB81" w14:textId="77777777" w:rsidR="00F101DD" w:rsidRPr="0013165D" w:rsidRDefault="00F101DD" w:rsidP="0013165D">
            <w:pPr>
              <w:pStyle w:val="mpcNormal"/>
              <w:keepNext w:val="0"/>
              <w:jc w:val="center"/>
              <w:rPr>
                <w:rStyle w:val="Emphasis"/>
              </w:rPr>
            </w:pPr>
            <w:r w:rsidRPr="0013165D">
              <w:rPr>
                <w:rStyle w:val="Emphasis"/>
              </w:rPr>
              <w:t>To provide convenient, relevant and readily understood nutrition information and/or guidance on</w:t>
            </w:r>
            <w:r w:rsidRPr="00153CBD">
              <w:rPr>
                <w:rStyle w:val="Emphasis"/>
              </w:rPr>
              <w:t xml:space="preserve"> food packs to assist consumers to make informed food purchases and healthier eating choices</w:t>
            </w:r>
            <w:r w:rsidRPr="0013165D">
              <w:rPr>
                <w:rStyle w:val="Emphasis"/>
              </w:rPr>
              <w:t>.</w:t>
            </w:r>
          </w:p>
        </w:tc>
      </w:tr>
    </w:tbl>
    <w:p w14:paraId="06C3C3A9" w14:textId="77777777" w:rsidR="00F101DD" w:rsidRPr="00DB6AD8" w:rsidRDefault="00F101DD" w:rsidP="0013165D">
      <w:pPr>
        <w:pStyle w:val="mpcNormal"/>
        <w:keepNext w:val="0"/>
      </w:pPr>
    </w:p>
    <w:p w14:paraId="1F35CB97" w14:textId="346DD8AD" w:rsidR="00F101DD" w:rsidRDefault="00F101DD" w:rsidP="0013165D">
      <w:pPr>
        <w:pStyle w:val="mpcNormal"/>
        <w:keepNext w:val="0"/>
      </w:pPr>
      <w:r w:rsidRPr="004A580D">
        <w:t>To inform an assessment of the impact of the HSR System, the Review considered the results of monitoring undertaken by the NHF in Australia</w:t>
      </w:r>
      <w:r w:rsidR="00F54C40">
        <w:rPr>
          <w:rStyle w:val="FootnoteReference"/>
        </w:rPr>
        <w:footnoteReference w:id="9"/>
      </w:r>
      <w:r w:rsidRPr="004A580D">
        <w:t xml:space="preserve"> and the MPI in New Zealand</w:t>
      </w:r>
      <w:r w:rsidR="00F54C40">
        <w:rPr>
          <w:rStyle w:val="FootnoteReference"/>
        </w:rPr>
        <w:footnoteReference w:id="10"/>
      </w:r>
      <w:r w:rsidRPr="004A580D">
        <w:t xml:space="preserve"> (along with studies by other researchers) to answer the following six key questions.</w:t>
      </w:r>
    </w:p>
    <w:p w14:paraId="6DD0253D" w14:textId="77777777" w:rsidR="00F101DD" w:rsidRPr="004A580D" w:rsidRDefault="00F101DD" w:rsidP="0013165D">
      <w:pPr>
        <w:pStyle w:val="mpcNormal"/>
        <w:keepNext w:val="0"/>
      </w:pPr>
    </w:p>
    <w:p w14:paraId="653176A4" w14:textId="34C78BD9" w:rsidR="00F101DD" w:rsidRDefault="00F101DD" w:rsidP="005A3631">
      <w:pPr>
        <w:pStyle w:val="mpctableheading"/>
      </w:pPr>
      <w:r w:rsidRPr="004A580D">
        <w:t>How many products display the HSR?</w:t>
      </w:r>
    </w:p>
    <w:p w14:paraId="664CC94A" w14:textId="77777777" w:rsidR="00F101DD" w:rsidRPr="004A580D" w:rsidRDefault="00F101DD">
      <w:pPr>
        <w:pStyle w:val="mpctableheading"/>
      </w:pPr>
    </w:p>
    <w:p w14:paraId="6CC2428D" w14:textId="7DDB4B4C" w:rsidR="00012345" w:rsidRDefault="00012345" w:rsidP="00012345">
      <w:pPr>
        <w:pStyle w:val="mpcNormal"/>
      </w:pPr>
      <w:r>
        <w:t>As at June 2018</w:t>
      </w:r>
      <w:r w:rsidR="00C27720">
        <w:rPr>
          <w:rStyle w:val="FootnoteReference"/>
        </w:rPr>
        <w:footnoteReference w:id="11"/>
      </w:r>
      <w:r>
        <w:t xml:space="preserve">, approximately one third of products in Australia and New Zealand </w:t>
      </w:r>
      <w:r w:rsidR="00C05B93">
        <w:t>were</w:t>
      </w:r>
      <w:r>
        <w:t xml:space="preserve"> displaying the HSR and uptake is steadily increasing:</w:t>
      </w:r>
    </w:p>
    <w:p w14:paraId="151FCB16" w14:textId="77777777" w:rsidR="00012345" w:rsidRDefault="00012345" w:rsidP="00012345">
      <w:pPr>
        <w:pStyle w:val="mpcNormal"/>
      </w:pPr>
    </w:p>
    <w:p w14:paraId="35A1578E" w14:textId="7A7EC7C1" w:rsidR="00F101DD" w:rsidRPr="004A580D" w:rsidRDefault="006057F0" w:rsidP="007E0D2C">
      <w:pPr>
        <w:pStyle w:val="mpcbullets1"/>
      </w:pPr>
      <w:r>
        <w:t>In 2017-</w:t>
      </w:r>
      <w:r w:rsidR="00F101DD" w:rsidRPr="004A580D">
        <w:t>18, the HSR appeared on approximately 3</w:t>
      </w:r>
      <w:r w:rsidR="00A337CA">
        <w:t>1</w:t>
      </w:r>
      <w:r w:rsidR="00F101DD" w:rsidRPr="004A580D">
        <w:t xml:space="preserve">% of eligible products (5,448 products) in Australia and 21% of eligible products (2,997 products) in New Zealand. </w:t>
      </w:r>
    </w:p>
    <w:p w14:paraId="09A8C499" w14:textId="3150A985" w:rsidR="00F101DD" w:rsidRDefault="00F101DD" w:rsidP="007E0D2C">
      <w:pPr>
        <w:pStyle w:val="mpcbullets1"/>
      </w:pPr>
      <w:r w:rsidRPr="004A580D">
        <w:t xml:space="preserve">This has increased from </w:t>
      </w:r>
      <w:r w:rsidR="00FB7FB0">
        <w:t>3</w:t>
      </w:r>
      <w:r w:rsidRPr="004A580D">
        <w:t xml:space="preserve">% of eligible products in Australia and </w:t>
      </w:r>
      <w:r w:rsidR="00FB7FB0">
        <w:t>less than 1</w:t>
      </w:r>
      <w:r w:rsidRPr="004A580D">
        <w:t xml:space="preserve">% of eligible products in New Zealand in </w:t>
      </w:r>
      <w:r w:rsidR="00FB7FB0">
        <w:t>2014-</w:t>
      </w:r>
      <w:r w:rsidR="00FB7FB0" w:rsidRPr="004A580D">
        <w:t>15</w:t>
      </w:r>
      <w:r w:rsidRPr="004A580D">
        <w:t>.</w:t>
      </w:r>
    </w:p>
    <w:p w14:paraId="5663D352" w14:textId="77777777" w:rsidR="00012345" w:rsidRDefault="00012345" w:rsidP="007E0D2C">
      <w:pPr>
        <w:pStyle w:val="mpcbullets1"/>
        <w:numPr>
          <w:ilvl w:val="0"/>
          <w:numId w:val="0"/>
        </w:numPr>
      </w:pPr>
    </w:p>
    <w:p w14:paraId="2A8AC52D" w14:textId="7FBED0F9" w:rsidR="00F101DD" w:rsidRPr="004A580D" w:rsidRDefault="00F101DD" w:rsidP="007E0D2C">
      <w:pPr>
        <w:pStyle w:val="mpcbullets1"/>
        <w:numPr>
          <w:ilvl w:val="0"/>
          <w:numId w:val="0"/>
        </w:numPr>
      </w:pPr>
      <w:r w:rsidRPr="004A580D">
        <w:t>While this increase demonstrates a promising trend, there is more work to be done in increasing uptake of the HSR System such that it is consistently used on a wide range of products.</w:t>
      </w:r>
    </w:p>
    <w:p w14:paraId="28BB0D8A" w14:textId="77777777" w:rsidR="00F101DD" w:rsidRPr="004A580D" w:rsidRDefault="00F101DD" w:rsidP="0013165D">
      <w:pPr>
        <w:pStyle w:val="mpcNormal"/>
        <w:keepNext w:val="0"/>
      </w:pPr>
    </w:p>
    <w:p w14:paraId="2B0337D5" w14:textId="6F3C61BF" w:rsidR="00F101DD" w:rsidRDefault="00F101DD">
      <w:pPr>
        <w:pStyle w:val="mpctableheading"/>
      </w:pPr>
      <w:r w:rsidRPr="00F101DD">
        <w:t xml:space="preserve">Are the HSRs </w:t>
      </w:r>
      <w:r w:rsidR="00012345" w:rsidRPr="00F101DD">
        <w:t xml:space="preserve">displayed </w:t>
      </w:r>
      <w:r w:rsidRPr="00F101DD">
        <w:t>accurate (against the HSR System guidance materials) and appropriate (compared with Dietary Guidelines)?</w:t>
      </w:r>
    </w:p>
    <w:p w14:paraId="35FF8A02" w14:textId="77777777" w:rsidR="00F101DD" w:rsidRPr="00F101DD" w:rsidRDefault="00F101DD">
      <w:pPr>
        <w:pStyle w:val="mpctableheading"/>
      </w:pPr>
    </w:p>
    <w:p w14:paraId="603144A3" w14:textId="263F7BCB" w:rsidR="00356647" w:rsidRDefault="00F101DD" w:rsidP="00356647">
      <w:pPr>
        <w:pStyle w:val="mpcNormal"/>
      </w:pPr>
      <w:r>
        <w:t>For</w:t>
      </w:r>
      <w:r w:rsidRPr="004A580D">
        <w:t xml:space="preserve"> products displaying the HSR, </w:t>
      </w:r>
      <w:r>
        <w:t>there is strong compliance with the HSR System guidance and alignment with Dietary Guidelines</w:t>
      </w:r>
      <w:r w:rsidR="00356647">
        <w:t>:</w:t>
      </w:r>
    </w:p>
    <w:p w14:paraId="3C626813" w14:textId="77777777" w:rsidR="00356647" w:rsidRDefault="00356647" w:rsidP="00356647">
      <w:pPr>
        <w:pStyle w:val="mpcNormal"/>
      </w:pPr>
    </w:p>
    <w:p w14:paraId="4B92EEB7" w14:textId="47032F10" w:rsidR="00F101DD" w:rsidRDefault="00FB7FB0" w:rsidP="007E0D2C">
      <w:pPr>
        <w:pStyle w:val="mpcbullets1"/>
      </w:pPr>
      <w:r>
        <w:t>In Australia, a</w:t>
      </w:r>
      <w:r w:rsidR="00F101DD" w:rsidRPr="004A580D">
        <w:t>pproximately 90% display the correct HSR, with 5% of manufacturers overstating it and 5% understating it</w:t>
      </w:r>
      <w:r w:rsidR="00F101DD" w:rsidRPr="00E95B2D">
        <w:t>, generally only</w:t>
      </w:r>
      <w:r w:rsidR="00F101DD" w:rsidRPr="004A580D">
        <w:t xml:space="preserve"> by 0.5 stars. </w:t>
      </w:r>
    </w:p>
    <w:p w14:paraId="5EDCCFB9" w14:textId="0BE94EBE" w:rsidR="00F101DD" w:rsidRPr="004A580D" w:rsidRDefault="00F101DD" w:rsidP="007E0D2C">
      <w:pPr>
        <w:pStyle w:val="mpcbullets1"/>
      </w:pPr>
      <w:r w:rsidRPr="004A580D">
        <w:t>FFG foods scor</w:t>
      </w:r>
      <w:r>
        <w:t>e</w:t>
      </w:r>
      <w:r w:rsidRPr="004A580D">
        <w:t xml:space="preserve"> an average HSR of 4 and discretionary foods scor</w:t>
      </w:r>
      <w:r>
        <w:t>e</w:t>
      </w:r>
      <w:r w:rsidRPr="004A580D">
        <w:t xml:space="preserve"> an average HSR of 2</w:t>
      </w:r>
      <w:r w:rsidR="006057F0">
        <w:t>, indicating good alignment with Dietary Guidelines</w:t>
      </w:r>
      <w:r w:rsidRPr="004A580D">
        <w:t>.</w:t>
      </w:r>
      <w:r w:rsidRPr="004A580D">
        <w:rPr>
          <w:vertAlign w:val="superscript"/>
        </w:rPr>
        <w:footnoteReference w:id="12"/>
      </w:r>
      <w:r>
        <w:t xml:space="preserve"> </w:t>
      </w:r>
      <w:r w:rsidRPr="004A580D">
        <w:t xml:space="preserve">The HSR System enhancements proposed in Chapter 5 are designed to further improve alignment with Dietary Guidelines. </w:t>
      </w:r>
    </w:p>
    <w:p w14:paraId="5819E5F7" w14:textId="77777777" w:rsidR="00F101DD" w:rsidRPr="004A580D" w:rsidRDefault="00F101DD" w:rsidP="0013165D">
      <w:pPr>
        <w:pStyle w:val="mpcNormal"/>
        <w:keepNext w:val="0"/>
      </w:pPr>
    </w:p>
    <w:p w14:paraId="749814EF" w14:textId="4060A0D3" w:rsidR="00F101DD" w:rsidRDefault="00F101DD" w:rsidP="0013165D">
      <w:pPr>
        <w:pStyle w:val="mpcheading4"/>
        <w:keepNext w:val="0"/>
      </w:pPr>
      <w:r w:rsidRPr="00F101DD">
        <w:t xml:space="preserve">Are consumers aware of the HSR </w:t>
      </w:r>
      <w:r w:rsidR="00D82678">
        <w:t xml:space="preserve">System </w:t>
      </w:r>
      <w:r w:rsidRPr="00F101DD">
        <w:t>and how to use it?</w:t>
      </w:r>
    </w:p>
    <w:p w14:paraId="6607605F" w14:textId="3FF3D4AD" w:rsidR="00F101DD" w:rsidRDefault="00F101DD" w:rsidP="0013165D">
      <w:pPr>
        <w:pStyle w:val="mpcNormal"/>
        <w:keepNext w:val="0"/>
      </w:pPr>
    </w:p>
    <w:p w14:paraId="1F547696" w14:textId="56E53EE6" w:rsidR="00356647" w:rsidRDefault="00356647" w:rsidP="00356647">
      <w:pPr>
        <w:pStyle w:val="mpcNormal"/>
        <w:keepNext w:val="0"/>
      </w:pPr>
      <w:r w:rsidRPr="00B542DF">
        <w:t xml:space="preserve">Most Australian and New Zealand consumers view the HSR </w:t>
      </w:r>
      <w:r>
        <w:t xml:space="preserve">System </w:t>
      </w:r>
      <w:r w:rsidRPr="00B542DF">
        <w:t>as easy to understand</w:t>
      </w:r>
      <w:r>
        <w:t xml:space="preserve"> and </w:t>
      </w:r>
      <w:r w:rsidRPr="00B542DF">
        <w:t>use</w:t>
      </w:r>
      <w:r>
        <w:t>.</w:t>
      </w:r>
    </w:p>
    <w:p w14:paraId="0832C8F8" w14:textId="77777777" w:rsidR="00356647" w:rsidRPr="00F101DD" w:rsidRDefault="00356647" w:rsidP="0013165D">
      <w:pPr>
        <w:pStyle w:val="mpcNormal"/>
        <w:keepNext w:val="0"/>
      </w:pPr>
    </w:p>
    <w:p w14:paraId="7A48F049" w14:textId="3E970FBA" w:rsidR="00F101DD" w:rsidRPr="004A580D" w:rsidRDefault="00F101DD" w:rsidP="007E0D2C">
      <w:pPr>
        <w:pStyle w:val="mpcbullets1"/>
      </w:pPr>
      <w:r w:rsidRPr="004A580D">
        <w:t>Consumer awareness and understanding of the HSR System is improving</w:t>
      </w:r>
      <w:r w:rsidR="00356647">
        <w:t xml:space="preserve">, with </w:t>
      </w:r>
      <w:r w:rsidRPr="004A580D">
        <w:t xml:space="preserve">83% of Australian consumers and 76% of New Zealand consumers aware of the HSR System when prompted. </w:t>
      </w:r>
    </w:p>
    <w:p w14:paraId="478D37F0" w14:textId="77777777" w:rsidR="00356647" w:rsidRDefault="00F101DD" w:rsidP="007E0D2C">
      <w:pPr>
        <w:pStyle w:val="mpcbullets1"/>
      </w:pPr>
      <w:r w:rsidRPr="004A580D">
        <w:t>Most Australian and New Zealand consumers view the HSR as easy to understand (7</w:t>
      </w:r>
      <w:r w:rsidR="00014C55">
        <w:t>7</w:t>
      </w:r>
      <w:r w:rsidRPr="004A580D">
        <w:t>% in Australia and 6</w:t>
      </w:r>
      <w:r w:rsidR="00FB7FB0">
        <w:t>3</w:t>
      </w:r>
      <w:r w:rsidRPr="004A580D">
        <w:t>% in New Zealand), easy to use (7</w:t>
      </w:r>
      <w:r w:rsidR="00014C55">
        <w:t>0</w:t>
      </w:r>
      <w:r w:rsidRPr="004A580D">
        <w:t>% in Australia) and making it easier to decide which packaged foods are healthier (6</w:t>
      </w:r>
      <w:r w:rsidR="00FB7FB0">
        <w:t>1</w:t>
      </w:r>
      <w:r w:rsidRPr="004A580D">
        <w:t>% in New Zealand).</w:t>
      </w:r>
    </w:p>
    <w:p w14:paraId="3284A324" w14:textId="77777777" w:rsidR="00356647" w:rsidRDefault="00356647" w:rsidP="007E0D2C">
      <w:pPr>
        <w:pStyle w:val="mpcbullets1"/>
        <w:numPr>
          <w:ilvl w:val="0"/>
          <w:numId w:val="0"/>
        </w:numPr>
      </w:pPr>
    </w:p>
    <w:p w14:paraId="23350E96" w14:textId="4E6EA4F4" w:rsidR="00E47909" w:rsidRDefault="00F101DD" w:rsidP="00356647">
      <w:pPr>
        <w:pStyle w:val="mpcNormal"/>
      </w:pPr>
      <w:r>
        <w:t xml:space="preserve">By contrast, </w:t>
      </w:r>
      <w:r w:rsidR="006057F0">
        <w:t xml:space="preserve">HSR graphic Option 5, </w:t>
      </w:r>
      <w:r>
        <w:t>the energy icon is not well understood</w:t>
      </w:r>
      <w:r w:rsidR="00356647">
        <w:t>:</w:t>
      </w:r>
    </w:p>
    <w:p w14:paraId="05BAF2F2" w14:textId="77777777" w:rsidR="00356647" w:rsidRDefault="00356647" w:rsidP="00356647">
      <w:pPr>
        <w:pStyle w:val="mpcNormal"/>
      </w:pPr>
    </w:p>
    <w:p w14:paraId="2DFDAE49" w14:textId="33B8FE39" w:rsidR="00E47909" w:rsidRDefault="00E47909" w:rsidP="007E0D2C">
      <w:pPr>
        <w:pStyle w:val="mpcbullets1"/>
      </w:pPr>
      <w:r>
        <w:t>O</w:t>
      </w:r>
      <w:r w:rsidR="00F101DD">
        <w:t xml:space="preserve">nly 4% of Australian consumers find it provides sufficient information. </w:t>
      </w:r>
    </w:p>
    <w:p w14:paraId="6B42DE4C" w14:textId="3FFC7AB8" w:rsidR="00F101DD" w:rsidRDefault="00E47909" w:rsidP="007E0D2C">
      <w:pPr>
        <w:pStyle w:val="mpcbullets1"/>
      </w:pPr>
      <w:r>
        <w:t>W</w:t>
      </w:r>
      <w:r w:rsidR="00F101DD" w:rsidRPr="004A580D">
        <w:t xml:space="preserve">ithin </w:t>
      </w:r>
      <w:r w:rsidR="00F101DD">
        <w:t>the confectionery and non-dairy beverage categories</w:t>
      </w:r>
      <w:r w:rsidR="00F101DD" w:rsidRPr="004A580D">
        <w:t>, both the stars and energy icon are used</w:t>
      </w:r>
      <w:r w:rsidR="00E95B2D">
        <w:t>,</w:t>
      </w:r>
      <w:r>
        <w:t xml:space="preserve"> </w:t>
      </w:r>
      <w:r w:rsidR="00F720A0">
        <w:t>with</w:t>
      </w:r>
      <w:r>
        <w:t xml:space="preserve"> the energy value based on various serve sizes</w:t>
      </w:r>
      <w:r w:rsidR="00F720A0">
        <w:t>,</w:t>
      </w:r>
      <w:r w:rsidR="00F101DD" w:rsidRPr="004A580D">
        <w:t xml:space="preserve"> making it difficult for consumers to compare like products.</w:t>
      </w:r>
    </w:p>
    <w:p w14:paraId="51F07749" w14:textId="77777777" w:rsidR="00356647" w:rsidRDefault="00356647" w:rsidP="00356647">
      <w:pPr>
        <w:pStyle w:val="mpcNormal"/>
      </w:pPr>
    </w:p>
    <w:p w14:paraId="7F56F128" w14:textId="1ADB250D" w:rsidR="00F101DD" w:rsidRPr="004A580D" w:rsidRDefault="00F101DD" w:rsidP="00356647">
      <w:pPr>
        <w:pStyle w:val="mpcNormal"/>
      </w:pPr>
      <w:r w:rsidRPr="004A580D">
        <w:t xml:space="preserve">To best support consumers, the Review recommends that the </w:t>
      </w:r>
      <w:r w:rsidR="00F720A0">
        <w:t xml:space="preserve">HSR graphics with </w:t>
      </w:r>
      <w:r w:rsidRPr="004A580D">
        <w:t xml:space="preserve">stars be displayed on products rather than </w:t>
      </w:r>
      <w:r w:rsidR="00FB7FB0">
        <w:t xml:space="preserve">the </w:t>
      </w:r>
      <w:r w:rsidRPr="004A580D">
        <w:t>energy icon.</w:t>
      </w:r>
    </w:p>
    <w:p w14:paraId="456E8CEF" w14:textId="77777777" w:rsidR="00F101DD" w:rsidRPr="004A580D" w:rsidRDefault="00F101DD" w:rsidP="006B0997">
      <w:pPr>
        <w:pStyle w:val="mpcNormal"/>
        <w:keepNext w:val="0"/>
      </w:pPr>
    </w:p>
    <w:p w14:paraId="3D217AFA" w14:textId="44091BE4" w:rsidR="00F101DD" w:rsidRDefault="00F101DD">
      <w:pPr>
        <w:pStyle w:val="mpctableheading"/>
      </w:pPr>
      <w:r w:rsidRPr="004A580D">
        <w:t>Do consumers trust the HSR System?</w:t>
      </w:r>
    </w:p>
    <w:p w14:paraId="2C7FCB94" w14:textId="77777777" w:rsidR="00F101DD" w:rsidRPr="004A580D" w:rsidRDefault="00F101DD">
      <w:pPr>
        <w:pStyle w:val="mpctableheading"/>
      </w:pPr>
    </w:p>
    <w:p w14:paraId="2C55691F" w14:textId="3D5D7275" w:rsidR="00E47909" w:rsidRDefault="00E47909" w:rsidP="005004E5">
      <w:pPr>
        <w:pStyle w:val="mpcbullets1"/>
        <w:numPr>
          <w:ilvl w:val="0"/>
          <w:numId w:val="0"/>
        </w:numPr>
        <w:ind w:left="357" w:hanging="357"/>
      </w:pPr>
      <w:r>
        <w:t>Consumer trust and confidence in the HSR System is higher in Australia than in New Zealand</w:t>
      </w:r>
      <w:r w:rsidR="00356647">
        <w:t>:</w:t>
      </w:r>
    </w:p>
    <w:p w14:paraId="44FCC719" w14:textId="77777777" w:rsidR="00356647" w:rsidRDefault="00356647" w:rsidP="007E0D2C">
      <w:pPr>
        <w:pStyle w:val="mpcbullets1"/>
        <w:numPr>
          <w:ilvl w:val="0"/>
          <w:numId w:val="0"/>
        </w:numPr>
        <w:ind w:left="360"/>
      </w:pPr>
    </w:p>
    <w:p w14:paraId="49F5A0A6" w14:textId="19DE6206" w:rsidR="00E47909" w:rsidRDefault="00F101DD" w:rsidP="007E0D2C">
      <w:pPr>
        <w:pStyle w:val="mpcbullets1"/>
      </w:pPr>
      <w:r w:rsidRPr="004A580D">
        <w:t>58% of consumers in Australia and 40% of consumers in New Zealand trust the HSR System</w:t>
      </w:r>
      <w:r w:rsidR="00E47909">
        <w:t>.</w:t>
      </w:r>
    </w:p>
    <w:p w14:paraId="2D804369" w14:textId="4FF3A6B6" w:rsidR="00F101DD" w:rsidRPr="004A580D" w:rsidRDefault="00F101DD" w:rsidP="007E0D2C">
      <w:pPr>
        <w:pStyle w:val="mpcbullets1"/>
      </w:pPr>
      <w:r w:rsidRPr="004A580D">
        <w:t>67% of Australian consumers</w:t>
      </w:r>
      <w:r w:rsidR="00FB7FB0">
        <w:t xml:space="preserve"> </w:t>
      </w:r>
      <w:r w:rsidR="00FB7FB0" w:rsidRPr="004A580D">
        <w:t>have confidence in the HSR System</w:t>
      </w:r>
      <w:r w:rsidRPr="004A580D">
        <w:t>.</w:t>
      </w:r>
    </w:p>
    <w:p w14:paraId="2995019F" w14:textId="77777777" w:rsidR="00356647" w:rsidRDefault="00356647" w:rsidP="007E0D2C">
      <w:pPr>
        <w:pStyle w:val="mpcbullets1"/>
        <w:numPr>
          <w:ilvl w:val="0"/>
          <w:numId w:val="0"/>
        </w:numPr>
      </w:pPr>
    </w:p>
    <w:p w14:paraId="2CA6CD4A" w14:textId="306EE6B2" w:rsidR="00F101DD" w:rsidRPr="004A580D" w:rsidRDefault="00F101DD" w:rsidP="007E0D2C">
      <w:pPr>
        <w:pStyle w:val="mpcbullets1"/>
        <w:numPr>
          <w:ilvl w:val="0"/>
          <w:numId w:val="0"/>
        </w:numPr>
      </w:pPr>
      <w:r w:rsidRPr="004A580D">
        <w:t>To support continued increase in consumer confidence, the Review proposes a number of improvements, along with continu</w:t>
      </w:r>
      <w:r w:rsidR="00E47909">
        <w:t>ed, targeted</w:t>
      </w:r>
      <w:r w:rsidRPr="004A580D">
        <w:t xml:space="preserve"> promotion and a more responsive approach when issues are identified (refer Chapters 4 and 6).</w:t>
      </w:r>
    </w:p>
    <w:p w14:paraId="161E67ED" w14:textId="77777777" w:rsidR="00F101DD" w:rsidRPr="004A580D" w:rsidRDefault="00F101DD" w:rsidP="0013165D">
      <w:pPr>
        <w:pStyle w:val="mpcNormal"/>
        <w:keepNext w:val="0"/>
      </w:pPr>
    </w:p>
    <w:p w14:paraId="2785B2FC" w14:textId="3DB1A6C3" w:rsidR="00F101DD" w:rsidRDefault="00F101DD">
      <w:pPr>
        <w:pStyle w:val="mpctableheading"/>
      </w:pPr>
      <w:r w:rsidRPr="00E37AA3">
        <w:t>Is the HSR influencing the purchasing decisions of consumers?</w:t>
      </w:r>
    </w:p>
    <w:p w14:paraId="635750F1" w14:textId="77777777" w:rsidR="00F101DD" w:rsidRPr="00E37AA3" w:rsidRDefault="00F101DD">
      <w:pPr>
        <w:pStyle w:val="mpctableheading"/>
      </w:pPr>
    </w:p>
    <w:p w14:paraId="4F3036C0" w14:textId="63973AAD" w:rsidR="00F101DD" w:rsidRDefault="00F101DD" w:rsidP="007E0D2C">
      <w:pPr>
        <w:pStyle w:val="mpcbullets1"/>
        <w:numPr>
          <w:ilvl w:val="0"/>
          <w:numId w:val="0"/>
        </w:numPr>
        <w:ind w:left="360"/>
      </w:pPr>
      <w:r w:rsidRPr="004A580D">
        <w:t>The most compelling evidence of the impact of the HSR i</w:t>
      </w:r>
      <w:r w:rsidR="00356647">
        <w:t xml:space="preserve">s the </w:t>
      </w:r>
      <w:r w:rsidRPr="004A580D">
        <w:t>influence</w:t>
      </w:r>
      <w:r w:rsidR="00356647">
        <w:t xml:space="preserve"> it has on consumer </w:t>
      </w:r>
      <w:r w:rsidRPr="004A580D">
        <w:t>purchas</w:t>
      </w:r>
      <w:r w:rsidR="00356647">
        <w:t>ing:</w:t>
      </w:r>
    </w:p>
    <w:p w14:paraId="3BB2F0D0" w14:textId="77777777" w:rsidR="00356647" w:rsidRPr="004A580D" w:rsidRDefault="00356647" w:rsidP="007E0D2C">
      <w:pPr>
        <w:pStyle w:val="mpcbullets1"/>
        <w:numPr>
          <w:ilvl w:val="0"/>
          <w:numId w:val="0"/>
        </w:numPr>
        <w:ind w:left="360"/>
      </w:pPr>
    </w:p>
    <w:p w14:paraId="5BD8784C" w14:textId="0E30D1CC" w:rsidR="008C5CBA" w:rsidRPr="00275BD2" w:rsidRDefault="00356647" w:rsidP="007E0D2C">
      <w:pPr>
        <w:pStyle w:val="mpcbullets1"/>
        <w:rPr>
          <w:lang w:bidi="ar-DZ"/>
        </w:rPr>
      </w:pPr>
      <w:r>
        <w:t>In</w:t>
      </w:r>
      <w:r w:rsidR="00AC4A48">
        <w:t xml:space="preserve"> Australia</w:t>
      </w:r>
      <w:r>
        <w:t>,</w:t>
      </w:r>
      <w:r w:rsidR="00AC4A48">
        <w:t xml:space="preserve"> </w:t>
      </w:r>
      <w:r w:rsidR="00AC4A48" w:rsidRPr="004A22EE">
        <w:t xml:space="preserve">70% of consumers </w:t>
      </w:r>
      <w:r>
        <w:t xml:space="preserve">had </w:t>
      </w:r>
      <w:r w:rsidR="00AC4A48" w:rsidRPr="004A22EE">
        <w:t>purchas</w:t>
      </w:r>
      <w:r>
        <w:t>ed</w:t>
      </w:r>
      <w:r w:rsidR="00AC4A48" w:rsidRPr="004A22EE">
        <w:t xml:space="preserve"> a product displaying the HSR in the last three months. Of these, </w:t>
      </w:r>
      <w:r w:rsidRPr="004A22EE">
        <w:t>the HSR influenced the decision</w:t>
      </w:r>
      <w:r>
        <w:t xml:space="preserve"> of </w:t>
      </w:r>
      <w:r w:rsidR="008C5CBA">
        <w:t>almost</w:t>
      </w:r>
      <w:r w:rsidR="008C5CBA" w:rsidRPr="004A22EE">
        <w:t xml:space="preserve"> two thirds</w:t>
      </w:r>
      <w:r>
        <w:t xml:space="preserve"> with</w:t>
      </w:r>
      <w:r w:rsidR="008C5CBA">
        <w:t xml:space="preserve"> one</w:t>
      </w:r>
      <w:r w:rsidR="008C5CBA" w:rsidRPr="004A22EE">
        <w:t xml:space="preserve"> third</w:t>
      </w:r>
      <w:r w:rsidR="008C5CBA" w:rsidRPr="004A22EE">
        <w:rPr>
          <w:lang w:bidi="ar-DZ"/>
        </w:rPr>
        <w:t xml:space="preserve"> influenced to purchase a product with more stars. This equates to 23% of all consumers influenced by the HSR to purchase a </w:t>
      </w:r>
      <w:r>
        <w:rPr>
          <w:lang w:bidi="ar-DZ"/>
        </w:rPr>
        <w:t>healthier product</w:t>
      </w:r>
      <w:r w:rsidR="008C5CBA" w:rsidRPr="004A22EE">
        <w:rPr>
          <w:lang w:bidi="ar-DZ"/>
        </w:rPr>
        <w:t>.</w:t>
      </w:r>
      <w:r w:rsidR="008C5CBA" w:rsidRPr="00275BD2">
        <w:rPr>
          <w:lang w:bidi="ar-DZ"/>
        </w:rPr>
        <w:t xml:space="preserve">  </w:t>
      </w:r>
    </w:p>
    <w:p w14:paraId="383DDCE1" w14:textId="26518407" w:rsidR="00F101DD" w:rsidRPr="004A580D" w:rsidRDefault="00F101DD" w:rsidP="007E0D2C">
      <w:pPr>
        <w:pStyle w:val="mpcbullets1"/>
      </w:pPr>
      <w:r w:rsidRPr="004A580D">
        <w:t>Research published in 2017</w:t>
      </w:r>
      <w:r w:rsidR="00014C55">
        <w:rPr>
          <w:rStyle w:val="FootnoteReference"/>
        </w:rPr>
        <w:footnoteReference w:id="13"/>
      </w:r>
      <w:r w:rsidRPr="004A580D">
        <w:t xml:space="preserve"> similarly found that</w:t>
      </w:r>
      <w:r w:rsidR="00356647">
        <w:t xml:space="preserve"> the HSR had influenced </w:t>
      </w:r>
      <w:r w:rsidR="00C1094C">
        <w:t>the product choice of</w:t>
      </w:r>
      <w:r w:rsidRPr="004A580D">
        <w:t xml:space="preserve"> more than three in five Australians who bought a product with the HSR. One in two purchased a product they would not normally buy due to the presence of the HSR and </w:t>
      </w:r>
      <w:r w:rsidR="00356647">
        <w:t>almost all</w:t>
      </w:r>
      <w:r w:rsidRPr="004A580D">
        <w:t xml:space="preserve"> of these shoppers said they would continue to buy th</w:t>
      </w:r>
      <w:r w:rsidR="00356647">
        <w:t>at</w:t>
      </w:r>
      <w:r w:rsidRPr="004A580D">
        <w:t xml:space="preserve"> product</w:t>
      </w:r>
      <w:r>
        <w:t>.</w:t>
      </w:r>
    </w:p>
    <w:p w14:paraId="384F6B85" w14:textId="5B3248B1" w:rsidR="00F101DD" w:rsidRDefault="00F101DD" w:rsidP="007E0D2C">
      <w:pPr>
        <w:pStyle w:val="mpcbullets1"/>
      </w:pPr>
      <w:r w:rsidRPr="004A580D">
        <w:t>In New Zealand</w:t>
      </w:r>
      <w:r>
        <w:t>,</w:t>
      </w:r>
      <w:r w:rsidRPr="004A580D">
        <w:t xml:space="preserve"> 28% of surveyed consumers report using the HSR to help choose packaged food, with 88% choosing the product with more stars.</w:t>
      </w:r>
    </w:p>
    <w:p w14:paraId="59DCA79B" w14:textId="77777777" w:rsidR="00F101DD" w:rsidRPr="004A580D" w:rsidRDefault="00F101DD" w:rsidP="0013165D">
      <w:pPr>
        <w:pStyle w:val="mpcNormal"/>
        <w:keepNext w:val="0"/>
      </w:pPr>
    </w:p>
    <w:p w14:paraId="0116BA6E" w14:textId="2638FE8E" w:rsidR="00F101DD" w:rsidRDefault="00F101DD">
      <w:pPr>
        <w:pStyle w:val="mpctableheading"/>
      </w:pPr>
      <w:r w:rsidRPr="004A580D">
        <w:t>Are manufacturers reformulating products in response to the HSR System?</w:t>
      </w:r>
    </w:p>
    <w:p w14:paraId="69DF0E73" w14:textId="2042D8BC" w:rsidR="00F101DD" w:rsidRDefault="00F101DD">
      <w:pPr>
        <w:pStyle w:val="mpctableheading"/>
      </w:pPr>
    </w:p>
    <w:p w14:paraId="3F81761E" w14:textId="57BCDCB3" w:rsidR="00C1094C" w:rsidRPr="00C1094C" w:rsidRDefault="00C1094C">
      <w:pPr>
        <w:pStyle w:val="mpctableheading"/>
        <w:rPr>
          <w:b w:val="0"/>
        </w:rPr>
      </w:pPr>
      <w:r w:rsidRPr="00C1094C">
        <w:rPr>
          <w:b w:val="0"/>
        </w:rPr>
        <w:t>Research indicates that the HSR System is leading to some reformulation:</w:t>
      </w:r>
    </w:p>
    <w:p w14:paraId="004F2B0F" w14:textId="77777777" w:rsidR="00C1094C" w:rsidRPr="004A580D" w:rsidRDefault="00C1094C">
      <w:pPr>
        <w:pStyle w:val="mpctableheading"/>
      </w:pPr>
    </w:p>
    <w:p w14:paraId="2CFE6F89" w14:textId="19AFD7A7" w:rsidR="00555968" w:rsidRPr="00AC4A48" w:rsidRDefault="00F117C1" w:rsidP="00D82678">
      <w:pPr>
        <w:pStyle w:val="mpcbullets1"/>
        <w:keepNext w:val="0"/>
      </w:pPr>
      <w:r w:rsidRPr="00AC4A48">
        <w:t xml:space="preserve">Analysis of products in Australia showed that those displaying the HSR had </w:t>
      </w:r>
      <w:r w:rsidR="006C6A0E" w:rsidRPr="00AC4A48">
        <w:t>statistically</w:t>
      </w:r>
      <w:r w:rsidRPr="00AC4A48">
        <w:t xml:space="preserve"> significant reductions in energy and saturated fat content over the four years since the System was introduced compared to those not displaying the HSR</w:t>
      </w:r>
      <w:r w:rsidR="00AC4A48">
        <w:t xml:space="preserve"> (which showed no significant reductions in these components)</w:t>
      </w:r>
      <w:r w:rsidRPr="00AC4A48">
        <w:t>.</w:t>
      </w:r>
    </w:p>
    <w:p w14:paraId="5FFACE9F" w14:textId="28A7BB5E" w:rsidR="00F101DD" w:rsidRDefault="00F101DD" w:rsidP="007E0D2C">
      <w:pPr>
        <w:pStyle w:val="mpcbullets1"/>
      </w:pPr>
      <w:r>
        <w:t>Analysis of 929 products displaying the HSR in New Zealand shows that 79% have been reformulated since 2014 to change at least one key</w:t>
      </w:r>
      <w:r w:rsidR="00C1094C">
        <w:t xml:space="preserve"> nutrient</w:t>
      </w:r>
      <w:r>
        <w:t xml:space="preserve"> by a minimum of 5%</w:t>
      </w:r>
      <w:r w:rsidR="00C1094C">
        <w:t xml:space="preserve"> (a</w:t>
      </w:r>
      <w:r w:rsidR="00FB7FB0">
        <w:t>lthough this c</w:t>
      </w:r>
      <w:r w:rsidR="00C27720">
        <w:t>annot</w:t>
      </w:r>
      <w:r w:rsidR="00FB7FB0">
        <w:t xml:space="preserve"> be attributed solely to the HSR System</w:t>
      </w:r>
      <w:r w:rsidR="00C1094C">
        <w:t>)</w:t>
      </w:r>
      <w:r w:rsidR="00FB7FB0">
        <w:t>.</w:t>
      </w:r>
    </w:p>
    <w:p w14:paraId="33D5A09A" w14:textId="1A08B353" w:rsidR="00F101DD" w:rsidRPr="004A580D" w:rsidRDefault="00FB7FB0" w:rsidP="007E0D2C">
      <w:pPr>
        <w:pStyle w:val="mpcbullets1"/>
      </w:pPr>
      <w:r>
        <w:t>These results are</w:t>
      </w:r>
      <w:r w:rsidR="00F101DD">
        <w:t xml:space="preserve"> consistent with f</w:t>
      </w:r>
      <w:r w:rsidR="00F101DD" w:rsidRPr="004A580D">
        <w:t xml:space="preserve">eedback from industry </w:t>
      </w:r>
      <w:r w:rsidR="00F101DD">
        <w:t xml:space="preserve">and studies in Australia that </w:t>
      </w:r>
      <w:r w:rsidR="00F101DD" w:rsidRPr="004A580D">
        <w:t>ha</w:t>
      </w:r>
      <w:r w:rsidR="00F101DD">
        <w:t xml:space="preserve">ve found </w:t>
      </w:r>
      <w:r w:rsidR="00F101DD" w:rsidRPr="004A580D">
        <w:t>the average energy density of products displaying the HSR was lower post implementation of the HSR System</w:t>
      </w:r>
      <w:r>
        <w:t xml:space="preserve"> compared to products not displaying the HSR</w:t>
      </w:r>
      <w:r w:rsidR="00F101DD" w:rsidRPr="00744408">
        <w:rPr>
          <w:vertAlign w:val="superscript"/>
        </w:rPr>
        <w:footnoteReference w:id="14"/>
      </w:r>
      <w:r w:rsidR="00F101DD" w:rsidRPr="00744408">
        <w:t>.</w:t>
      </w:r>
    </w:p>
    <w:p w14:paraId="257EF609" w14:textId="77777777" w:rsidR="00F101DD" w:rsidRDefault="00F101DD">
      <w:pPr>
        <w:rPr>
          <w:rFonts w:cstheme="minorHAnsi"/>
          <w:sz w:val="22"/>
          <w:szCs w:val="22"/>
        </w:rPr>
      </w:pPr>
    </w:p>
    <w:p w14:paraId="12B172B1" w14:textId="77777777" w:rsidR="00F101DD" w:rsidRPr="004A580D" w:rsidRDefault="00F101DD">
      <w:pPr>
        <w:rPr>
          <w:rFonts w:cstheme="minorHAnsi"/>
          <w:sz w:val="22"/>
          <w:szCs w:val="22"/>
        </w:rPr>
      </w:pPr>
      <w:r w:rsidRPr="004A580D">
        <w:rPr>
          <w:rFonts w:cstheme="minorHAnsi"/>
          <w:sz w:val="22"/>
          <w:szCs w:val="22"/>
        </w:rPr>
        <w:t>Despite challenges in measuring the public health impact of the HSR System, the monitoring data strongly indicates that the System has the potential to be a successful public health intervention by assisting consumers to make healthier choices when choosing packaged foods</w:t>
      </w:r>
      <w:r>
        <w:rPr>
          <w:rFonts w:cstheme="minorHAnsi"/>
          <w:sz w:val="22"/>
          <w:szCs w:val="22"/>
        </w:rPr>
        <w:t>, and by encouraging reformulation of foods to reduce risk nutrients.</w:t>
      </w:r>
    </w:p>
    <w:p w14:paraId="1D90D4FF" w14:textId="77777777" w:rsidR="00744408" w:rsidRPr="004A580D" w:rsidRDefault="00744408" w:rsidP="000A22C3">
      <w:pPr>
        <w:pStyle w:val="mpcNormal"/>
        <w:keepNext w:val="0"/>
      </w:pPr>
    </w:p>
    <w:tbl>
      <w:tblPr>
        <w:tblStyle w:val="TableGrid"/>
        <w:tblW w:w="0" w:type="auto"/>
        <w:tblLook w:val="04A0" w:firstRow="1" w:lastRow="0" w:firstColumn="1" w:lastColumn="0" w:noHBand="0" w:noVBand="1"/>
        <w:tblCaption w:val="Rec 1"/>
        <w:tblDescription w:val="Recommendation 1:  The HSR System be continued."/>
      </w:tblPr>
      <w:tblGrid>
        <w:gridCol w:w="9736"/>
      </w:tblGrid>
      <w:tr w:rsidR="00F101DD" w:rsidRPr="005F3697" w14:paraId="1C0FBED4" w14:textId="77777777" w:rsidTr="00F101DD">
        <w:trPr>
          <w:trHeight w:val="619"/>
        </w:trPr>
        <w:tc>
          <w:tcPr>
            <w:tcW w:w="9736" w:type="dxa"/>
            <w:shd w:val="clear" w:color="auto" w:fill="D9E2F3" w:themeFill="accent1" w:themeFillTint="33"/>
            <w:vAlign w:val="center"/>
          </w:tcPr>
          <w:p w14:paraId="07993841" w14:textId="2033D27B" w:rsidR="00F101DD" w:rsidRPr="000A22C3" w:rsidRDefault="00744408" w:rsidP="000A22C3">
            <w:pPr>
              <w:pStyle w:val="mpcNormal"/>
              <w:keepNext w:val="0"/>
              <w:rPr>
                <w:b/>
              </w:rPr>
            </w:pPr>
            <w:r w:rsidRPr="000A22C3">
              <w:rPr>
                <w:b/>
              </w:rPr>
              <w:t xml:space="preserve">Recommendation 1: </w:t>
            </w:r>
            <w:r w:rsidRPr="000A22C3">
              <w:rPr>
                <w:b/>
              </w:rPr>
              <w:tab/>
              <w:t>The HSR System be continued.</w:t>
            </w:r>
          </w:p>
        </w:tc>
      </w:tr>
    </w:tbl>
    <w:p w14:paraId="23187ABF" w14:textId="77777777" w:rsidR="00F101DD" w:rsidRPr="00F101DD" w:rsidRDefault="00F101DD" w:rsidP="000A22C3">
      <w:pPr>
        <w:pStyle w:val="mpcNormal"/>
        <w:keepNext w:val="0"/>
      </w:pPr>
    </w:p>
    <w:tbl>
      <w:tblPr>
        <w:tblStyle w:val="TableGrid"/>
        <w:tblW w:w="0" w:type="auto"/>
        <w:tblLook w:val="04A0" w:firstRow="1" w:lastRow="0" w:firstColumn="1" w:lastColumn="0" w:noHBand="0" w:noVBand="1"/>
        <w:tblCaption w:val="Rec 2"/>
        <w:tblDescription w:val="Recommendation 2:  HSR graphic Option 5, the energy icon, be removed from the HSR System"/>
      </w:tblPr>
      <w:tblGrid>
        <w:gridCol w:w="9736"/>
      </w:tblGrid>
      <w:tr w:rsidR="00F101DD" w:rsidRPr="005F3697" w14:paraId="45B43545" w14:textId="77777777" w:rsidTr="00F101DD">
        <w:trPr>
          <w:trHeight w:val="705"/>
        </w:trPr>
        <w:tc>
          <w:tcPr>
            <w:tcW w:w="9736" w:type="dxa"/>
            <w:shd w:val="clear" w:color="auto" w:fill="D9E2F3" w:themeFill="accent1" w:themeFillTint="33"/>
            <w:vAlign w:val="center"/>
          </w:tcPr>
          <w:p w14:paraId="7D29BFE8" w14:textId="1822BCF9" w:rsidR="00F101DD" w:rsidRPr="000A22C3" w:rsidRDefault="00744408" w:rsidP="000A22C3">
            <w:pPr>
              <w:pStyle w:val="mpcNormal"/>
              <w:keepNext w:val="0"/>
              <w:rPr>
                <w:b/>
              </w:rPr>
            </w:pPr>
            <w:r w:rsidRPr="000A22C3">
              <w:rPr>
                <w:b/>
              </w:rPr>
              <w:t xml:space="preserve">Recommendation 2: </w:t>
            </w:r>
            <w:r w:rsidRPr="000A22C3">
              <w:rPr>
                <w:b/>
              </w:rPr>
              <w:tab/>
            </w:r>
            <w:r w:rsidR="00E060E2">
              <w:rPr>
                <w:b/>
              </w:rPr>
              <w:t>HSR graphic Option 5, the energy icon, be removed from the HSR System.</w:t>
            </w:r>
          </w:p>
        </w:tc>
      </w:tr>
    </w:tbl>
    <w:p w14:paraId="432BDFA0" w14:textId="77777777" w:rsidR="00744408" w:rsidRPr="00E40FB1" w:rsidRDefault="00744408" w:rsidP="000A22C3">
      <w:pPr>
        <w:pStyle w:val="mpcNormal"/>
        <w:keepNext w:val="0"/>
      </w:pPr>
    </w:p>
    <w:p w14:paraId="359114FD" w14:textId="7672E575" w:rsidR="00F101DD" w:rsidRPr="006E651C" w:rsidRDefault="00F101DD" w:rsidP="000A22C3">
      <w:pPr>
        <w:pStyle w:val="mpcheading2"/>
        <w:spacing w:after="0"/>
      </w:pPr>
      <w:bookmarkStart w:id="69" w:name="Uptake"/>
      <w:bookmarkStart w:id="70" w:name="_Toc9955044"/>
      <w:bookmarkEnd w:id="69"/>
      <w:r w:rsidRPr="003873E6">
        <w:t>Uptake of the HSR and consistency with the HSR System guidance</w:t>
      </w:r>
      <w:bookmarkEnd w:id="70"/>
      <w:r w:rsidRPr="003873E6">
        <w:t xml:space="preserve"> </w:t>
      </w:r>
    </w:p>
    <w:p w14:paraId="19DEF039" w14:textId="77777777" w:rsidR="00F101DD" w:rsidRDefault="00F101DD" w:rsidP="005A3631">
      <w:pPr>
        <w:rPr>
          <w:rFonts w:cstheme="minorHAnsi"/>
          <w:sz w:val="22"/>
          <w:szCs w:val="22"/>
        </w:rPr>
      </w:pPr>
    </w:p>
    <w:p w14:paraId="18B28B08" w14:textId="2F5F9344" w:rsidR="00F101DD" w:rsidRDefault="00F101DD">
      <w:pPr>
        <w:rPr>
          <w:rFonts w:cstheme="minorHAnsi"/>
          <w:sz w:val="22"/>
          <w:szCs w:val="22"/>
        </w:rPr>
      </w:pPr>
      <w:r w:rsidRPr="006E651C">
        <w:rPr>
          <w:rFonts w:cstheme="minorHAnsi"/>
          <w:sz w:val="22"/>
          <w:szCs w:val="22"/>
        </w:rPr>
        <w:t>Unless otherwise indicated</w:t>
      </w:r>
      <w:r>
        <w:rPr>
          <w:rFonts w:cstheme="minorHAnsi"/>
          <w:sz w:val="22"/>
          <w:szCs w:val="22"/>
        </w:rPr>
        <w:t>,</w:t>
      </w:r>
      <w:r w:rsidRPr="006E651C">
        <w:rPr>
          <w:rFonts w:cstheme="minorHAnsi"/>
          <w:sz w:val="22"/>
          <w:szCs w:val="22"/>
        </w:rPr>
        <w:t xml:space="preserve"> the data referenced in this Chapter is drawn from:</w:t>
      </w:r>
    </w:p>
    <w:p w14:paraId="148C80F5" w14:textId="77777777" w:rsidR="00F101DD" w:rsidRPr="006E651C" w:rsidRDefault="00F101DD">
      <w:pPr>
        <w:rPr>
          <w:rFonts w:cstheme="minorHAnsi"/>
          <w:sz w:val="22"/>
          <w:szCs w:val="22"/>
        </w:rPr>
      </w:pPr>
    </w:p>
    <w:p w14:paraId="6D3C02AE" w14:textId="699F9B42" w:rsidR="00F101DD" w:rsidRPr="00F720A0" w:rsidRDefault="00F101DD" w:rsidP="007E0D2C">
      <w:pPr>
        <w:pStyle w:val="mpcbullets1"/>
      </w:pPr>
      <w:r>
        <w:t xml:space="preserve">For Australia – </w:t>
      </w:r>
      <w:r w:rsidRPr="006E651C">
        <w:t>the</w:t>
      </w:r>
      <w:r>
        <w:t xml:space="preserve"> </w:t>
      </w:r>
      <w:r w:rsidRPr="006E651C">
        <w:t xml:space="preserve">NHF </w:t>
      </w:r>
      <w:r w:rsidRPr="00F54C40">
        <w:rPr>
          <w:rStyle w:val="Emphasis"/>
        </w:rPr>
        <w:t>Repor</w:t>
      </w:r>
      <w:r w:rsidRPr="00F720A0">
        <w:rPr>
          <w:rStyle w:val="Emphasis"/>
        </w:rPr>
        <w:t>t on the monitoring of the implementation of the HSR System in the first four years of implementation: June 2014 to June 2018</w:t>
      </w:r>
      <w:r w:rsidRPr="00F720A0">
        <w:rPr>
          <w:rStyle w:val="FootnoteReference"/>
          <w:sz w:val="22"/>
        </w:rPr>
        <w:footnoteReference w:id="15"/>
      </w:r>
      <w:r w:rsidR="00744408" w:rsidRPr="00F720A0">
        <w:t>.</w:t>
      </w:r>
    </w:p>
    <w:p w14:paraId="323FB896" w14:textId="2E206868" w:rsidR="00F101DD" w:rsidRPr="00F720A0" w:rsidRDefault="00F101DD" w:rsidP="007E0D2C">
      <w:pPr>
        <w:pStyle w:val="mpcbullets1"/>
      </w:pPr>
      <w:r w:rsidRPr="00F720A0">
        <w:t xml:space="preserve">For New Zealand – the New Zealand Food Safety Technical Report, </w:t>
      </w:r>
      <w:r w:rsidRPr="00F720A0">
        <w:rPr>
          <w:rStyle w:val="Emphasis"/>
        </w:rPr>
        <w:t>Health Star Rating – Monitoring Implementation for the Five Year Review</w:t>
      </w:r>
      <w:r w:rsidRPr="00F720A0">
        <w:rPr>
          <w:rStyle w:val="FootnoteReference"/>
          <w:sz w:val="22"/>
        </w:rPr>
        <w:footnoteReference w:id="16"/>
      </w:r>
      <w:r w:rsidR="00744408" w:rsidRPr="00F720A0">
        <w:t>.</w:t>
      </w:r>
    </w:p>
    <w:p w14:paraId="51991135" w14:textId="1FB8AC9A" w:rsidR="00F101DD" w:rsidRDefault="00F101DD" w:rsidP="000A22C3">
      <w:pPr>
        <w:pStyle w:val="mpcNormal"/>
        <w:keepNext w:val="0"/>
      </w:pPr>
    </w:p>
    <w:p w14:paraId="0AC24526" w14:textId="2031DDA2" w:rsidR="00000D21" w:rsidRDefault="00000D21" w:rsidP="000A22C3">
      <w:pPr>
        <w:pStyle w:val="mpcNormal"/>
        <w:keepNext w:val="0"/>
      </w:pPr>
      <w:r w:rsidRPr="000A22C3">
        <w:t>Noting that these reports cover the period from implementation of the HSR System in 2014 to June 2018, there is a lag in the</w:t>
      </w:r>
      <w:r w:rsidR="00F720A0">
        <w:t xml:space="preserve"> formal monitoring</w:t>
      </w:r>
      <w:r w:rsidRPr="000A22C3">
        <w:t xml:space="preserve"> data </w:t>
      </w:r>
      <w:r w:rsidR="00F720A0">
        <w:t>available to the Review</w:t>
      </w:r>
      <w:r w:rsidRPr="000A22C3">
        <w:t xml:space="preserve">. It is reasonable to expect some figures may have altered in this </w:t>
      </w:r>
      <w:r w:rsidR="0013165D" w:rsidRPr="000A22C3">
        <w:t>timeframe, particularly in relation to uptake.</w:t>
      </w:r>
    </w:p>
    <w:p w14:paraId="34104EB8" w14:textId="72A3CB22" w:rsidR="009B0396" w:rsidRDefault="009B0396" w:rsidP="000A22C3">
      <w:pPr>
        <w:pStyle w:val="mpcNormal"/>
        <w:keepNext w:val="0"/>
      </w:pPr>
    </w:p>
    <w:p w14:paraId="10B4D23D" w14:textId="24ED5365" w:rsidR="009B0396" w:rsidRDefault="009B0396" w:rsidP="000A22C3">
      <w:pPr>
        <w:pStyle w:val="mpcNormal"/>
        <w:keepNext w:val="0"/>
      </w:pPr>
      <w:r w:rsidRPr="009B0396">
        <w:rPr>
          <w:u w:val="single"/>
        </w:rPr>
        <w:t>Appendix B</w:t>
      </w:r>
      <w:r>
        <w:t xml:space="preserve"> provides a summary of the key statistics from these reports.</w:t>
      </w:r>
    </w:p>
    <w:p w14:paraId="0609BC29" w14:textId="77777777" w:rsidR="00000D21" w:rsidRPr="006E651C" w:rsidRDefault="00000D21" w:rsidP="006B0997">
      <w:pPr>
        <w:pStyle w:val="mpcNormal"/>
        <w:keepNext w:val="0"/>
      </w:pPr>
    </w:p>
    <w:p w14:paraId="7835F95D" w14:textId="77777777" w:rsidR="00F101DD" w:rsidRPr="004A580D" w:rsidRDefault="00F101DD" w:rsidP="005A162A">
      <w:pPr>
        <w:pStyle w:val="mpcheading3"/>
      </w:pPr>
      <w:r w:rsidRPr="004A580D">
        <w:t>Uptake of the HSR System</w:t>
      </w:r>
    </w:p>
    <w:p w14:paraId="49AC6031" w14:textId="77777777" w:rsidR="00F101DD" w:rsidRPr="004A580D" w:rsidRDefault="00F101DD" w:rsidP="006B0997">
      <w:pPr>
        <w:rPr>
          <w:rFonts w:cstheme="minorHAnsi"/>
          <w:b/>
          <w:sz w:val="22"/>
          <w:szCs w:val="22"/>
        </w:rPr>
      </w:pPr>
    </w:p>
    <w:p w14:paraId="74F317EE" w14:textId="77777777" w:rsidR="00F101DD" w:rsidRPr="003873E6" w:rsidRDefault="00F101DD" w:rsidP="006B0997">
      <w:pPr>
        <w:rPr>
          <w:rFonts w:cstheme="minorHAnsi"/>
          <w:b/>
          <w:sz w:val="22"/>
          <w:szCs w:val="22"/>
        </w:rPr>
      </w:pPr>
      <w:r w:rsidRPr="003873E6">
        <w:rPr>
          <w:rFonts w:cstheme="minorHAnsi"/>
          <w:b/>
          <w:sz w:val="22"/>
          <w:szCs w:val="22"/>
        </w:rPr>
        <w:t xml:space="preserve">Australia </w:t>
      </w:r>
    </w:p>
    <w:p w14:paraId="2CEA0763" w14:textId="77777777" w:rsidR="00F101DD" w:rsidRDefault="00F101DD" w:rsidP="006B0997">
      <w:pPr>
        <w:rPr>
          <w:rFonts w:cstheme="minorHAnsi"/>
          <w:sz w:val="22"/>
          <w:szCs w:val="22"/>
        </w:rPr>
      </w:pPr>
    </w:p>
    <w:p w14:paraId="584D49C0" w14:textId="527EBF1D" w:rsidR="00000D21" w:rsidRPr="001B5DEE" w:rsidRDefault="00BC2240" w:rsidP="00890BB4">
      <w:pPr>
        <w:pStyle w:val="mpcNormal"/>
        <w:keepNext w:val="0"/>
      </w:pPr>
      <w:r>
        <w:t>Over 2017-</w:t>
      </w:r>
      <w:r w:rsidR="00F101DD" w:rsidRPr="001B5DEE">
        <w:t xml:space="preserve">18, 5,448 products </w:t>
      </w:r>
      <w:r w:rsidR="00F101DD" w:rsidRPr="00153CBD">
        <w:t>displayed</w:t>
      </w:r>
      <w:r w:rsidR="00F101DD" w:rsidRPr="001B5DEE">
        <w:t xml:space="preserve"> the HSR, representing 3</w:t>
      </w:r>
      <w:r w:rsidR="00953ED9">
        <w:t>1</w:t>
      </w:r>
      <w:r w:rsidR="00F101DD" w:rsidRPr="001B5DEE">
        <w:t>% of all eligible products.</w:t>
      </w:r>
      <w:r>
        <w:t xml:space="preserve"> </w:t>
      </w:r>
      <w:r w:rsidR="00000D21" w:rsidRPr="001B5DEE">
        <w:t xml:space="preserve">This has increased from 363 </w:t>
      </w:r>
      <w:r>
        <w:t>(</w:t>
      </w:r>
      <w:r w:rsidR="00F93322">
        <w:t>3</w:t>
      </w:r>
      <w:r>
        <w:t xml:space="preserve">%) </w:t>
      </w:r>
      <w:r w:rsidR="0013165D">
        <w:t xml:space="preserve">of </w:t>
      </w:r>
      <w:r w:rsidR="00000D21" w:rsidRPr="001B5DEE">
        <w:t xml:space="preserve">eligible products displaying the HSR in </w:t>
      </w:r>
      <w:r>
        <w:t>2014-</w:t>
      </w:r>
      <w:r w:rsidR="00000D21" w:rsidRPr="001B5DEE">
        <w:t>15.</w:t>
      </w:r>
      <w:r w:rsidR="00000D21">
        <w:t xml:space="preserve"> </w:t>
      </w:r>
    </w:p>
    <w:p w14:paraId="53F0C493" w14:textId="5393255D" w:rsidR="00F101DD" w:rsidRDefault="00F101DD" w:rsidP="00890BB4">
      <w:pPr>
        <w:pStyle w:val="mpcNormal"/>
        <w:keepNext w:val="0"/>
      </w:pPr>
    </w:p>
    <w:p w14:paraId="2EB7D093" w14:textId="748FB545" w:rsidR="006B0997" w:rsidRPr="006B0997" w:rsidRDefault="006B0997" w:rsidP="00D82678">
      <w:pPr>
        <w:pStyle w:val="mpcNormal"/>
        <w:keepNext w:val="0"/>
      </w:pPr>
      <w:r w:rsidRPr="006B0997">
        <w:t>This is consistent with a study published in 2018</w:t>
      </w:r>
      <w:r w:rsidRPr="006B0997">
        <w:rPr>
          <w:vertAlign w:val="superscript"/>
        </w:rPr>
        <w:footnoteReference w:id="17"/>
      </w:r>
      <w:r w:rsidRPr="006B0997">
        <w:t xml:space="preserve">, which used the George Institute’s FoodSwitch database to analyse uptake and found that at July 2017, 4,348 out of 15,767 eligible products (28%) displayed the HSR. </w:t>
      </w:r>
    </w:p>
    <w:p w14:paraId="4F0D3FCB" w14:textId="4A5534E0" w:rsidR="006B0997" w:rsidRDefault="006B0997" w:rsidP="00D82678">
      <w:pPr>
        <w:pStyle w:val="mpcNormal"/>
        <w:keepNext w:val="0"/>
      </w:pPr>
    </w:p>
    <w:p w14:paraId="67018819" w14:textId="597596F2" w:rsidR="00BC2240" w:rsidRDefault="00BC2240" w:rsidP="00D82678">
      <w:pPr>
        <w:pStyle w:val="mpcNormal"/>
        <w:keepNext w:val="0"/>
      </w:pPr>
      <w:r>
        <w:rPr>
          <w:lang w:bidi="ar-DZ"/>
        </w:rPr>
        <w:t xml:space="preserve">To understand the market penetration of the HSR, uptake is weighted by sales data. </w:t>
      </w:r>
      <w:r>
        <w:t>Based on sales data from Nielsen</w:t>
      </w:r>
      <w:r w:rsidRPr="001B5DEE">
        <w:t>, th</w:t>
      </w:r>
      <w:r>
        <w:t>e products on which the HSR</w:t>
      </w:r>
      <w:r w:rsidRPr="001B5DEE">
        <w:t xml:space="preserve"> </w:t>
      </w:r>
      <w:r>
        <w:t xml:space="preserve">is displayed </w:t>
      </w:r>
      <w:r w:rsidRPr="001B5DEE">
        <w:t>represent 3</w:t>
      </w:r>
      <w:r>
        <w:t>8</w:t>
      </w:r>
      <w:r w:rsidRPr="001B5DEE">
        <w:t>% of all household food purchases.</w:t>
      </w:r>
    </w:p>
    <w:p w14:paraId="636E2C5B" w14:textId="77777777" w:rsidR="00BC2240" w:rsidRPr="001B5DEE" w:rsidRDefault="00BC2240" w:rsidP="00D82678">
      <w:pPr>
        <w:rPr>
          <w:rFonts w:cstheme="minorHAnsi"/>
          <w:sz w:val="22"/>
          <w:szCs w:val="22"/>
        </w:rPr>
      </w:pPr>
    </w:p>
    <w:p w14:paraId="56B2305D" w14:textId="59E1D184" w:rsidR="00F101DD" w:rsidRPr="001B5DEE" w:rsidRDefault="00F101DD">
      <w:pPr>
        <w:rPr>
          <w:rFonts w:cstheme="minorHAnsi"/>
          <w:sz w:val="22"/>
          <w:szCs w:val="22"/>
        </w:rPr>
      </w:pPr>
      <w:r w:rsidRPr="001B5DEE">
        <w:rPr>
          <w:rFonts w:cstheme="minorHAnsi"/>
          <w:sz w:val="22"/>
          <w:szCs w:val="22"/>
        </w:rPr>
        <w:t>Product categories with the highest uptake of the HSR</w:t>
      </w:r>
      <w:r w:rsidR="001177B4">
        <w:rPr>
          <w:rFonts w:cstheme="minorHAnsi"/>
          <w:sz w:val="22"/>
          <w:szCs w:val="22"/>
        </w:rPr>
        <w:t xml:space="preserve"> in Au</w:t>
      </w:r>
      <w:r w:rsidR="00574DAF">
        <w:rPr>
          <w:rFonts w:cstheme="minorHAnsi"/>
          <w:sz w:val="22"/>
          <w:szCs w:val="22"/>
        </w:rPr>
        <w:t>stralia</w:t>
      </w:r>
      <w:r w:rsidRPr="001B5DEE">
        <w:rPr>
          <w:rFonts w:cstheme="minorHAnsi"/>
          <w:sz w:val="22"/>
          <w:szCs w:val="22"/>
        </w:rPr>
        <w:t xml:space="preserve"> are:</w:t>
      </w:r>
    </w:p>
    <w:p w14:paraId="47782E02" w14:textId="6889E2EF" w:rsidR="00A337CA" w:rsidRPr="001B5DEE" w:rsidRDefault="00A337CA">
      <w:pPr>
        <w:rPr>
          <w:rFonts w:cstheme="minorHAnsi"/>
          <w:sz w:val="22"/>
          <w:szCs w:val="22"/>
        </w:rPr>
      </w:pPr>
    </w:p>
    <w:p w14:paraId="0CD3CD5C" w14:textId="0F71668A" w:rsidR="00A337CA" w:rsidRPr="001B5DEE" w:rsidRDefault="00A337CA" w:rsidP="00901C53">
      <w:pPr>
        <w:pStyle w:val="ListParagraph"/>
        <w:numPr>
          <w:ilvl w:val="0"/>
          <w:numId w:val="33"/>
        </w:numPr>
        <w:rPr>
          <w:rFonts w:eastAsia="Times New Roman" w:cstheme="minorHAnsi"/>
          <w:color w:val="000000"/>
          <w:sz w:val="22"/>
          <w:szCs w:val="22"/>
        </w:rPr>
      </w:pPr>
      <w:r w:rsidRPr="001B5DEE">
        <w:rPr>
          <w:rFonts w:eastAsia="Times New Roman" w:cstheme="minorHAnsi"/>
          <w:color w:val="000000"/>
          <w:sz w:val="22"/>
          <w:szCs w:val="22"/>
        </w:rPr>
        <w:t xml:space="preserve">non-dairy beverages: 608 </w:t>
      </w:r>
      <w:r w:rsidR="001B5DEE" w:rsidRPr="001B5DEE">
        <w:rPr>
          <w:rFonts w:cstheme="minorHAnsi"/>
          <w:sz w:val="22"/>
          <w:szCs w:val="22"/>
        </w:rPr>
        <w:t xml:space="preserve">products </w:t>
      </w:r>
      <w:r w:rsidRPr="001B5DEE">
        <w:rPr>
          <w:rFonts w:eastAsia="Times New Roman" w:cstheme="minorHAnsi"/>
          <w:color w:val="000000"/>
          <w:sz w:val="22"/>
          <w:szCs w:val="22"/>
        </w:rPr>
        <w:t>(11%</w:t>
      </w:r>
      <w:r w:rsidR="00701F22">
        <w:rPr>
          <w:rFonts w:eastAsia="Times New Roman" w:cstheme="minorHAnsi"/>
          <w:color w:val="000000"/>
          <w:sz w:val="22"/>
          <w:szCs w:val="22"/>
        </w:rPr>
        <w:t xml:space="preserve"> of products displaying the HSR</w:t>
      </w:r>
      <w:r w:rsidRPr="001B5DEE">
        <w:rPr>
          <w:rFonts w:eastAsia="Times New Roman" w:cstheme="minorHAnsi"/>
          <w:color w:val="000000"/>
          <w:sz w:val="22"/>
          <w:szCs w:val="22"/>
        </w:rPr>
        <w:t>)</w:t>
      </w:r>
    </w:p>
    <w:p w14:paraId="2C63D673" w14:textId="5BA98DEA" w:rsidR="00A337CA" w:rsidRPr="001B5DEE" w:rsidRDefault="00A337CA" w:rsidP="00901C53">
      <w:pPr>
        <w:pStyle w:val="ListParagraph"/>
        <w:numPr>
          <w:ilvl w:val="0"/>
          <w:numId w:val="33"/>
        </w:numPr>
        <w:rPr>
          <w:rFonts w:eastAsia="Times New Roman" w:cstheme="minorHAnsi"/>
          <w:color w:val="000000"/>
          <w:sz w:val="22"/>
          <w:szCs w:val="22"/>
        </w:rPr>
      </w:pPr>
      <w:r w:rsidRPr="001B5DEE">
        <w:rPr>
          <w:rFonts w:eastAsia="Times New Roman" w:cstheme="minorHAnsi"/>
          <w:color w:val="000000"/>
          <w:sz w:val="22"/>
          <w:szCs w:val="22"/>
        </w:rPr>
        <w:t xml:space="preserve">processed meat and seafood: 459 </w:t>
      </w:r>
      <w:r w:rsidR="001B5DEE" w:rsidRPr="001B5DEE">
        <w:rPr>
          <w:rFonts w:cstheme="minorHAnsi"/>
          <w:sz w:val="22"/>
          <w:szCs w:val="22"/>
        </w:rPr>
        <w:t xml:space="preserve">products </w:t>
      </w:r>
      <w:r w:rsidRPr="001B5DEE">
        <w:rPr>
          <w:rFonts w:eastAsia="Times New Roman" w:cstheme="minorHAnsi"/>
          <w:color w:val="000000"/>
          <w:sz w:val="22"/>
          <w:szCs w:val="22"/>
        </w:rPr>
        <w:t>(8%)</w:t>
      </w:r>
    </w:p>
    <w:p w14:paraId="0CF64E62" w14:textId="12B6280C" w:rsidR="00F101DD" w:rsidRPr="001B5DEE" w:rsidRDefault="00A337CA" w:rsidP="007E0D2C">
      <w:pPr>
        <w:pStyle w:val="mpcbullets1"/>
      </w:pPr>
      <w:r w:rsidRPr="001B5DEE">
        <w:t xml:space="preserve">processed fruits and vegetables including legumes: 386 </w:t>
      </w:r>
      <w:r w:rsidR="001B5DEE" w:rsidRPr="001B5DEE">
        <w:t xml:space="preserve">products </w:t>
      </w:r>
      <w:r w:rsidRPr="001B5DEE">
        <w:t>(7%)</w:t>
      </w:r>
    </w:p>
    <w:p w14:paraId="3C8DD691" w14:textId="712B0642" w:rsidR="00A337CA" w:rsidRPr="001B5DEE" w:rsidRDefault="00A337CA" w:rsidP="00901C53">
      <w:pPr>
        <w:pStyle w:val="ListParagraph"/>
        <w:numPr>
          <w:ilvl w:val="0"/>
          <w:numId w:val="33"/>
        </w:numPr>
        <w:rPr>
          <w:rFonts w:eastAsia="Times New Roman" w:cstheme="minorHAnsi"/>
          <w:color w:val="000000"/>
          <w:sz w:val="22"/>
          <w:szCs w:val="22"/>
        </w:rPr>
      </w:pPr>
      <w:r w:rsidRPr="001B5DEE">
        <w:rPr>
          <w:rFonts w:eastAsia="Times New Roman" w:cstheme="minorHAnsi"/>
          <w:color w:val="000000"/>
          <w:sz w:val="22"/>
          <w:szCs w:val="22"/>
        </w:rPr>
        <w:t xml:space="preserve">savoury snacks: 381 </w:t>
      </w:r>
      <w:r w:rsidR="001B5DEE" w:rsidRPr="001B5DEE">
        <w:rPr>
          <w:rFonts w:cstheme="minorHAnsi"/>
          <w:sz w:val="22"/>
          <w:szCs w:val="22"/>
        </w:rPr>
        <w:t xml:space="preserve">products </w:t>
      </w:r>
      <w:r w:rsidRPr="001B5DEE">
        <w:rPr>
          <w:rFonts w:eastAsia="Times New Roman" w:cstheme="minorHAnsi"/>
          <w:color w:val="000000"/>
          <w:sz w:val="22"/>
          <w:szCs w:val="22"/>
        </w:rPr>
        <w:t>(7%)</w:t>
      </w:r>
    </w:p>
    <w:p w14:paraId="74E4BB70" w14:textId="1A9C1122" w:rsidR="00A337CA" w:rsidRPr="001B5DEE" w:rsidRDefault="00A337CA" w:rsidP="00901C53">
      <w:pPr>
        <w:pStyle w:val="ListParagraph"/>
        <w:numPr>
          <w:ilvl w:val="0"/>
          <w:numId w:val="33"/>
        </w:numPr>
        <w:rPr>
          <w:rFonts w:eastAsia="Times New Roman" w:cstheme="minorHAnsi"/>
          <w:color w:val="000000"/>
          <w:sz w:val="22"/>
          <w:szCs w:val="22"/>
        </w:rPr>
      </w:pPr>
      <w:r w:rsidRPr="001B5DEE">
        <w:rPr>
          <w:rFonts w:eastAsia="Times New Roman" w:cstheme="minorHAnsi"/>
          <w:color w:val="000000"/>
          <w:sz w:val="22"/>
          <w:szCs w:val="22"/>
        </w:rPr>
        <w:t xml:space="preserve">dairy products including dairy alternatives: 367 </w:t>
      </w:r>
      <w:r w:rsidR="001B5DEE" w:rsidRPr="001B5DEE">
        <w:rPr>
          <w:rFonts w:cstheme="minorHAnsi"/>
          <w:sz w:val="22"/>
          <w:szCs w:val="22"/>
        </w:rPr>
        <w:t xml:space="preserve">products </w:t>
      </w:r>
      <w:r w:rsidRPr="001B5DEE">
        <w:rPr>
          <w:rFonts w:eastAsia="Times New Roman" w:cstheme="minorHAnsi"/>
          <w:color w:val="000000"/>
          <w:sz w:val="22"/>
          <w:szCs w:val="22"/>
        </w:rPr>
        <w:t>(7%)</w:t>
      </w:r>
    </w:p>
    <w:p w14:paraId="12808A1B" w14:textId="77777777" w:rsidR="00F101DD" w:rsidRPr="001B5DEE" w:rsidRDefault="00F101DD">
      <w:pPr>
        <w:rPr>
          <w:rFonts w:eastAsia="Times New Roman" w:cstheme="minorHAnsi"/>
          <w:color w:val="000000"/>
          <w:sz w:val="22"/>
          <w:szCs w:val="22"/>
        </w:rPr>
      </w:pPr>
      <w:r w:rsidRPr="001B5DEE">
        <w:rPr>
          <w:rFonts w:eastAsia="Times New Roman" w:cstheme="minorHAnsi"/>
          <w:color w:val="000000"/>
          <w:sz w:val="22"/>
          <w:szCs w:val="22"/>
        </w:rPr>
        <w:t> </w:t>
      </w:r>
    </w:p>
    <w:p w14:paraId="683EE840" w14:textId="3584CF9A" w:rsidR="00F101DD" w:rsidRDefault="00F51778">
      <w:pPr>
        <w:rPr>
          <w:rFonts w:cstheme="minorHAnsi"/>
          <w:sz w:val="22"/>
          <w:szCs w:val="22"/>
        </w:rPr>
      </w:pPr>
      <w:r w:rsidRPr="008E0D7F">
        <w:rPr>
          <w:rFonts w:cstheme="minorHAnsi"/>
          <w:sz w:val="22"/>
          <w:szCs w:val="22"/>
        </w:rPr>
        <w:t xml:space="preserve">As at June 2018, </w:t>
      </w:r>
      <w:r w:rsidR="00F101DD" w:rsidRPr="008E0D7F">
        <w:rPr>
          <w:rFonts w:cstheme="minorHAnsi"/>
          <w:sz w:val="22"/>
          <w:szCs w:val="22"/>
        </w:rPr>
        <w:t>1</w:t>
      </w:r>
      <w:r w:rsidR="00BC2240" w:rsidRPr="008E0D7F">
        <w:rPr>
          <w:rFonts w:cstheme="minorHAnsi"/>
          <w:sz w:val="22"/>
          <w:szCs w:val="22"/>
        </w:rPr>
        <w:t>34</w:t>
      </w:r>
      <w:r w:rsidR="00F101DD" w:rsidRPr="008E0D7F">
        <w:rPr>
          <w:rFonts w:cstheme="minorHAnsi"/>
          <w:sz w:val="22"/>
          <w:szCs w:val="22"/>
        </w:rPr>
        <w:t xml:space="preserve"> manufacturers </w:t>
      </w:r>
      <w:r w:rsidRPr="008E0D7F">
        <w:rPr>
          <w:rFonts w:cstheme="minorHAnsi"/>
          <w:sz w:val="22"/>
          <w:szCs w:val="22"/>
        </w:rPr>
        <w:t>were</w:t>
      </w:r>
      <w:r w:rsidR="00F101DD" w:rsidRPr="008E0D7F">
        <w:rPr>
          <w:rFonts w:cstheme="minorHAnsi"/>
          <w:sz w:val="22"/>
          <w:szCs w:val="22"/>
        </w:rPr>
        <w:t xml:space="preserve"> using the HSR, </w:t>
      </w:r>
      <w:r w:rsidRPr="008E0D7F">
        <w:rPr>
          <w:rFonts w:cstheme="minorHAnsi"/>
          <w:sz w:val="22"/>
          <w:szCs w:val="22"/>
        </w:rPr>
        <w:t>with a</w:t>
      </w:r>
      <w:r w:rsidR="00F101DD" w:rsidRPr="008E0D7F">
        <w:rPr>
          <w:rFonts w:cstheme="minorHAnsi"/>
          <w:sz w:val="22"/>
          <w:szCs w:val="22"/>
        </w:rPr>
        <w:t xml:space="preserve"> small number of retailers and manufacturers responsible for a large proportion of the uptake of the HSR System. Coles, Woolworths and Aldi Private Labels collectively account</w:t>
      </w:r>
      <w:r w:rsidRPr="008E0D7F">
        <w:rPr>
          <w:rFonts w:cstheme="minorHAnsi"/>
          <w:sz w:val="22"/>
          <w:szCs w:val="22"/>
        </w:rPr>
        <w:t>ed</w:t>
      </w:r>
      <w:r w:rsidR="00F101DD" w:rsidRPr="008E0D7F">
        <w:rPr>
          <w:rFonts w:cstheme="minorHAnsi"/>
          <w:sz w:val="22"/>
          <w:szCs w:val="22"/>
        </w:rPr>
        <w:t xml:space="preserve"> for 56% of the total uptake and five manufacturers (Simplot Australia, Nestle Australia, Lion, Coca-Cola Amatil and Unilever Australia) collectively account</w:t>
      </w:r>
      <w:r w:rsidRPr="008E0D7F">
        <w:rPr>
          <w:rFonts w:cstheme="minorHAnsi"/>
          <w:sz w:val="22"/>
          <w:szCs w:val="22"/>
        </w:rPr>
        <w:t>ed</w:t>
      </w:r>
      <w:r w:rsidR="00F101DD" w:rsidRPr="008E0D7F">
        <w:rPr>
          <w:rFonts w:cstheme="minorHAnsi"/>
          <w:sz w:val="22"/>
          <w:szCs w:val="22"/>
        </w:rPr>
        <w:t xml:space="preserve"> for 1</w:t>
      </w:r>
      <w:r w:rsidR="00953ED9" w:rsidRPr="008E0D7F">
        <w:rPr>
          <w:rFonts w:cstheme="minorHAnsi"/>
          <w:sz w:val="22"/>
          <w:szCs w:val="22"/>
        </w:rPr>
        <w:t>6</w:t>
      </w:r>
      <w:r w:rsidR="00F101DD" w:rsidRPr="008E0D7F">
        <w:rPr>
          <w:rFonts w:cstheme="minorHAnsi"/>
          <w:sz w:val="22"/>
          <w:szCs w:val="22"/>
        </w:rPr>
        <w:t>% of total uptake.</w:t>
      </w:r>
    </w:p>
    <w:p w14:paraId="5060D32A" w14:textId="77777777" w:rsidR="00F101DD" w:rsidRPr="001B5DEE" w:rsidRDefault="00F101DD" w:rsidP="005A3631">
      <w:pPr>
        <w:rPr>
          <w:rFonts w:cstheme="minorHAnsi"/>
          <w:sz w:val="22"/>
          <w:szCs w:val="22"/>
        </w:rPr>
      </w:pPr>
    </w:p>
    <w:p w14:paraId="2D91CC06" w14:textId="77777777" w:rsidR="00F101DD" w:rsidRPr="001B5DEE" w:rsidRDefault="00F101DD">
      <w:pPr>
        <w:rPr>
          <w:rFonts w:cstheme="minorHAnsi"/>
          <w:b/>
          <w:sz w:val="22"/>
          <w:szCs w:val="22"/>
        </w:rPr>
      </w:pPr>
      <w:r w:rsidRPr="001B5DEE">
        <w:rPr>
          <w:rFonts w:cstheme="minorHAnsi"/>
          <w:b/>
          <w:sz w:val="22"/>
          <w:szCs w:val="22"/>
        </w:rPr>
        <w:t xml:space="preserve">New Zealand </w:t>
      </w:r>
    </w:p>
    <w:p w14:paraId="4D4CCCE2" w14:textId="77777777" w:rsidR="00F101DD" w:rsidRPr="001B5DEE" w:rsidRDefault="00F101DD">
      <w:pPr>
        <w:rPr>
          <w:rFonts w:cstheme="minorHAnsi"/>
          <w:sz w:val="22"/>
          <w:szCs w:val="22"/>
        </w:rPr>
      </w:pPr>
    </w:p>
    <w:p w14:paraId="2EA9228B" w14:textId="23BCFEDD" w:rsidR="00411BCB" w:rsidRDefault="00F101DD">
      <w:pPr>
        <w:widowControl w:val="0"/>
        <w:rPr>
          <w:rFonts w:cstheme="minorHAnsi"/>
          <w:sz w:val="22"/>
          <w:szCs w:val="22"/>
        </w:rPr>
      </w:pPr>
      <w:r w:rsidRPr="001B5DEE">
        <w:rPr>
          <w:rFonts w:cstheme="minorHAnsi"/>
          <w:sz w:val="22"/>
          <w:szCs w:val="22"/>
        </w:rPr>
        <w:t>As at June 2018, 2,997 products displayed the HSR, representing 21% of all eligible products.</w:t>
      </w:r>
      <w:r w:rsidR="00411BCB">
        <w:rPr>
          <w:rFonts w:cstheme="minorHAnsi"/>
          <w:sz w:val="22"/>
          <w:szCs w:val="22"/>
        </w:rPr>
        <w:t xml:space="preserve"> </w:t>
      </w:r>
      <w:r w:rsidR="00E060E2" w:rsidRPr="001B5DEE">
        <w:rPr>
          <w:rFonts w:cstheme="minorHAnsi"/>
          <w:sz w:val="22"/>
          <w:szCs w:val="22"/>
        </w:rPr>
        <w:t xml:space="preserve">This has increased from 37 eligible products displaying the HSR in 2015. </w:t>
      </w:r>
    </w:p>
    <w:p w14:paraId="02C86FE4" w14:textId="77777777" w:rsidR="00F101DD" w:rsidRPr="001B5DEE" w:rsidRDefault="00F101DD">
      <w:pPr>
        <w:widowControl w:val="0"/>
        <w:rPr>
          <w:rFonts w:cstheme="minorHAnsi"/>
          <w:sz w:val="22"/>
          <w:szCs w:val="22"/>
        </w:rPr>
      </w:pPr>
    </w:p>
    <w:p w14:paraId="5E7926BD" w14:textId="77777777" w:rsidR="00F101DD" w:rsidRPr="001B5DEE" w:rsidRDefault="00F101DD" w:rsidP="00890BB4">
      <w:pPr>
        <w:widowControl w:val="0"/>
        <w:rPr>
          <w:rFonts w:cstheme="minorHAnsi"/>
          <w:sz w:val="22"/>
          <w:szCs w:val="22"/>
        </w:rPr>
      </w:pPr>
      <w:r w:rsidRPr="001B5DEE">
        <w:rPr>
          <w:rFonts w:cstheme="minorHAnsi"/>
          <w:sz w:val="22"/>
          <w:szCs w:val="22"/>
        </w:rPr>
        <w:t>The following product categories have the highest uptake of the HSR:</w:t>
      </w:r>
    </w:p>
    <w:p w14:paraId="68D0013E" w14:textId="77777777" w:rsidR="00F101DD" w:rsidRPr="001B5DEE" w:rsidRDefault="00F101DD" w:rsidP="00890BB4">
      <w:pPr>
        <w:rPr>
          <w:rFonts w:cstheme="minorHAnsi"/>
          <w:sz w:val="22"/>
          <w:szCs w:val="22"/>
        </w:rPr>
      </w:pPr>
    </w:p>
    <w:p w14:paraId="06A771E4" w14:textId="46529AAE" w:rsidR="001B5DEE" w:rsidRPr="001B5DEE" w:rsidRDefault="001B5DEE" w:rsidP="007E0D2C">
      <w:pPr>
        <w:pStyle w:val="mpcbullets1"/>
      </w:pPr>
      <w:r w:rsidRPr="001B5DEE">
        <w:t>packaged fruit and vegetables: 450 products (15%</w:t>
      </w:r>
      <w:r w:rsidR="00701F22">
        <w:t xml:space="preserve"> of products displaying the HSR</w:t>
      </w:r>
      <w:r w:rsidRPr="001B5DEE">
        <w:t>)</w:t>
      </w:r>
    </w:p>
    <w:p w14:paraId="55222F81" w14:textId="7BD6A48A" w:rsidR="001B5DEE" w:rsidRPr="001B5DEE" w:rsidRDefault="001B5DEE" w:rsidP="007E0D2C">
      <w:pPr>
        <w:pStyle w:val="mpcbullets1"/>
      </w:pPr>
      <w:r w:rsidRPr="001B5DEE">
        <w:t>cereals and cereal products: 400 products (13%)</w:t>
      </w:r>
    </w:p>
    <w:p w14:paraId="4758961E" w14:textId="60E50D37" w:rsidR="001B5DEE" w:rsidRPr="001B5DEE" w:rsidRDefault="001B5DEE" w:rsidP="007E0D2C">
      <w:pPr>
        <w:pStyle w:val="mpcbullets1"/>
      </w:pPr>
      <w:r w:rsidRPr="001B5DEE">
        <w:t>non-</w:t>
      </w:r>
      <w:r w:rsidR="00411BCB">
        <w:t>alcoholic</w:t>
      </w:r>
      <w:r w:rsidRPr="001B5DEE">
        <w:t xml:space="preserve"> beverages: 384 products (13%)</w:t>
      </w:r>
    </w:p>
    <w:p w14:paraId="0ECC9D8A" w14:textId="4E38DA8F" w:rsidR="00F101DD" w:rsidRPr="001B5DEE" w:rsidRDefault="001B5DEE" w:rsidP="007E0D2C">
      <w:pPr>
        <w:pStyle w:val="mpcbullets1"/>
      </w:pPr>
      <w:r w:rsidRPr="001B5DEE">
        <w:t xml:space="preserve">sauces and spreads: 330 products (11%) </w:t>
      </w:r>
    </w:p>
    <w:p w14:paraId="4BB2A95E" w14:textId="51F9F109" w:rsidR="00F101DD" w:rsidRPr="001B5DEE" w:rsidRDefault="001B5DEE" w:rsidP="007E0D2C">
      <w:pPr>
        <w:pStyle w:val="mpcbullets1"/>
      </w:pPr>
      <w:r w:rsidRPr="00890BB4">
        <w:t>dairy and alternatives: 256 products (9%).</w:t>
      </w:r>
    </w:p>
    <w:p w14:paraId="6EA4DEE1" w14:textId="77777777" w:rsidR="001B5DEE" w:rsidRDefault="001B5DEE" w:rsidP="00890BB4">
      <w:pPr>
        <w:pStyle w:val="mpcNormal"/>
        <w:keepNext w:val="0"/>
      </w:pPr>
    </w:p>
    <w:p w14:paraId="4E951BE5" w14:textId="77777777" w:rsidR="00F101DD" w:rsidRDefault="00F101DD" w:rsidP="00890BB4">
      <w:pPr>
        <w:pStyle w:val="mpcNormal"/>
        <w:keepNext w:val="0"/>
      </w:pPr>
      <w:r>
        <w:t>In terms of the distribution of HSRs, in New Zealand in 2018:</w:t>
      </w:r>
    </w:p>
    <w:p w14:paraId="495C09EA" w14:textId="77777777" w:rsidR="00F101DD" w:rsidRDefault="00F101DD">
      <w:pPr>
        <w:rPr>
          <w:rFonts w:cstheme="minorHAnsi"/>
          <w:sz w:val="22"/>
          <w:szCs w:val="22"/>
        </w:rPr>
      </w:pPr>
    </w:p>
    <w:p w14:paraId="6AF53B29" w14:textId="1082E4C5" w:rsidR="00F101DD" w:rsidRDefault="00F101DD" w:rsidP="007E0D2C">
      <w:pPr>
        <w:pStyle w:val="mpcbullets1"/>
      </w:pPr>
      <w:r w:rsidRPr="004A580D">
        <w:t xml:space="preserve">77% of products displaying the HSR have HSRs of 3.0 to 5.0. </w:t>
      </w:r>
    </w:p>
    <w:p w14:paraId="5CEB75F9" w14:textId="77777777" w:rsidR="00F101DD" w:rsidRDefault="00F101DD" w:rsidP="007E0D2C">
      <w:pPr>
        <w:pStyle w:val="mpcbullets1"/>
      </w:pPr>
      <w:r w:rsidRPr="004A580D">
        <w:t xml:space="preserve">the median star rating for products displaying the HSR was 3.5. </w:t>
      </w:r>
    </w:p>
    <w:p w14:paraId="5019C8D1" w14:textId="5AF1F0C1" w:rsidR="00F101DD" w:rsidRPr="00AD3A06" w:rsidRDefault="00F101DD" w:rsidP="00173A82">
      <w:pPr>
        <w:pStyle w:val="mpcbullets2"/>
      </w:pPr>
      <w:r w:rsidRPr="00AD3A06">
        <w:t>Compared to 2015, there have been small increases in proportions of products with</w:t>
      </w:r>
      <w:r w:rsidR="00E060E2">
        <w:t xml:space="preserve"> a</w:t>
      </w:r>
      <w:r w:rsidR="00890BB4">
        <w:t>n</w:t>
      </w:r>
      <w:r w:rsidR="00E060E2">
        <w:t xml:space="preserve"> HSR of between</w:t>
      </w:r>
      <w:r w:rsidRPr="00AD3A06">
        <w:t xml:space="preserve"> 0.5 to 3.0 and a </w:t>
      </w:r>
      <w:r w:rsidR="001B5DEE">
        <w:t>corresponding</w:t>
      </w:r>
      <w:r w:rsidR="001B5DEE" w:rsidRPr="00AD3A06">
        <w:t xml:space="preserve"> </w:t>
      </w:r>
      <w:r w:rsidRPr="00AD3A06">
        <w:t xml:space="preserve">reduction in proportions with HSRs of 4.0 to 5.0. </w:t>
      </w:r>
    </w:p>
    <w:p w14:paraId="0839E155" w14:textId="77777777" w:rsidR="00F101DD" w:rsidRPr="004A580D" w:rsidRDefault="00F101DD" w:rsidP="005A3631">
      <w:pPr>
        <w:rPr>
          <w:rFonts w:cstheme="minorHAnsi"/>
          <w:sz w:val="22"/>
          <w:szCs w:val="22"/>
        </w:rPr>
      </w:pPr>
    </w:p>
    <w:p w14:paraId="587B618C" w14:textId="7D8D505B" w:rsidR="00000D21" w:rsidRPr="006B0997" w:rsidRDefault="00000D21" w:rsidP="006B0997">
      <w:pPr>
        <w:pStyle w:val="mpcNormal"/>
        <w:keepNext w:val="0"/>
      </w:pPr>
      <w:r w:rsidRPr="006B0997">
        <w:t xml:space="preserve">It is reasonable to </w:t>
      </w:r>
      <w:r w:rsidR="00962ED2" w:rsidRPr="006B0997">
        <w:t>expect that t</w:t>
      </w:r>
      <w:r w:rsidRPr="006B0997">
        <w:t>he results of NHF and MPI monitoring (described above) underestimate the current uptake of the HSR System</w:t>
      </w:r>
      <w:r w:rsidR="00F720A0">
        <w:t xml:space="preserve"> (given the formal monitoring data does not include the period from June 2018 to present)</w:t>
      </w:r>
      <w:r w:rsidRPr="006B0997">
        <w:t>.</w:t>
      </w:r>
    </w:p>
    <w:p w14:paraId="4B931194" w14:textId="64162ADD" w:rsidR="00000D21" w:rsidRPr="006B0997" w:rsidRDefault="00000D21" w:rsidP="006B0997">
      <w:pPr>
        <w:pStyle w:val="mpcNormal"/>
        <w:keepNext w:val="0"/>
      </w:pPr>
    </w:p>
    <w:p w14:paraId="64DFDB42" w14:textId="6C32674B" w:rsidR="00012345" w:rsidRPr="00535B46" w:rsidRDefault="00F51778" w:rsidP="007E0D2C">
      <w:pPr>
        <w:pStyle w:val="mpcbullets1"/>
      </w:pPr>
      <w:r w:rsidRPr="00535B46">
        <w:t>S</w:t>
      </w:r>
      <w:r w:rsidR="00012345" w:rsidRPr="00535B46">
        <w:t xml:space="preserve">ince the formal monitoring data was published, further monitoring of the HSR System undertaken by the NHF in Australia, shows </w:t>
      </w:r>
      <w:r w:rsidR="00535B46" w:rsidRPr="00535B46">
        <w:t>there has been an increase</w:t>
      </w:r>
      <w:r w:rsidR="00012345" w:rsidRPr="00535B46">
        <w:t xml:space="preserve"> in the number of products display</w:t>
      </w:r>
      <w:r w:rsidRPr="00535B46">
        <w:t xml:space="preserve">ing </w:t>
      </w:r>
      <w:r w:rsidR="00012345" w:rsidRPr="00535B46">
        <w:t xml:space="preserve">the HSR and </w:t>
      </w:r>
      <w:r w:rsidRPr="00535B46">
        <w:t xml:space="preserve">40 </w:t>
      </w:r>
      <w:r w:rsidR="00012345" w:rsidRPr="00535B46">
        <w:t>new manufacturers have joined the System.</w:t>
      </w:r>
    </w:p>
    <w:p w14:paraId="0B51E073" w14:textId="56CBD60F" w:rsidR="00953ED9" w:rsidRPr="006B0997" w:rsidRDefault="00962ED2" w:rsidP="007E0D2C">
      <w:pPr>
        <w:pStyle w:val="mpcbullets1"/>
      </w:pPr>
      <w:r w:rsidRPr="006B0997">
        <w:t>A number of large retailers in Australia and New Zealand have committed to display the HSR on 100% of the</w:t>
      </w:r>
      <w:r w:rsidR="006B0997" w:rsidRPr="006B0997">
        <w:t>ir</w:t>
      </w:r>
      <w:r w:rsidRPr="006B0997">
        <w:t xml:space="preserve"> products. These companies are </w:t>
      </w:r>
      <w:r w:rsidR="00953ED9" w:rsidRPr="006B0997">
        <w:t xml:space="preserve">well progressed towards reaching 100% coverage by 2020 at the latest. </w:t>
      </w:r>
      <w:r w:rsidR="00574DAF" w:rsidRPr="006B0997">
        <w:t>Further p</w:t>
      </w:r>
      <w:r w:rsidR="00953ED9" w:rsidRPr="006B0997">
        <w:t xml:space="preserve">rogress has been made towards this target </w:t>
      </w:r>
      <w:r w:rsidR="00574DAF" w:rsidRPr="006B0997">
        <w:t xml:space="preserve">in the last six months, </w:t>
      </w:r>
      <w:r w:rsidR="00953ED9" w:rsidRPr="006B0997">
        <w:t>which has not been included in the formal uptake monitoring.</w:t>
      </w:r>
    </w:p>
    <w:p w14:paraId="6C0F3E8E" w14:textId="11E7BE2D" w:rsidR="00000D21" w:rsidRPr="006B0997" w:rsidRDefault="00962ED2" w:rsidP="007E0D2C">
      <w:pPr>
        <w:pStyle w:val="mpcbullets1"/>
      </w:pPr>
      <w:r w:rsidRPr="006B0997">
        <w:t>The New Zealand Food and Grocery Council (NZFGC) has reported that over 4,700 products are currently displaying the HSR</w:t>
      </w:r>
      <w:r w:rsidR="00E060E2" w:rsidRPr="006B0997">
        <w:t xml:space="preserve"> in New Zealand</w:t>
      </w:r>
      <w:r w:rsidRPr="006B0997">
        <w:t xml:space="preserve">. </w:t>
      </w:r>
      <w:r w:rsidR="00E060E2" w:rsidRPr="006B0997">
        <w:t>Again, t</w:t>
      </w:r>
      <w:r w:rsidRPr="006B0997">
        <w:t xml:space="preserve">his number is likely underestimated, as it reflects only the products of </w:t>
      </w:r>
      <w:r w:rsidR="006B1529" w:rsidRPr="006B0997">
        <w:t xml:space="preserve">those </w:t>
      </w:r>
      <w:r w:rsidRPr="006B0997">
        <w:t>manufacturers that are NZFGC members.</w:t>
      </w:r>
    </w:p>
    <w:p w14:paraId="479863F9" w14:textId="77777777" w:rsidR="00F101DD" w:rsidRPr="004A580D" w:rsidRDefault="00F101DD" w:rsidP="006B0997">
      <w:pPr>
        <w:pStyle w:val="mpcNormal"/>
        <w:keepNext w:val="0"/>
        <w:rPr>
          <w:vertAlign w:val="superscript"/>
        </w:rPr>
      </w:pPr>
    </w:p>
    <w:p w14:paraId="3C403321" w14:textId="1D272B3B" w:rsidR="00F101DD" w:rsidRDefault="00F101DD" w:rsidP="00890BB4">
      <w:pPr>
        <w:pStyle w:val="mpcNormal"/>
        <w:keepNext w:val="0"/>
      </w:pPr>
      <w:r>
        <w:t>Overall</w:t>
      </w:r>
      <w:r w:rsidR="000D5F6E">
        <w:t>,</w:t>
      </w:r>
      <w:r>
        <w:t xml:space="preserve"> the Review considers that uptake of the HSR is promising but more needs to be done to </w:t>
      </w:r>
      <w:r w:rsidR="001B5DEE">
        <w:t xml:space="preserve">optimise </w:t>
      </w:r>
      <w:r>
        <w:t>uptake and set clear expectations regarding uptake targets. This is discussed in Chapter 7.</w:t>
      </w:r>
    </w:p>
    <w:p w14:paraId="05F65381" w14:textId="77777777" w:rsidR="00F101DD" w:rsidRPr="004A580D" w:rsidRDefault="00F101DD" w:rsidP="006B0997">
      <w:pPr>
        <w:pStyle w:val="mpcNormal"/>
        <w:keepNext w:val="0"/>
      </w:pPr>
    </w:p>
    <w:p w14:paraId="55EE3F86" w14:textId="35DBAA06" w:rsidR="00F101DD" w:rsidRPr="004A580D" w:rsidRDefault="00F101DD" w:rsidP="005A162A">
      <w:pPr>
        <w:pStyle w:val="mpcheading3"/>
      </w:pPr>
      <w:r w:rsidRPr="004A580D">
        <w:t>Compliance with HSR System guidance</w:t>
      </w:r>
    </w:p>
    <w:p w14:paraId="3007D258" w14:textId="77777777" w:rsidR="00F101DD" w:rsidRDefault="00F101DD" w:rsidP="005A3631">
      <w:pPr>
        <w:rPr>
          <w:rFonts w:cstheme="minorHAnsi"/>
          <w:sz w:val="22"/>
          <w:szCs w:val="22"/>
        </w:rPr>
      </w:pPr>
    </w:p>
    <w:p w14:paraId="371D4B91" w14:textId="77777777" w:rsidR="00F101DD" w:rsidRPr="004A580D" w:rsidRDefault="00F101DD">
      <w:pPr>
        <w:rPr>
          <w:rFonts w:cstheme="minorHAnsi"/>
          <w:sz w:val="22"/>
          <w:szCs w:val="22"/>
        </w:rPr>
      </w:pPr>
      <w:r>
        <w:rPr>
          <w:rFonts w:cstheme="minorHAnsi"/>
          <w:sz w:val="22"/>
          <w:szCs w:val="22"/>
        </w:rPr>
        <w:t>In Australia in 2018, t</w:t>
      </w:r>
      <w:r w:rsidRPr="004A580D">
        <w:rPr>
          <w:rFonts w:cstheme="minorHAnsi"/>
          <w:sz w:val="22"/>
          <w:szCs w:val="22"/>
        </w:rPr>
        <w:t xml:space="preserve">he NHF assessed </w:t>
      </w:r>
      <w:r>
        <w:rPr>
          <w:rFonts w:cstheme="minorHAnsi"/>
          <w:sz w:val="22"/>
          <w:szCs w:val="22"/>
        </w:rPr>
        <w:t>500 labels</w:t>
      </w:r>
      <w:r w:rsidRPr="004A580D">
        <w:rPr>
          <w:rFonts w:cstheme="minorHAnsi"/>
          <w:sz w:val="22"/>
          <w:szCs w:val="22"/>
        </w:rPr>
        <w:t xml:space="preserve"> for design or technical variations using the HSR Style Guide assessment checklist. Design or technical variations occur when the system graphic or content is not exactly as described in the</w:t>
      </w:r>
      <w:r>
        <w:rPr>
          <w:rFonts w:cstheme="minorHAnsi"/>
          <w:sz w:val="22"/>
          <w:szCs w:val="22"/>
        </w:rPr>
        <w:t xml:space="preserve"> HSR</w:t>
      </w:r>
      <w:r w:rsidRPr="004A580D">
        <w:rPr>
          <w:rFonts w:cstheme="minorHAnsi"/>
          <w:sz w:val="22"/>
          <w:szCs w:val="22"/>
        </w:rPr>
        <w:t xml:space="preserve"> Style Guide.</w:t>
      </w:r>
    </w:p>
    <w:p w14:paraId="79E8CC18" w14:textId="77777777" w:rsidR="00F101DD" w:rsidRPr="004A580D" w:rsidRDefault="00F101DD">
      <w:pPr>
        <w:rPr>
          <w:rFonts w:cstheme="minorHAnsi"/>
          <w:sz w:val="22"/>
          <w:szCs w:val="22"/>
        </w:rPr>
      </w:pPr>
    </w:p>
    <w:p w14:paraId="72EAAD6D" w14:textId="1A76F7D7" w:rsidR="00F101DD" w:rsidRPr="006B0997" w:rsidRDefault="00F101DD">
      <w:pPr>
        <w:rPr>
          <w:rFonts w:cstheme="minorHAnsi"/>
          <w:sz w:val="22"/>
          <w:szCs w:val="22"/>
        </w:rPr>
      </w:pPr>
      <w:r w:rsidRPr="004A580D">
        <w:rPr>
          <w:rFonts w:cstheme="minorHAnsi"/>
          <w:sz w:val="22"/>
          <w:szCs w:val="22"/>
        </w:rPr>
        <w:t>While compliance with the Style Guide has improved from 9</w:t>
      </w:r>
      <w:r w:rsidR="00953ED9">
        <w:rPr>
          <w:rFonts w:cstheme="minorHAnsi"/>
          <w:sz w:val="22"/>
          <w:szCs w:val="22"/>
        </w:rPr>
        <w:t>3</w:t>
      </w:r>
      <w:r w:rsidRPr="004A580D">
        <w:rPr>
          <w:rFonts w:cstheme="minorHAnsi"/>
          <w:sz w:val="22"/>
          <w:szCs w:val="22"/>
        </w:rPr>
        <w:t>% to 9</w:t>
      </w:r>
      <w:r w:rsidR="00953ED9">
        <w:rPr>
          <w:rFonts w:cstheme="minorHAnsi"/>
          <w:sz w:val="22"/>
          <w:szCs w:val="22"/>
        </w:rPr>
        <w:t>6</w:t>
      </w:r>
      <w:r w:rsidRPr="004A580D">
        <w:rPr>
          <w:rFonts w:cstheme="minorHAnsi"/>
          <w:sz w:val="22"/>
          <w:szCs w:val="22"/>
        </w:rPr>
        <w:t xml:space="preserve">% since </w:t>
      </w:r>
      <w:r>
        <w:rPr>
          <w:rFonts w:cstheme="minorHAnsi"/>
          <w:sz w:val="22"/>
          <w:szCs w:val="22"/>
        </w:rPr>
        <w:t>2014</w:t>
      </w:r>
      <w:r w:rsidRPr="004A580D">
        <w:rPr>
          <w:rFonts w:cstheme="minorHAnsi"/>
          <w:sz w:val="22"/>
          <w:szCs w:val="22"/>
        </w:rPr>
        <w:t xml:space="preserve">, the Review was keen to examine the nature of the non-compliance, and the reasons for the non-compliance. </w:t>
      </w:r>
      <w:r w:rsidR="00574DAF">
        <w:rPr>
          <w:rFonts w:cstheme="minorHAnsi"/>
          <w:sz w:val="22"/>
          <w:szCs w:val="22"/>
        </w:rPr>
        <w:t>In</w:t>
      </w:r>
      <w:r w:rsidR="00574DAF" w:rsidRPr="004A580D">
        <w:rPr>
          <w:rFonts w:cstheme="minorHAnsi"/>
          <w:sz w:val="22"/>
          <w:szCs w:val="22"/>
        </w:rPr>
        <w:t xml:space="preserve"> </w:t>
      </w:r>
      <w:r w:rsidRPr="004A580D">
        <w:rPr>
          <w:rFonts w:cstheme="minorHAnsi"/>
          <w:sz w:val="22"/>
          <w:szCs w:val="22"/>
        </w:rPr>
        <w:t xml:space="preserve">the 4% </w:t>
      </w:r>
      <w:r w:rsidR="00574DAF">
        <w:rPr>
          <w:rFonts w:cstheme="minorHAnsi"/>
          <w:sz w:val="22"/>
          <w:szCs w:val="22"/>
        </w:rPr>
        <w:t xml:space="preserve">of </w:t>
      </w:r>
      <w:r>
        <w:rPr>
          <w:rFonts w:cstheme="minorHAnsi"/>
          <w:sz w:val="22"/>
          <w:szCs w:val="22"/>
        </w:rPr>
        <w:t xml:space="preserve">instances </w:t>
      </w:r>
      <w:r w:rsidR="00574DAF">
        <w:rPr>
          <w:rFonts w:cstheme="minorHAnsi"/>
          <w:sz w:val="22"/>
          <w:szCs w:val="22"/>
        </w:rPr>
        <w:t xml:space="preserve">where </w:t>
      </w:r>
      <w:r w:rsidRPr="004A580D">
        <w:rPr>
          <w:rFonts w:cstheme="minorHAnsi"/>
          <w:sz w:val="22"/>
          <w:szCs w:val="22"/>
        </w:rPr>
        <w:t>non-</w:t>
      </w:r>
      <w:r w:rsidRPr="006B0997">
        <w:rPr>
          <w:rFonts w:cstheme="minorHAnsi"/>
          <w:sz w:val="22"/>
          <w:szCs w:val="22"/>
        </w:rPr>
        <w:t>compliance</w:t>
      </w:r>
      <w:r w:rsidR="00574DAF" w:rsidRPr="006B0997">
        <w:rPr>
          <w:rFonts w:cstheme="minorHAnsi"/>
          <w:sz w:val="22"/>
          <w:szCs w:val="22"/>
        </w:rPr>
        <w:t xml:space="preserve"> was identified</w:t>
      </w:r>
      <w:r w:rsidRPr="006B0997">
        <w:rPr>
          <w:rFonts w:cstheme="minorHAnsi"/>
          <w:sz w:val="22"/>
          <w:szCs w:val="22"/>
        </w:rPr>
        <w:t>, the areas of deviation from the Style Guide were:</w:t>
      </w:r>
    </w:p>
    <w:p w14:paraId="300C206A" w14:textId="77777777" w:rsidR="00F101DD" w:rsidRPr="006B0997" w:rsidRDefault="00F101DD">
      <w:pPr>
        <w:rPr>
          <w:rFonts w:cstheme="minorHAnsi"/>
          <w:sz w:val="22"/>
          <w:szCs w:val="22"/>
        </w:rPr>
      </w:pPr>
    </w:p>
    <w:p w14:paraId="3D85A459" w14:textId="566C86E6" w:rsidR="0057780D" w:rsidRPr="006B0997" w:rsidRDefault="0057780D" w:rsidP="007E0D2C">
      <w:pPr>
        <w:pStyle w:val="mpcbullets1"/>
        <w:rPr>
          <w:lang w:bidi="ar-DZ"/>
        </w:rPr>
      </w:pPr>
      <w:r w:rsidRPr="006B0997">
        <w:t xml:space="preserve">design variations – </w:t>
      </w:r>
      <w:r w:rsidR="006B0997" w:rsidRPr="006B0997">
        <w:t xml:space="preserve">while these are not in line with the Style Guide, </w:t>
      </w:r>
      <w:r w:rsidR="006B0997" w:rsidRPr="006B0997">
        <w:rPr>
          <w:lang w:bidi="ar-DZ"/>
        </w:rPr>
        <w:t>these do</w:t>
      </w:r>
      <w:r w:rsidR="00F720A0">
        <w:rPr>
          <w:lang w:bidi="ar-DZ"/>
        </w:rPr>
        <w:t xml:space="preserve"> not</w:t>
      </w:r>
      <w:r w:rsidR="006B0997" w:rsidRPr="006B0997">
        <w:rPr>
          <w:lang w:bidi="ar-DZ"/>
        </w:rPr>
        <w:t xml:space="preserve"> change the meaning or content of the HSR graphic and are unlikely to mislead consumers</w:t>
      </w:r>
      <w:r w:rsidR="000D0FB9">
        <w:rPr>
          <w:lang w:bidi="ar-DZ"/>
        </w:rPr>
        <w:t>. These variations</w:t>
      </w:r>
      <w:r w:rsidRPr="006B0997">
        <w:rPr>
          <w:lang w:bidi="ar-DZ"/>
        </w:rPr>
        <w:t xml:space="preserve"> include:</w:t>
      </w:r>
    </w:p>
    <w:p w14:paraId="5A1751CD" w14:textId="04AFEE92" w:rsidR="0057780D" w:rsidRPr="006B0997" w:rsidRDefault="0057780D" w:rsidP="00173A82">
      <w:pPr>
        <w:pStyle w:val="mpcbullets2"/>
      </w:pPr>
      <w:r w:rsidRPr="006B0997">
        <w:t>displaying a second HSR graphic on the back of the packaging (34% of the design variations in 2018)</w:t>
      </w:r>
    </w:p>
    <w:p w14:paraId="4A273E7C" w14:textId="77777777" w:rsidR="0057780D" w:rsidRPr="006B0997" w:rsidRDefault="0057780D" w:rsidP="00173A82">
      <w:pPr>
        <w:pStyle w:val="mpcbullets2"/>
      </w:pPr>
      <w:r w:rsidRPr="006B0997">
        <w:t>rounding of nutrient values to the incorrect decimal place (27%)</w:t>
      </w:r>
    </w:p>
    <w:p w14:paraId="5C44590C" w14:textId="57B95A34" w:rsidR="00F101DD" w:rsidRPr="006B0997" w:rsidRDefault="00F101DD" w:rsidP="00173A82">
      <w:pPr>
        <w:pStyle w:val="mpcbullets2"/>
      </w:pPr>
      <w:r w:rsidRPr="006B0997">
        <w:t xml:space="preserve">including </w:t>
      </w:r>
      <w:r w:rsidR="00BC2240" w:rsidRPr="006B0997">
        <w:t xml:space="preserve">multiple </w:t>
      </w:r>
      <w:r w:rsidR="0057780D" w:rsidRPr="006B0997">
        <w:t>HSR graphic</w:t>
      </w:r>
      <w:r w:rsidR="001016F4" w:rsidRPr="006B0997">
        <w:t xml:space="preserve"> option</w:t>
      </w:r>
      <w:r w:rsidR="0057780D" w:rsidRPr="006B0997">
        <w:t>s</w:t>
      </w:r>
      <w:r w:rsidR="00BC2240" w:rsidRPr="006B0997">
        <w:t xml:space="preserve"> on the front of pack</w:t>
      </w:r>
      <w:r w:rsidR="001016F4" w:rsidRPr="006B0997">
        <w:t xml:space="preserve"> – </w:t>
      </w:r>
      <w:r w:rsidR="0057780D" w:rsidRPr="006B0997">
        <w:t>usually</w:t>
      </w:r>
      <w:r w:rsidR="001016F4" w:rsidRPr="006B0997">
        <w:t xml:space="preserve"> </w:t>
      </w:r>
      <w:r w:rsidR="00BC2240" w:rsidRPr="006B0997">
        <w:t xml:space="preserve">the </w:t>
      </w:r>
      <w:r w:rsidRPr="006B0997">
        <w:t xml:space="preserve">stars </w:t>
      </w:r>
      <w:r w:rsidR="00BC2240" w:rsidRPr="006B0997">
        <w:t xml:space="preserve">accompanied by </w:t>
      </w:r>
      <w:r w:rsidR="001016F4" w:rsidRPr="006B0997">
        <w:t xml:space="preserve">a separate </w:t>
      </w:r>
      <w:r w:rsidRPr="006B0997">
        <w:t>energy icon on the front of pack (</w:t>
      </w:r>
      <w:r w:rsidR="0057780D" w:rsidRPr="006B0997">
        <w:t>17%</w:t>
      </w:r>
      <w:r w:rsidRPr="006B0997">
        <w:t>)</w:t>
      </w:r>
    </w:p>
    <w:p w14:paraId="58CACAD3" w14:textId="4136376F" w:rsidR="0057780D" w:rsidRPr="006B0997" w:rsidRDefault="0057780D" w:rsidP="007E0D2C">
      <w:pPr>
        <w:pStyle w:val="mpcbullets1"/>
      </w:pPr>
      <w:r w:rsidRPr="006B0997">
        <w:t xml:space="preserve">technical variations – which </w:t>
      </w:r>
      <w:r w:rsidRPr="006B0997">
        <w:rPr>
          <w:lang w:bidi="ar-DZ"/>
        </w:rPr>
        <w:t>can change the meaning or content of the HSR graphic</w:t>
      </w:r>
      <w:r w:rsidR="000D0FB9">
        <w:rPr>
          <w:lang w:bidi="ar-DZ"/>
        </w:rPr>
        <w:t>.</w:t>
      </w:r>
    </w:p>
    <w:p w14:paraId="78345623" w14:textId="6A6B786E" w:rsidR="00F101DD" w:rsidRPr="006B0997" w:rsidRDefault="008F2B91" w:rsidP="00173A82">
      <w:pPr>
        <w:pStyle w:val="mpcbullets2"/>
      </w:pPr>
      <w:r>
        <w:t xml:space="preserve">The most common technical variation was products </w:t>
      </w:r>
      <w:r w:rsidR="0057780D" w:rsidRPr="006B0997">
        <w:t xml:space="preserve">displaying </w:t>
      </w:r>
      <w:r w:rsidR="00F101DD" w:rsidRPr="006B0997">
        <w:t xml:space="preserve">the incorrect Nominated Reference Measure (NRM). This was an error specific to non-dairy beverages and confectionery products, where </w:t>
      </w:r>
      <w:r w:rsidR="000D5F6E" w:rsidRPr="006B0997">
        <w:t>the Style Guide</w:t>
      </w:r>
      <w:r w:rsidR="00F101DD" w:rsidRPr="006B0997">
        <w:t xml:space="preserve"> allows the use of industry</w:t>
      </w:r>
      <w:r w:rsidR="00A57C12" w:rsidRPr="006B0997">
        <w:t>-</w:t>
      </w:r>
      <w:r w:rsidR="00F101DD" w:rsidRPr="006B0997">
        <w:t>agreed standardised serve sizes to inform the energy icon. This highlights an area of confusion for both industry and consumers</w:t>
      </w:r>
      <w:r w:rsidR="0057780D" w:rsidRPr="006B0997">
        <w:t>, as</w:t>
      </w:r>
      <w:r w:rsidR="00F101DD" w:rsidRPr="006B0997">
        <w:t xml:space="preserve"> detailed later in this Chapter</w:t>
      </w:r>
      <w:r w:rsidR="0057780D" w:rsidRPr="006B0997">
        <w:t>.</w:t>
      </w:r>
    </w:p>
    <w:p w14:paraId="0AD97F18" w14:textId="77777777" w:rsidR="00F101DD" w:rsidRPr="004A580D" w:rsidRDefault="00F101DD" w:rsidP="005A3631">
      <w:pPr>
        <w:rPr>
          <w:rFonts w:cstheme="minorHAnsi"/>
          <w:sz w:val="22"/>
          <w:szCs w:val="22"/>
        </w:rPr>
      </w:pPr>
    </w:p>
    <w:p w14:paraId="54ED714B" w14:textId="486BEA41" w:rsidR="00F101DD" w:rsidRPr="004A580D" w:rsidRDefault="00F101DD">
      <w:pPr>
        <w:rPr>
          <w:rFonts w:cstheme="minorHAnsi"/>
          <w:sz w:val="22"/>
          <w:szCs w:val="22"/>
        </w:rPr>
      </w:pPr>
      <w:r>
        <w:rPr>
          <w:rFonts w:cstheme="minorHAnsi"/>
          <w:sz w:val="22"/>
          <w:szCs w:val="22"/>
        </w:rPr>
        <w:t>Similarly</w:t>
      </w:r>
      <w:r w:rsidR="000D5F6E">
        <w:rPr>
          <w:rFonts w:cstheme="minorHAnsi"/>
          <w:sz w:val="22"/>
          <w:szCs w:val="22"/>
        </w:rPr>
        <w:t>,</w:t>
      </w:r>
      <w:r>
        <w:rPr>
          <w:rFonts w:cstheme="minorHAnsi"/>
          <w:sz w:val="22"/>
          <w:szCs w:val="22"/>
        </w:rPr>
        <w:t xml:space="preserve"> in</w:t>
      </w:r>
      <w:r w:rsidRPr="004A580D">
        <w:rPr>
          <w:rFonts w:cstheme="minorHAnsi"/>
          <w:sz w:val="22"/>
          <w:szCs w:val="22"/>
        </w:rPr>
        <w:t xml:space="preserve"> New Zealand, very few inconsistencies were identified between the HSR displayed and the Style Guide. The most common area of design variation was related to the legibility and general visibility of the HSR graphic on the pack</w:t>
      </w:r>
      <w:r>
        <w:rPr>
          <w:rFonts w:cstheme="minorHAnsi"/>
          <w:sz w:val="22"/>
          <w:szCs w:val="22"/>
        </w:rPr>
        <w:t xml:space="preserve"> (4% of products sampled)</w:t>
      </w:r>
      <w:r w:rsidRPr="004A580D">
        <w:rPr>
          <w:rFonts w:cstheme="minorHAnsi"/>
          <w:sz w:val="22"/>
          <w:szCs w:val="22"/>
        </w:rPr>
        <w:t xml:space="preserve">. </w:t>
      </w:r>
      <w:r>
        <w:rPr>
          <w:rFonts w:cstheme="minorHAnsi"/>
          <w:sz w:val="22"/>
          <w:szCs w:val="22"/>
        </w:rPr>
        <w:t>The main source of technical variation was the use of incorrect NRM</w:t>
      </w:r>
      <w:r w:rsidR="00A57C12">
        <w:rPr>
          <w:rFonts w:cstheme="minorHAnsi"/>
          <w:sz w:val="22"/>
          <w:szCs w:val="22"/>
        </w:rPr>
        <w:t>s</w:t>
      </w:r>
      <w:r>
        <w:rPr>
          <w:rFonts w:cstheme="minorHAnsi"/>
          <w:sz w:val="22"/>
          <w:szCs w:val="22"/>
        </w:rPr>
        <w:t xml:space="preserve">, particularly in relation to </w:t>
      </w:r>
      <w:r w:rsidRPr="00E37AA3">
        <w:rPr>
          <w:rFonts w:cstheme="minorHAnsi"/>
          <w:sz w:val="22"/>
          <w:szCs w:val="22"/>
        </w:rPr>
        <w:t>non-</w:t>
      </w:r>
      <w:r w:rsidR="00411BCB">
        <w:rPr>
          <w:rFonts w:cstheme="minorHAnsi"/>
          <w:sz w:val="22"/>
          <w:szCs w:val="22"/>
        </w:rPr>
        <w:t>alcoholic</w:t>
      </w:r>
      <w:r w:rsidR="00411BCB" w:rsidRPr="00E37AA3">
        <w:rPr>
          <w:rFonts w:cstheme="minorHAnsi"/>
          <w:sz w:val="22"/>
          <w:szCs w:val="22"/>
        </w:rPr>
        <w:t xml:space="preserve"> </w:t>
      </w:r>
      <w:r w:rsidRPr="00E37AA3">
        <w:rPr>
          <w:rFonts w:cstheme="minorHAnsi"/>
          <w:sz w:val="22"/>
          <w:szCs w:val="22"/>
        </w:rPr>
        <w:t>beverages and confection</w:t>
      </w:r>
      <w:r>
        <w:rPr>
          <w:rFonts w:cstheme="minorHAnsi"/>
          <w:sz w:val="22"/>
          <w:szCs w:val="22"/>
        </w:rPr>
        <w:t>e</w:t>
      </w:r>
      <w:r w:rsidRPr="00E37AA3">
        <w:rPr>
          <w:rFonts w:cstheme="minorHAnsi"/>
          <w:sz w:val="22"/>
          <w:szCs w:val="22"/>
        </w:rPr>
        <w:t>ry products</w:t>
      </w:r>
      <w:r>
        <w:rPr>
          <w:rFonts w:cstheme="minorHAnsi"/>
          <w:sz w:val="22"/>
          <w:szCs w:val="22"/>
        </w:rPr>
        <w:t>.</w:t>
      </w:r>
    </w:p>
    <w:p w14:paraId="34201F37" w14:textId="77777777" w:rsidR="00F101DD" w:rsidRPr="004A580D" w:rsidRDefault="00F101DD">
      <w:pPr>
        <w:rPr>
          <w:rFonts w:cstheme="minorHAnsi"/>
          <w:sz w:val="22"/>
          <w:szCs w:val="22"/>
        </w:rPr>
      </w:pPr>
    </w:p>
    <w:p w14:paraId="4F5A5A12" w14:textId="4689EB3B" w:rsidR="00F101DD" w:rsidRPr="004A580D" w:rsidRDefault="00F101DD">
      <w:pPr>
        <w:rPr>
          <w:rFonts w:cstheme="minorHAnsi"/>
          <w:sz w:val="22"/>
          <w:szCs w:val="22"/>
        </w:rPr>
      </w:pPr>
      <w:r w:rsidRPr="004A580D">
        <w:rPr>
          <w:rFonts w:cstheme="minorHAnsi"/>
          <w:sz w:val="22"/>
          <w:szCs w:val="22"/>
        </w:rPr>
        <w:t>As discussed in Chapter 7</w:t>
      </w:r>
      <w:r>
        <w:rPr>
          <w:rFonts w:cstheme="minorHAnsi"/>
          <w:sz w:val="22"/>
          <w:szCs w:val="22"/>
        </w:rPr>
        <w:t>,</w:t>
      </w:r>
      <w:r w:rsidRPr="004A580D">
        <w:rPr>
          <w:rFonts w:cstheme="minorHAnsi"/>
          <w:sz w:val="22"/>
          <w:szCs w:val="22"/>
        </w:rPr>
        <w:t xml:space="preserve"> it is </w:t>
      </w:r>
      <w:r>
        <w:rPr>
          <w:rFonts w:cstheme="minorHAnsi"/>
          <w:sz w:val="22"/>
          <w:szCs w:val="22"/>
        </w:rPr>
        <w:t>recommended</w:t>
      </w:r>
      <w:r w:rsidRPr="004A580D">
        <w:rPr>
          <w:rFonts w:cstheme="minorHAnsi"/>
          <w:sz w:val="22"/>
          <w:szCs w:val="22"/>
        </w:rPr>
        <w:t xml:space="preserve"> that the </w:t>
      </w:r>
      <w:r>
        <w:rPr>
          <w:rFonts w:cstheme="minorHAnsi"/>
          <w:sz w:val="22"/>
          <w:szCs w:val="22"/>
        </w:rPr>
        <w:t xml:space="preserve">Guide for Industry </w:t>
      </w:r>
      <w:r w:rsidRPr="004A580D">
        <w:rPr>
          <w:rFonts w:cstheme="minorHAnsi"/>
          <w:sz w:val="22"/>
          <w:szCs w:val="22"/>
        </w:rPr>
        <w:t xml:space="preserve">and </w:t>
      </w:r>
      <w:r w:rsidR="00F51778">
        <w:rPr>
          <w:rFonts w:cstheme="minorHAnsi"/>
          <w:sz w:val="22"/>
          <w:szCs w:val="22"/>
        </w:rPr>
        <w:t xml:space="preserve">the </w:t>
      </w:r>
      <w:r w:rsidRPr="004A580D">
        <w:rPr>
          <w:rFonts w:cstheme="minorHAnsi"/>
          <w:sz w:val="22"/>
          <w:szCs w:val="22"/>
        </w:rPr>
        <w:t xml:space="preserve">Style Guide be combined, revised and strengthened </w:t>
      </w:r>
      <w:r w:rsidR="00A57C12">
        <w:rPr>
          <w:rFonts w:cstheme="minorHAnsi"/>
          <w:sz w:val="22"/>
          <w:szCs w:val="22"/>
        </w:rPr>
        <w:t xml:space="preserve">to </w:t>
      </w:r>
      <w:r w:rsidRPr="004A580D">
        <w:rPr>
          <w:rFonts w:cstheme="minorHAnsi"/>
          <w:sz w:val="22"/>
          <w:szCs w:val="22"/>
        </w:rPr>
        <w:t>provid</w:t>
      </w:r>
      <w:r w:rsidR="00A57C12">
        <w:rPr>
          <w:rFonts w:cstheme="minorHAnsi"/>
          <w:sz w:val="22"/>
          <w:szCs w:val="22"/>
        </w:rPr>
        <w:t>e</w:t>
      </w:r>
      <w:r w:rsidRPr="004A580D">
        <w:rPr>
          <w:rFonts w:cstheme="minorHAnsi"/>
          <w:sz w:val="22"/>
          <w:szCs w:val="22"/>
        </w:rPr>
        <w:t xml:space="preserve"> greater clarity and certainty for industry regarding HSR System expectations.</w:t>
      </w:r>
    </w:p>
    <w:p w14:paraId="583E3D41" w14:textId="77777777" w:rsidR="00F101DD" w:rsidRDefault="00F101DD">
      <w:pPr>
        <w:rPr>
          <w:rFonts w:cstheme="minorHAnsi"/>
          <w:sz w:val="22"/>
          <w:szCs w:val="22"/>
        </w:rPr>
      </w:pPr>
    </w:p>
    <w:p w14:paraId="66C0C2D9" w14:textId="77777777" w:rsidR="00F101DD" w:rsidRPr="003873E6" w:rsidRDefault="00F101DD" w:rsidP="005A162A">
      <w:pPr>
        <w:pStyle w:val="mpcheading3"/>
      </w:pPr>
      <w:r w:rsidRPr="003873E6">
        <w:t xml:space="preserve">Compliance with the HSR Calculator </w:t>
      </w:r>
    </w:p>
    <w:p w14:paraId="0BFFEFAD" w14:textId="77777777" w:rsidR="00F101DD" w:rsidRDefault="00F101DD">
      <w:pPr>
        <w:rPr>
          <w:rFonts w:cstheme="minorHAnsi"/>
          <w:sz w:val="22"/>
          <w:szCs w:val="22"/>
        </w:rPr>
      </w:pPr>
    </w:p>
    <w:p w14:paraId="749A8873" w14:textId="0F1A15AD" w:rsidR="00F101DD" w:rsidRDefault="00F101DD">
      <w:pPr>
        <w:rPr>
          <w:rFonts w:cstheme="minorHAnsi"/>
          <w:sz w:val="22"/>
          <w:szCs w:val="22"/>
        </w:rPr>
      </w:pPr>
      <w:r>
        <w:rPr>
          <w:rFonts w:cstheme="minorHAnsi"/>
          <w:sz w:val="22"/>
          <w:szCs w:val="22"/>
        </w:rPr>
        <w:t xml:space="preserve">In Australia, the NHF independently verified the HSR on a sample of 500 products to assess whether manufacturers were correctly calculating the HSR (such verification did not occur in New Zealand). </w:t>
      </w:r>
      <w:r w:rsidRPr="00283C20">
        <w:rPr>
          <w:rFonts w:cstheme="minorHAnsi"/>
          <w:sz w:val="22"/>
          <w:szCs w:val="22"/>
        </w:rPr>
        <w:t xml:space="preserve">10% </w:t>
      </w:r>
      <w:r>
        <w:rPr>
          <w:rFonts w:cstheme="minorHAnsi"/>
          <w:sz w:val="22"/>
          <w:szCs w:val="22"/>
        </w:rPr>
        <w:t xml:space="preserve">of </w:t>
      </w:r>
      <w:r w:rsidRPr="00283C20">
        <w:rPr>
          <w:rFonts w:cstheme="minorHAnsi"/>
          <w:sz w:val="22"/>
          <w:szCs w:val="22"/>
        </w:rPr>
        <w:t>products sampled in 2018 displayed the incorrect HSR, with 5% overstating it and 5% understating it.</w:t>
      </w:r>
    </w:p>
    <w:p w14:paraId="6771A45A" w14:textId="77777777" w:rsidR="00F101DD" w:rsidRDefault="00F101DD">
      <w:pPr>
        <w:rPr>
          <w:rFonts w:cstheme="minorHAnsi"/>
          <w:sz w:val="22"/>
          <w:szCs w:val="22"/>
        </w:rPr>
      </w:pPr>
    </w:p>
    <w:p w14:paraId="0DBB0536" w14:textId="77777777" w:rsidR="00F101DD" w:rsidRDefault="00F101DD" w:rsidP="00D82678">
      <w:pPr>
        <w:rPr>
          <w:rFonts w:cstheme="minorHAnsi"/>
          <w:sz w:val="22"/>
          <w:szCs w:val="22"/>
        </w:rPr>
      </w:pPr>
      <w:r w:rsidRPr="004026E4">
        <w:rPr>
          <w:rFonts w:cstheme="minorHAnsi"/>
          <w:sz w:val="22"/>
          <w:szCs w:val="22"/>
        </w:rPr>
        <w:t>The NHF acknowledged that</w:t>
      </w:r>
      <w:r>
        <w:rPr>
          <w:rFonts w:cstheme="minorHAnsi"/>
          <w:sz w:val="22"/>
          <w:szCs w:val="22"/>
        </w:rPr>
        <w:t>:</w:t>
      </w:r>
    </w:p>
    <w:p w14:paraId="5AC3AD66" w14:textId="77777777" w:rsidR="00F101DD" w:rsidRDefault="00F101DD" w:rsidP="00D82678">
      <w:pPr>
        <w:rPr>
          <w:rFonts w:cstheme="minorHAnsi"/>
          <w:sz w:val="22"/>
          <w:szCs w:val="22"/>
        </w:rPr>
      </w:pPr>
    </w:p>
    <w:p w14:paraId="1FE01885" w14:textId="7AC8C49D" w:rsidR="00F101DD" w:rsidRPr="004026E4" w:rsidRDefault="00F101DD" w:rsidP="00D82678">
      <w:pPr>
        <w:pStyle w:val="mpcbullets1"/>
        <w:keepNext w:val="0"/>
      </w:pPr>
      <w:r>
        <w:t>information</w:t>
      </w:r>
      <w:r w:rsidRPr="004026E4">
        <w:t xml:space="preserve"> used to calculate the HSR was drawn from FoodTrack</w:t>
      </w:r>
      <w:r>
        <w:t>,</w:t>
      </w:r>
      <w:r w:rsidRPr="004026E4">
        <w:t xml:space="preserve"> which </w:t>
      </w:r>
      <w:r>
        <w:t>uses</w:t>
      </w:r>
      <w:r w:rsidRPr="004026E4">
        <w:t xml:space="preserve"> information f</w:t>
      </w:r>
      <w:r>
        <w:t xml:space="preserve">rom </w:t>
      </w:r>
      <w:r w:rsidRPr="004026E4">
        <w:t>the NIP and ingredients label but doe</w:t>
      </w:r>
      <w:r>
        <w:t>s</w:t>
      </w:r>
      <w:r w:rsidRPr="004026E4">
        <w:t xml:space="preserve"> not include FVNL content and, in some case</w:t>
      </w:r>
      <w:r w:rsidR="000D0FB9">
        <w:t>s</w:t>
      </w:r>
      <w:r w:rsidRPr="004026E4">
        <w:t>, fibre content</w:t>
      </w:r>
    </w:p>
    <w:p w14:paraId="73196075" w14:textId="77777777" w:rsidR="00F101DD" w:rsidRPr="004026E4" w:rsidRDefault="00F101DD" w:rsidP="00D82678">
      <w:pPr>
        <w:pStyle w:val="mpcbullets1"/>
        <w:keepNext w:val="0"/>
      </w:pPr>
      <w:r>
        <w:t>m</w:t>
      </w:r>
      <w:r w:rsidRPr="004026E4">
        <w:t>issing o</w:t>
      </w:r>
      <w:r>
        <w:t>r incomplete</w:t>
      </w:r>
      <w:r w:rsidRPr="004026E4">
        <w:t xml:space="preserve"> information was imputed from other equivalent pr</w:t>
      </w:r>
      <w:r>
        <w:t>oducts,</w:t>
      </w:r>
      <w:r w:rsidRPr="004026E4">
        <w:t xml:space="preserve"> and d</w:t>
      </w:r>
      <w:r>
        <w:t xml:space="preserve">epending </w:t>
      </w:r>
      <w:r w:rsidRPr="004026E4">
        <w:t>on the information missing, different approaches were taken to its imputation</w:t>
      </w:r>
      <w:r>
        <w:t>.</w:t>
      </w:r>
    </w:p>
    <w:p w14:paraId="2F9666E9" w14:textId="77777777" w:rsidR="00F101DD" w:rsidRDefault="00F101DD" w:rsidP="00D82678">
      <w:pPr>
        <w:pStyle w:val="mpcNormal"/>
        <w:keepNext w:val="0"/>
      </w:pPr>
    </w:p>
    <w:p w14:paraId="37F6BC9B" w14:textId="647DCFBC" w:rsidR="00F101DD" w:rsidRPr="00D20DE0" w:rsidRDefault="00F101DD" w:rsidP="006B6015">
      <w:pPr>
        <w:pStyle w:val="mpcNormal"/>
        <w:keepNext w:val="0"/>
      </w:pPr>
      <w:r>
        <w:t>W</w:t>
      </w:r>
      <w:r w:rsidRPr="00D20DE0">
        <w:t>hile non-compliance appeared to increase over the four years</w:t>
      </w:r>
      <w:r w:rsidR="00701F22">
        <w:t xml:space="preserve"> from 2% in 2014 to 10% in 2018</w:t>
      </w:r>
      <w:r w:rsidRPr="00D20DE0">
        <w:t>, over the same period</w:t>
      </w:r>
      <w:r>
        <w:t xml:space="preserve"> </w:t>
      </w:r>
      <w:r w:rsidRPr="00D20DE0">
        <w:t xml:space="preserve">the proportion of products assessed with missing or incomplete information </w:t>
      </w:r>
      <w:r>
        <w:t xml:space="preserve">(such that the NHF had to estimate values used to calculate the HSR) </w:t>
      </w:r>
      <w:r w:rsidRPr="00D20DE0">
        <w:t>increased from 3% to 6</w:t>
      </w:r>
      <w:r w:rsidR="00411BCB">
        <w:t>2</w:t>
      </w:r>
      <w:r w:rsidRPr="00D20DE0">
        <w:t>%.</w:t>
      </w:r>
    </w:p>
    <w:p w14:paraId="0FAE567C" w14:textId="77777777" w:rsidR="00F101DD" w:rsidRDefault="00F101DD">
      <w:pPr>
        <w:rPr>
          <w:rFonts w:cstheme="minorHAnsi"/>
          <w:sz w:val="22"/>
          <w:szCs w:val="22"/>
        </w:rPr>
      </w:pPr>
    </w:p>
    <w:p w14:paraId="3D906230" w14:textId="2ABD8EA9" w:rsidR="00F101DD" w:rsidRDefault="00F101DD" w:rsidP="006B0997">
      <w:pPr>
        <w:rPr>
          <w:rFonts w:cstheme="minorHAnsi"/>
          <w:sz w:val="22"/>
          <w:szCs w:val="22"/>
        </w:rPr>
      </w:pPr>
      <w:r>
        <w:rPr>
          <w:rFonts w:cstheme="minorHAnsi"/>
          <w:sz w:val="22"/>
          <w:szCs w:val="22"/>
        </w:rPr>
        <w:t>The Review acknowledges that verification of HSRs based on estimated values could impact the veracity of the NHF’s findings.</w:t>
      </w:r>
      <w:r w:rsidR="00411BCB">
        <w:rPr>
          <w:rFonts w:cstheme="minorHAnsi"/>
          <w:sz w:val="22"/>
          <w:szCs w:val="22"/>
        </w:rPr>
        <w:t xml:space="preserve"> </w:t>
      </w:r>
    </w:p>
    <w:p w14:paraId="6713911E" w14:textId="77777777" w:rsidR="00F101DD" w:rsidRPr="00944DA4" w:rsidRDefault="00F101DD">
      <w:pPr>
        <w:rPr>
          <w:rFonts w:cstheme="minorHAnsi"/>
          <w:sz w:val="22"/>
        </w:rPr>
      </w:pPr>
    </w:p>
    <w:p w14:paraId="74B32940" w14:textId="77777777" w:rsidR="00F101DD" w:rsidRPr="00944DA4" w:rsidRDefault="00F101DD" w:rsidP="006B0997">
      <w:pPr>
        <w:pStyle w:val="mpcheading2"/>
        <w:spacing w:after="0"/>
        <w:rPr>
          <w:rFonts w:cstheme="minorHAnsi"/>
        </w:rPr>
      </w:pPr>
      <w:bookmarkStart w:id="71" w:name="Awareness"/>
      <w:bookmarkStart w:id="72" w:name="_Toc9955045"/>
      <w:bookmarkEnd w:id="71"/>
      <w:r w:rsidRPr="00944DA4">
        <w:rPr>
          <w:rFonts w:cstheme="minorHAnsi"/>
        </w:rPr>
        <w:t>Consumer awareness and ability to use the HSR System correctly</w:t>
      </w:r>
      <w:bookmarkEnd w:id="72"/>
    </w:p>
    <w:p w14:paraId="18427809" w14:textId="77777777" w:rsidR="00F101DD" w:rsidRPr="00944DA4" w:rsidRDefault="00F101DD" w:rsidP="006B0997">
      <w:pPr>
        <w:pStyle w:val="mpcNormal"/>
        <w:keepNext w:val="0"/>
      </w:pPr>
    </w:p>
    <w:p w14:paraId="4903A771" w14:textId="77777777" w:rsidR="00F101DD" w:rsidRPr="00944DA4" w:rsidRDefault="00F101DD" w:rsidP="005A162A">
      <w:pPr>
        <w:pStyle w:val="mpcheading3"/>
      </w:pPr>
      <w:r w:rsidRPr="00944DA4">
        <w:t>Awareness</w:t>
      </w:r>
      <w:r>
        <w:t>, trust and confidence</w:t>
      </w:r>
    </w:p>
    <w:p w14:paraId="2C3B8068" w14:textId="77777777" w:rsidR="00F101DD" w:rsidRDefault="00F101DD" w:rsidP="005A3631">
      <w:pPr>
        <w:rPr>
          <w:rFonts w:cstheme="minorHAnsi"/>
          <w:sz w:val="22"/>
          <w:szCs w:val="22"/>
        </w:rPr>
      </w:pPr>
    </w:p>
    <w:p w14:paraId="01B9CDE8" w14:textId="3348ED28" w:rsidR="00F101DD" w:rsidRDefault="00F101DD">
      <w:pPr>
        <w:rPr>
          <w:rFonts w:cstheme="minorHAnsi"/>
          <w:sz w:val="22"/>
          <w:szCs w:val="22"/>
        </w:rPr>
      </w:pPr>
      <w:r w:rsidRPr="00097409">
        <w:rPr>
          <w:rFonts w:cstheme="minorHAnsi"/>
          <w:sz w:val="22"/>
          <w:szCs w:val="22"/>
        </w:rPr>
        <w:t>Awareness</w:t>
      </w:r>
      <w:r w:rsidR="008F2B91">
        <w:rPr>
          <w:rFonts w:cstheme="minorHAnsi"/>
          <w:sz w:val="22"/>
          <w:szCs w:val="22"/>
        </w:rPr>
        <w:t>,</w:t>
      </w:r>
      <w:r w:rsidRPr="00097409">
        <w:rPr>
          <w:rFonts w:cstheme="minorHAnsi"/>
          <w:sz w:val="22"/>
          <w:szCs w:val="22"/>
        </w:rPr>
        <w:t xml:space="preserve"> trust and confidence in the HSR </w:t>
      </w:r>
      <w:r w:rsidR="00F720A0">
        <w:rPr>
          <w:rFonts w:cstheme="minorHAnsi"/>
          <w:sz w:val="22"/>
          <w:szCs w:val="22"/>
        </w:rPr>
        <w:t xml:space="preserve">System </w:t>
      </w:r>
      <w:r w:rsidRPr="00097409">
        <w:rPr>
          <w:rFonts w:cstheme="minorHAnsi"/>
          <w:sz w:val="22"/>
          <w:szCs w:val="22"/>
        </w:rPr>
        <w:t xml:space="preserve">are important predictors of </w:t>
      </w:r>
      <w:r w:rsidR="008F2B91">
        <w:rPr>
          <w:rFonts w:cstheme="minorHAnsi"/>
          <w:sz w:val="22"/>
          <w:szCs w:val="22"/>
        </w:rPr>
        <w:t xml:space="preserve">a consumer’s </w:t>
      </w:r>
      <w:r w:rsidRPr="00097409">
        <w:rPr>
          <w:rFonts w:cstheme="minorHAnsi"/>
          <w:sz w:val="22"/>
          <w:szCs w:val="22"/>
        </w:rPr>
        <w:t xml:space="preserve">likelihood to use the HSR </w:t>
      </w:r>
      <w:r w:rsidR="008F2B91">
        <w:rPr>
          <w:rFonts w:cstheme="minorHAnsi"/>
          <w:sz w:val="22"/>
          <w:szCs w:val="22"/>
        </w:rPr>
        <w:t xml:space="preserve">System </w:t>
      </w:r>
      <w:r w:rsidRPr="00097409">
        <w:rPr>
          <w:rFonts w:cstheme="minorHAnsi"/>
          <w:sz w:val="22"/>
          <w:szCs w:val="22"/>
        </w:rPr>
        <w:t>in the future</w:t>
      </w:r>
      <w:r>
        <w:rPr>
          <w:rFonts w:cstheme="minorHAnsi"/>
          <w:sz w:val="22"/>
          <w:szCs w:val="22"/>
        </w:rPr>
        <w:t>.</w:t>
      </w:r>
    </w:p>
    <w:p w14:paraId="501CF2A1" w14:textId="77777777" w:rsidR="00F101DD" w:rsidRDefault="00F101DD">
      <w:pPr>
        <w:rPr>
          <w:rFonts w:cstheme="minorHAnsi"/>
          <w:sz w:val="22"/>
          <w:szCs w:val="22"/>
        </w:rPr>
      </w:pPr>
    </w:p>
    <w:p w14:paraId="0194F0EC" w14:textId="77777777" w:rsidR="00F101DD" w:rsidRPr="00283C20" w:rsidRDefault="00F101DD">
      <w:pPr>
        <w:rPr>
          <w:rFonts w:cstheme="minorHAnsi"/>
          <w:sz w:val="22"/>
          <w:szCs w:val="22"/>
        </w:rPr>
      </w:pPr>
      <w:r w:rsidRPr="00944DA4">
        <w:rPr>
          <w:rFonts w:cstheme="minorHAnsi"/>
          <w:sz w:val="22"/>
          <w:szCs w:val="22"/>
        </w:rPr>
        <w:t>In both</w:t>
      </w:r>
      <w:r w:rsidRPr="00283C20">
        <w:rPr>
          <w:rFonts w:cstheme="minorHAnsi"/>
          <w:sz w:val="22"/>
          <w:szCs w:val="22"/>
        </w:rPr>
        <w:t xml:space="preserve"> Australia and New Zealand, prompted and unprompted awareness of the HSR System has significantly increased over the last few years:</w:t>
      </w:r>
    </w:p>
    <w:p w14:paraId="49EB3D77" w14:textId="77777777" w:rsidR="00F101DD" w:rsidRPr="00283C20" w:rsidRDefault="00F101DD">
      <w:pPr>
        <w:rPr>
          <w:rFonts w:cstheme="minorHAnsi"/>
          <w:sz w:val="22"/>
          <w:szCs w:val="22"/>
        </w:rPr>
      </w:pPr>
    </w:p>
    <w:p w14:paraId="3A38FB34" w14:textId="62C7E758" w:rsidR="00F101DD" w:rsidRPr="00283C20" w:rsidRDefault="00F101DD" w:rsidP="007E0D2C">
      <w:pPr>
        <w:pStyle w:val="mpcbullets1"/>
      </w:pPr>
      <w:r w:rsidRPr="00283C20">
        <w:t>prompted</w:t>
      </w:r>
      <w:r>
        <w:t>,</w:t>
      </w:r>
      <w:r w:rsidRPr="00283C20">
        <w:t xml:space="preserve"> 83% of Australian consumers and 76% of New Zealand consumers are aware of the HSR System</w:t>
      </w:r>
      <w:r w:rsidR="008F2B91">
        <w:t xml:space="preserve">. </w:t>
      </w:r>
      <w:r w:rsidRPr="00283C20">
        <w:t>This has increased from 5</w:t>
      </w:r>
      <w:r w:rsidR="001016F4">
        <w:t>7</w:t>
      </w:r>
      <w:r w:rsidRPr="00283C20">
        <w:t>% in Australia in 2016 and 38% in New Zealand in 2015</w:t>
      </w:r>
    </w:p>
    <w:p w14:paraId="3709D3BB" w14:textId="42234A6D" w:rsidR="00F101DD" w:rsidRPr="00283C20" w:rsidRDefault="00F101DD" w:rsidP="007E0D2C">
      <w:pPr>
        <w:pStyle w:val="mpcbullets1"/>
      </w:pPr>
      <w:r w:rsidRPr="00283C20">
        <w:t>unprompted, 20% of Australian consumers and 16% of New Zealand consumers recognise the HSR (increasing from as low as 3% in 2015 in New Zealand)</w:t>
      </w:r>
      <w:r>
        <w:t>.</w:t>
      </w:r>
    </w:p>
    <w:p w14:paraId="0F0C7E9C" w14:textId="77777777" w:rsidR="00F101DD" w:rsidRPr="0026397D" w:rsidRDefault="00F101DD" w:rsidP="00890BB4">
      <w:pPr>
        <w:pStyle w:val="mpcNormal"/>
        <w:keepNext w:val="0"/>
      </w:pPr>
    </w:p>
    <w:p w14:paraId="6D61D9B2" w14:textId="4A5A4717" w:rsidR="00F101DD" w:rsidRDefault="00F101DD" w:rsidP="00890BB4">
      <w:pPr>
        <w:pStyle w:val="mpcNormal"/>
        <w:keepNext w:val="0"/>
      </w:pPr>
      <w:r>
        <w:t xml:space="preserve">In Australia, trust and confidence in the HSR System has </w:t>
      </w:r>
      <w:r w:rsidR="008F2B91">
        <w:t>grown</w:t>
      </w:r>
      <w:r>
        <w:t xml:space="preserve"> over time:</w:t>
      </w:r>
    </w:p>
    <w:p w14:paraId="5DE97640" w14:textId="77777777" w:rsidR="00F101DD" w:rsidRDefault="00F101DD" w:rsidP="00890BB4">
      <w:pPr>
        <w:pStyle w:val="mpcNormal"/>
        <w:keepNext w:val="0"/>
      </w:pPr>
    </w:p>
    <w:p w14:paraId="606A675D" w14:textId="7BEE8EDF" w:rsidR="00F101DD" w:rsidRPr="004A580D" w:rsidRDefault="00F101DD" w:rsidP="007E0D2C">
      <w:pPr>
        <w:pStyle w:val="mpcbullets1"/>
      </w:pPr>
      <w:r>
        <w:t xml:space="preserve">trust has increased at 8% </w:t>
      </w:r>
      <w:r w:rsidR="000D5F6E">
        <w:t>per year</w:t>
      </w:r>
      <w:r>
        <w:t xml:space="preserve"> and there has been a </w:t>
      </w:r>
      <w:r w:rsidR="001016F4">
        <w:t>6</w:t>
      </w:r>
      <w:r>
        <w:t xml:space="preserve">% </w:t>
      </w:r>
      <w:r w:rsidR="000D5F6E">
        <w:t>per year</w:t>
      </w:r>
      <w:r>
        <w:t xml:space="preserve"> increase in </w:t>
      </w:r>
      <w:r w:rsidR="008F2B91">
        <w:t xml:space="preserve">the perceived </w:t>
      </w:r>
      <w:r>
        <w:t xml:space="preserve">credibility of the HSR </w:t>
      </w:r>
      <w:r w:rsidRPr="004A580D">
        <w:t xml:space="preserve">System. In 2018, almost </w:t>
      </w:r>
      <w:r w:rsidR="008F2B91">
        <w:t>60% of</w:t>
      </w:r>
      <w:r w:rsidRPr="004A580D">
        <w:t xml:space="preserve"> consumers trust</w:t>
      </w:r>
      <w:r w:rsidR="008F2B91">
        <w:t>ed</w:t>
      </w:r>
      <w:r w:rsidRPr="004A580D">
        <w:t xml:space="preserve"> the HSR System</w:t>
      </w:r>
    </w:p>
    <w:p w14:paraId="6D0C4D20" w14:textId="77777777" w:rsidR="00F101DD" w:rsidRPr="00F31C57" w:rsidRDefault="00F101DD" w:rsidP="007E0D2C">
      <w:pPr>
        <w:pStyle w:val="mpcbullets1"/>
      </w:pPr>
      <w:r w:rsidRPr="004A580D">
        <w:t>confidence in the HSR System has also increased significantly over the three years. In 2016, a majority of consumer</w:t>
      </w:r>
      <w:r w:rsidRPr="0026397D">
        <w:t xml:space="preserve">s were not confident in the </w:t>
      </w:r>
      <w:r>
        <w:t>S</w:t>
      </w:r>
      <w:r w:rsidRPr="0026397D">
        <w:t>ystem</w:t>
      </w:r>
      <w:r>
        <w:t>. H</w:t>
      </w:r>
      <w:r w:rsidRPr="0026397D">
        <w:t>owever</w:t>
      </w:r>
      <w:r>
        <w:t>,</w:t>
      </w:r>
      <w:r w:rsidRPr="0026397D">
        <w:t xml:space="preserve"> confidence had increased to just over half in </w:t>
      </w:r>
      <w:r>
        <w:t>2017</w:t>
      </w:r>
      <w:r w:rsidRPr="0026397D">
        <w:t xml:space="preserve"> and further </w:t>
      </w:r>
      <w:r>
        <w:t>increased</w:t>
      </w:r>
      <w:r w:rsidRPr="0026397D">
        <w:t xml:space="preserve"> to almost 70</w:t>
      </w:r>
      <w:r>
        <w:t>%</w:t>
      </w:r>
      <w:r w:rsidRPr="0026397D">
        <w:t xml:space="preserve"> in </w:t>
      </w:r>
      <w:r>
        <w:t>2018.</w:t>
      </w:r>
    </w:p>
    <w:p w14:paraId="0BF7A583" w14:textId="77777777" w:rsidR="00F101DD" w:rsidRDefault="00F101DD" w:rsidP="00890BB4">
      <w:pPr>
        <w:pStyle w:val="mpcNormal"/>
        <w:keepNext w:val="0"/>
      </w:pPr>
    </w:p>
    <w:p w14:paraId="5A3128E0" w14:textId="41AB5ED7" w:rsidR="00F101DD" w:rsidRDefault="00F101DD" w:rsidP="00890BB4">
      <w:pPr>
        <w:pStyle w:val="mpcNormal"/>
        <w:keepNext w:val="0"/>
      </w:pPr>
      <w:r>
        <w:t>In New Zealand, a</w:t>
      </w:r>
      <w:r w:rsidRPr="00F31C57">
        <w:t xml:space="preserve">lthough there have been encouraging improvements in awareness, knowledge and use of the HSR since 2015, levels of trust have remained similar between 2015 and 2018 (40% say they trust the HSR </w:t>
      </w:r>
      <w:r>
        <w:t>S</w:t>
      </w:r>
      <w:r w:rsidRPr="00F31C57">
        <w:t xml:space="preserve">ystem). </w:t>
      </w:r>
      <w:r>
        <w:t xml:space="preserve">The main reason cited for negative perceptions of the </w:t>
      </w:r>
      <w:r w:rsidR="000D5F6E">
        <w:t>System</w:t>
      </w:r>
      <w:r>
        <w:t xml:space="preserve"> was that the HSR ‘is something companies use to sell more products’.</w:t>
      </w:r>
    </w:p>
    <w:p w14:paraId="2AF9F3BD" w14:textId="77777777" w:rsidR="00F101DD" w:rsidRDefault="00F101DD" w:rsidP="00890BB4">
      <w:pPr>
        <w:pStyle w:val="mpcNormal"/>
        <w:keepNext w:val="0"/>
      </w:pPr>
    </w:p>
    <w:p w14:paraId="520875BF" w14:textId="434A3385" w:rsidR="00F101DD" w:rsidRDefault="00F101DD" w:rsidP="00890BB4">
      <w:pPr>
        <w:pStyle w:val="mpcNormal"/>
        <w:keepNext w:val="0"/>
      </w:pPr>
      <w:r>
        <w:t xml:space="preserve">New Zealand monitoring data shows that consumers who had seen the </w:t>
      </w:r>
      <w:r w:rsidR="00F720A0">
        <w:t>G</w:t>
      </w:r>
      <w:r>
        <w:t xml:space="preserve">overnment campaign were significantly more likely to express confidence in the HSR </w:t>
      </w:r>
      <w:r w:rsidR="00F720A0">
        <w:t xml:space="preserve">System </w:t>
      </w:r>
      <w:r>
        <w:t>compared to those who didn’t (52% compared with 42%).</w:t>
      </w:r>
    </w:p>
    <w:p w14:paraId="299A034B" w14:textId="77777777" w:rsidR="00F101DD" w:rsidRDefault="00F101DD" w:rsidP="00890BB4">
      <w:pPr>
        <w:pStyle w:val="mpcNormal"/>
        <w:keepNext w:val="0"/>
      </w:pPr>
    </w:p>
    <w:p w14:paraId="147D2519" w14:textId="7AE5821C" w:rsidR="00F101DD" w:rsidRDefault="00F101DD" w:rsidP="00890BB4">
      <w:pPr>
        <w:pStyle w:val="mpcNormal"/>
        <w:keepNext w:val="0"/>
      </w:pPr>
      <w:r>
        <w:t>Chapter 4 includes further information about government campaigns and the focus on addressing consumer perceptions.</w:t>
      </w:r>
    </w:p>
    <w:p w14:paraId="2004E32F" w14:textId="77777777" w:rsidR="00F101DD" w:rsidRDefault="00F101DD" w:rsidP="006B0997">
      <w:pPr>
        <w:pStyle w:val="mpcNormal"/>
        <w:keepNext w:val="0"/>
      </w:pPr>
    </w:p>
    <w:p w14:paraId="768C5744" w14:textId="77777777" w:rsidR="00F101DD" w:rsidRPr="0090273F" w:rsidRDefault="00F101DD" w:rsidP="007E0D2C">
      <w:pPr>
        <w:pStyle w:val="mpcheading3"/>
        <w:keepNext/>
      </w:pPr>
      <w:r w:rsidRPr="00944DA4">
        <w:t xml:space="preserve">Ease of use </w:t>
      </w:r>
      <w:r>
        <w:t>and correct use</w:t>
      </w:r>
    </w:p>
    <w:p w14:paraId="00FCB9B4" w14:textId="77777777" w:rsidR="00F101DD" w:rsidRDefault="00F101DD" w:rsidP="007E0D2C">
      <w:pPr>
        <w:keepNext/>
        <w:rPr>
          <w:rFonts w:cstheme="minorHAnsi"/>
          <w:sz w:val="22"/>
          <w:szCs w:val="22"/>
        </w:rPr>
      </w:pPr>
    </w:p>
    <w:p w14:paraId="7A6CD460" w14:textId="68F3AF35" w:rsidR="00F101DD" w:rsidRPr="00FD1D97" w:rsidRDefault="00F101DD" w:rsidP="007E0D2C">
      <w:pPr>
        <w:pStyle w:val="mpcNormal"/>
      </w:pPr>
      <w:r w:rsidRPr="00FD1D97">
        <w:t xml:space="preserve">In Australia, most consumers agree </w:t>
      </w:r>
      <w:r w:rsidR="00D962F6">
        <w:t xml:space="preserve">that </w:t>
      </w:r>
      <w:r w:rsidRPr="00FD1D97">
        <w:t>the HSR System makes identifying healthier products easier (7</w:t>
      </w:r>
      <w:r w:rsidR="001016F4">
        <w:t>7</w:t>
      </w:r>
      <w:r w:rsidRPr="00FD1D97">
        <w:t>%). The majority of Australian consumers understand that the HSR provides a rating of the product’s healthiness (5</w:t>
      </w:r>
      <w:r w:rsidR="001016F4">
        <w:t>6</w:t>
      </w:r>
      <w:r w:rsidRPr="00FD1D97">
        <w:t xml:space="preserve">%) </w:t>
      </w:r>
      <w:bookmarkStart w:id="73" w:name="_Hlk528669176"/>
      <w:r w:rsidRPr="00FD1D97">
        <w:t>and that a product with five stars is the healthiest choice</w:t>
      </w:r>
      <w:r w:rsidR="001B1DA6">
        <w:t xml:space="preserve"> (88%).</w:t>
      </w:r>
      <w:bookmarkEnd w:id="73"/>
    </w:p>
    <w:p w14:paraId="3C1C6A9A" w14:textId="77777777" w:rsidR="00F101DD" w:rsidRPr="00FD1D97" w:rsidRDefault="00F101DD" w:rsidP="006B6015">
      <w:pPr>
        <w:pStyle w:val="mpcNormal"/>
        <w:keepNext w:val="0"/>
      </w:pPr>
    </w:p>
    <w:p w14:paraId="29326166" w14:textId="469C6545" w:rsidR="00F101DD" w:rsidRPr="00FD1D97" w:rsidRDefault="00F101DD" w:rsidP="006B6015">
      <w:pPr>
        <w:pStyle w:val="mpcNormal"/>
        <w:keepNext w:val="0"/>
        <w:widowControl w:val="0"/>
      </w:pPr>
      <w:r w:rsidRPr="00FD1D97">
        <w:t>Similar results have been achieved in New Zealand, where ease of use was examined in the context of the 2018 HSR System campaign. Of consumers who had seen the campaign, 66% agreed it makes it easier to decide which packaged foods are healthier (compared to 56% of consumer</w:t>
      </w:r>
      <w:r w:rsidR="001016F4">
        <w:t>s</w:t>
      </w:r>
      <w:r w:rsidRPr="00FD1D97">
        <w:t xml:space="preserve"> who had not seen the campaign). 68% of New Zealand consumers correctly identified that the product with more stars </w:t>
      </w:r>
      <w:r w:rsidR="00935651" w:rsidRPr="00FD1D97">
        <w:t xml:space="preserve">within a food category </w:t>
      </w:r>
      <w:r w:rsidRPr="00FD1D97">
        <w:t>is healthier.</w:t>
      </w:r>
    </w:p>
    <w:p w14:paraId="0CCF5C86" w14:textId="77777777" w:rsidR="00F101DD" w:rsidRPr="00FD1D97" w:rsidRDefault="00F101DD" w:rsidP="006B6015">
      <w:pPr>
        <w:pStyle w:val="mpcNormal"/>
        <w:keepNext w:val="0"/>
        <w:widowControl w:val="0"/>
      </w:pPr>
    </w:p>
    <w:p w14:paraId="0A1D4BB0" w14:textId="3CE297B7" w:rsidR="00F101DD" w:rsidRPr="00FD1D97" w:rsidRDefault="00F101DD" w:rsidP="006B6015">
      <w:pPr>
        <w:pStyle w:val="mpcNormal"/>
        <w:keepNext w:val="0"/>
        <w:widowControl w:val="0"/>
      </w:pPr>
      <w:r w:rsidRPr="00FD1D97">
        <w:t xml:space="preserve">However, Australians and New Zealanders are </w:t>
      </w:r>
      <w:r w:rsidR="00D962F6">
        <w:t>not always aware</w:t>
      </w:r>
      <w:r w:rsidRPr="00FD1D97">
        <w:t xml:space="preserve"> </w:t>
      </w:r>
      <w:r w:rsidR="00411BCB">
        <w:t>that</w:t>
      </w:r>
      <w:r w:rsidR="00411BCB" w:rsidRPr="00FD1D97">
        <w:t xml:space="preserve"> </w:t>
      </w:r>
      <w:r w:rsidRPr="00FD1D97">
        <w:t xml:space="preserve">the HSR </w:t>
      </w:r>
      <w:r w:rsidR="00411BCB">
        <w:t xml:space="preserve">should be used </w:t>
      </w:r>
      <w:r w:rsidRPr="00FD1D97">
        <w:t xml:space="preserve">to compare similar products, with more than half of consumers in Australia and New Zealand agreeing that the HSR can be used across different categories. </w:t>
      </w:r>
    </w:p>
    <w:p w14:paraId="20ED4B99" w14:textId="77777777" w:rsidR="00F101DD" w:rsidRPr="00FD1D97" w:rsidRDefault="00F101DD" w:rsidP="006B6015">
      <w:pPr>
        <w:pStyle w:val="mpcNormal"/>
        <w:keepNext w:val="0"/>
        <w:widowControl w:val="0"/>
      </w:pPr>
    </w:p>
    <w:p w14:paraId="4A79E9F3" w14:textId="44DD8D27" w:rsidR="00F101DD" w:rsidRPr="00FD1D97" w:rsidRDefault="00F101DD" w:rsidP="006B6015">
      <w:pPr>
        <w:pStyle w:val="mpcNormal"/>
        <w:keepNext w:val="0"/>
        <w:widowControl w:val="0"/>
      </w:pPr>
      <w:r w:rsidRPr="00FD1D97">
        <w:t>While this seems concerning, in practice this may not be a significant issue. New Zealand monitoring data shows that</w:t>
      </w:r>
      <w:r w:rsidR="00D962F6">
        <w:t>,</w:t>
      </w:r>
      <w:r w:rsidRPr="00FD1D97">
        <w:t xml:space="preserve"> even though consumers think they can compare across categories, few shoppers </w:t>
      </w:r>
      <w:r w:rsidR="00D962F6">
        <w:t xml:space="preserve">actually </w:t>
      </w:r>
      <w:r w:rsidRPr="00FD1D97">
        <w:t xml:space="preserve">do so. </w:t>
      </w:r>
    </w:p>
    <w:p w14:paraId="4210E00D" w14:textId="77777777" w:rsidR="00F101DD" w:rsidRPr="00FD1D97" w:rsidRDefault="00F101DD" w:rsidP="006B6015">
      <w:pPr>
        <w:pStyle w:val="mpcNormal"/>
        <w:keepNext w:val="0"/>
        <w:widowControl w:val="0"/>
      </w:pPr>
    </w:p>
    <w:p w14:paraId="1C702539" w14:textId="5B66C44E" w:rsidR="00F101DD" w:rsidRPr="00FD1D97" w:rsidRDefault="00F101DD" w:rsidP="006B6015">
      <w:pPr>
        <w:pStyle w:val="mpcNormal"/>
        <w:keepNext w:val="0"/>
        <w:widowControl w:val="0"/>
      </w:pPr>
      <w:r w:rsidRPr="00FD1D97">
        <w:t>Likewise</w:t>
      </w:r>
      <w:r w:rsidR="000C64AF" w:rsidRPr="00FD1D97">
        <w:t>,</w:t>
      </w:r>
      <w:r w:rsidRPr="00FD1D97">
        <w:t xml:space="preserve"> in Australia, when consumers are presented with </w:t>
      </w:r>
      <w:r w:rsidR="000D5F6E" w:rsidRPr="00FD1D97">
        <w:t>two</w:t>
      </w:r>
      <w:r w:rsidRPr="00FD1D97">
        <w:t xml:space="preserve"> products and asked whether they could or would </w:t>
      </w:r>
      <w:r w:rsidR="000D5F6E" w:rsidRPr="00FD1D97">
        <w:t xml:space="preserve">use the HSR to </w:t>
      </w:r>
      <w:r w:rsidRPr="00FD1D97">
        <w:t xml:space="preserve">compare the products, they exhibited a better understanding that the HSR should only be </w:t>
      </w:r>
      <w:r w:rsidR="000D5F6E" w:rsidRPr="00FD1D97">
        <w:t xml:space="preserve">used to </w:t>
      </w:r>
      <w:r w:rsidRPr="00FD1D97">
        <w:t>compare similar products.</w:t>
      </w:r>
    </w:p>
    <w:p w14:paraId="1550AEA9" w14:textId="77777777" w:rsidR="00F101DD" w:rsidRPr="00FD1D97" w:rsidRDefault="00F101DD" w:rsidP="006B0997">
      <w:pPr>
        <w:pStyle w:val="mpcNormal"/>
        <w:keepNext w:val="0"/>
      </w:pPr>
    </w:p>
    <w:p w14:paraId="534950A7" w14:textId="16FD288C" w:rsidR="00F101DD" w:rsidRPr="00FD1D97" w:rsidRDefault="00F101DD" w:rsidP="006B0997">
      <w:pPr>
        <w:pStyle w:val="mpcNormal"/>
        <w:keepNext w:val="0"/>
      </w:pPr>
      <w:r w:rsidRPr="00FD1D97">
        <w:t xml:space="preserve">As discussed in Chapter 4, </w:t>
      </w:r>
      <w:r w:rsidR="00D962F6">
        <w:t xml:space="preserve">this misconception is being addressed through the publication of online materials and release of a new campaign in Australia </w:t>
      </w:r>
      <w:r w:rsidRPr="00FD1D97">
        <w:t xml:space="preserve">in </w:t>
      </w:r>
      <w:r w:rsidR="000D0FB9">
        <w:t>February</w:t>
      </w:r>
      <w:r w:rsidRPr="00FD1D97">
        <w:t xml:space="preserve"> 2019</w:t>
      </w:r>
      <w:r w:rsidR="00D962F6">
        <w:t>, which</w:t>
      </w:r>
      <w:r w:rsidRPr="00FD1D97">
        <w:t xml:space="preserve"> educat</w:t>
      </w:r>
      <w:r w:rsidR="004B1E36">
        <w:t>es</w:t>
      </w:r>
      <w:r w:rsidRPr="00FD1D97">
        <w:t xml:space="preserve"> consumers about using the HSR to compare similar products. The HSR System Twitter feed </w:t>
      </w:r>
      <w:r w:rsidR="004B1E36">
        <w:t>also reinforces this message.</w:t>
      </w:r>
    </w:p>
    <w:p w14:paraId="3EA7E68B" w14:textId="77777777" w:rsidR="00F101DD" w:rsidRPr="00FD1D97" w:rsidRDefault="00F101DD" w:rsidP="006B0997">
      <w:pPr>
        <w:pStyle w:val="mpcNormal"/>
        <w:keepNext w:val="0"/>
      </w:pPr>
    </w:p>
    <w:p w14:paraId="4A442E19" w14:textId="5AE0E631" w:rsidR="00F101DD" w:rsidRPr="00FD1D97" w:rsidRDefault="00F101DD" w:rsidP="006B6015">
      <w:pPr>
        <w:pStyle w:val="mpcNormal"/>
        <w:keepNext w:val="0"/>
      </w:pPr>
      <w:r w:rsidRPr="00FD1D97">
        <w:t xml:space="preserve">Other research consistently indicates that consumers find the HSR </w:t>
      </w:r>
      <w:r w:rsidR="004B1E36">
        <w:t xml:space="preserve">System </w:t>
      </w:r>
      <w:r w:rsidRPr="00FD1D97">
        <w:t>easy to use and prefer it to other interpretive labelling:</w:t>
      </w:r>
    </w:p>
    <w:p w14:paraId="34A9597D" w14:textId="77777777" w:rsidR="00F101DD" w:rsidRPr="00E40FB1" w:rsidRDefault="00F101DD" w:rsidP="006B6015">
      <w:pPr>
        <w:pStyle w:val="mpcNormal"/>
        <w:keepNext w:val="0"/>
      </w:pPr>
    </w:p>
    <w:p w14:paraId="5FDAD32B" w14:textId="10BF00F3" w:rsidR="00F101DD" w:rsidRPr="00F720A0" w:rsidRDefault="009915BD" w:rsidP="007E0D2C">
      <w:pPr>
        <w:pStyle w:val="mpcbullets1"/>
      </w:pPr>
      <w:r>
        <w:t>One study</w:t>
      </w:r>
      <w:r w:rsidRPr="00F720A0">
        <w:rPr>
          <w:rStyle w:val="FootnoteReference"/>
          <w:sz w:val="22"/>
        </w:rPr>
        <w:footnoteReference w:id="18"/>
      </w:r>
      <w:r w:rsidR="004B1E36">
        <w:t xml:space="preserve"> </w:t>
      </w:r>
      <w:r w:rsidR="00F101DD" w:rsidRPr="00F720A0">
        <w:t xml:space="preserve">assessed the effects of different </w:t>
      </w:r>
      <w:r w:rsidR="00935651" w:rsidRPr="00F720A0">
        <w:t>FoPL schemes</w:t>
      </w:r>
      <w:r w:rsidR="00F101DD" w:rsidRPr="00F720A0">
        <w:t xml:space="preserve"> (the HSR System, multiple traffic light labels, DIG, recommendations/warnings) against the NIP. While recommendations/warnings resulted in more healthy food choices, participants reported that the HSR System was easier to understand than traffic lights or DIGs and that the HSR was more useful than the NIP.</w:t>
      </w:r>
    </w:p>
    <w:p w14:paraId="68E412C1" w14:textId="42BD4729" w:rsidR="00F101DD" w:rsidRPr="00F720A0" w:rsidRDefault="009915BD" w:rsidP="007E0D2C">
      <w:pPr>
        <w:pStyle w:val="mpcbullets1"/>
      </w:pPr>
      <w:r>
        <w:t>Other r</w:t>
      </w:r>
      <w:r w:rsidR="00F101DD" w:rsidRPr="00F720A0">
        <w:t>esearch published in 2016</w:t>
      </w:r>
      <w:r w:rsidR="000D5F6E" w:rsidRPr="00F720A0">
        <w:rPr>
          <w:rStyle w:val="FootnoteReference"/>
          <w:sz w:val="22"/>
        </w:rPr>
        <w:footnoteReference w:id="19"/>
      </w:r>
      <w:r w:rsidR="00F101DD" w:rsidRPr="00F720A0">
        <w:t xml:space="preserve"> found that the HSR System was the most preferred FoPL (against DIGs and traffic light labelling). Most participants reported being motivated to use </w:t>
      </w:r>
      <w:r w:rsidR="00411BCB" w:rsidRPr="00F720A0">
        <w:t xml:space="preserve">interpretive </w:t>
      </w:r>
      <w:r w:rsidR="00F101DD" w:rsidRPr="00F720A0">
        <w:t>FoPLs (particularly the HSR) to make choices about foods consumed as part of regular daily meals, but not for discretionary foods consumed as snacks or des</w:t>
      </w:r>
      <w:r w:rsidR="00F54C40" w:rsidRPr="00F720A0">
        <w:t>s</w:t>
      </w:r>
      <w:r w:rsidR="00F101DD" w:rsidRPr="00F720A0">
        <w:t>erts.</w:t>
      </w:r>
    </w:p>
    <w:p w14:paraId="10B052CE" w14:textId="54754B8A" w:rsidR="00F101DD" w:rsidRPr="00F720A0" w:rsidRDefault="00F101DD" w:rsidP="00173A82">
      <w:pPr>
        <w:pStyle w:val="mpcbullets2"/>
      </w:pPr>
      <w:r w:rsidRPr="00F720A0">
        <w:t>This finding was supported by a similar study published in 2017</w:t>
      </w:r>
      <w:r w:rsidR="000D5F6E" w:rsidRPr="003F76B3">
        <w:rPr>
          <w:rFonts w:cs="Calibri (Body)"/>
          <w:vertAlign w:val="superscript"/>
        </w:rPr>
        <w:footnoteReference w:id="20"/>
      </w:r>
      <w:r w:rsidR="000D5F6E" w:rsidRPr="00F720A0">
        <w:t>,</w:t>
      </w:r>
      <w:r w:rsidRPr="00F720A0">
        <w:t xml:space="preserve"> which explored Australian consumers' preferences for different types and attributes of FoPLs. It found that the HSR System was the most preferred FoPL at 44% (against DIG and traffic light labelling). Respondents found the HSR System easy to use, interpretive and prominent.</w:t>
      </w:r>
    </w:p>
    <w:p w14:paraId="32DFE219" w14:textId="64C43CB8" w:rsidR="00935651" w:rsidRPr="00F720A0" w:rsidRDefault="00935651" w:rsidP="00173A82">
      <w:pPr>
        <w:pStyle w:val="mpcbullets2"/>
      </w:pPr>
      <w:r w:rsidRPr="00F720A0">
        <w:t>Subsequent research</w:t>
      </w:r>
      <w:r w:rsidR="00EC300D" w:rsidRPr="003F76B3">
        <w:rPr>
          <w:rFonts w:cs="Calibri (Body)"/>
          <w:vertAlign w:val="superscript"/>
        </w:rPr>
        <w:footnoteReference w:id="21"/>
      </w:r>
      <w:r w:rsidR="00EC300D" w:rsidRPr="003F76B3">
        <w:rPr>
          <w:rFonts w:cs="Calibri (Body)"/>
          <w:vertAlign w:val="superscript"/>
        </w:rPr>
        <w:t>,</w:t>
      </w:r>
      <w:r w:rsidR="00EC300D" w:rsidRPr="003F76B3">
        <w:rPr>
          <w:rFonts w:cs="Calibri (Body)"/>
          <w:vertAlign w:val="superscript"/>
        </w:rPr>
        <w:footnoteReference w:id="22"/>
      </w:r>
      <w:r w:rsidRPr="003F76B3">
        <w:rPr>
          <w:rFonts w:cs="Calibri (Body)"/>
          <w:vertAlign w:val="superscript"/>
        </w:rPr>
        <w:t xml:space="preserve"> </w:t>
      </w:r>
      <w:r w:rsidRPr="00F720A0">
        <w:t xml:space="preserve">found that </w:t>
      </w:r>
      <w:r w:rsidR="00EC300D" w:rsidRPr="00F720A0">
        <w:t>the HSR better enabled Australians to determine healthier product options than the DIG and traffic light labelling and resulted in healthier choices in simulated choice scenarios compared to the DIG and traffic light labelling.</w:t>
      </w:r>
    </w:p>
    <w:p w14:paraId="57655066" w14:textId="77777777" w:rsidR="00F101DD" w:rsidRPr="00F720A0" w:rsidRDefault="00F101DD" w:rsidP="006B6015">
      <w:pPr>
        <w:pStyle w:val="mpcNormal"/>
        <w:keepNext w:val="0"/>
      </w:pPr>
    </w:p>
    <w:p w14:paraId="64CA2F4C" w14:textId="77777777" w:rsidR="00F101DD" w:rsidRPr="00F720A0" w:rsidRDefault="00F101DD" w:rsidP="00D82678">
      <w:pPr>
        <w:pStyle w:val="mpcNormal"/>
        <w:keepLines/>
        <w:widowControl w:val="0"/>
      </w:pPr>
      <w:r w:rsidRPr="00F720A0">
        <w:t>A number of studies have also examined how consumers use the HSR and the particular products on which consumers find interpretive labelling most useful:</w:t>
      </w:r>
    </w:p>
    <w:p w14:paraId="3B855312" w14:textId="77777777" w:rsidR="00F101DD" w:rsidRPr="00F720A0" w:rsidRDefault="00F101DD" w:rsidP="006B6015">
      <w:pPr>
        <w:pStyle w:val="mpcNormal"/>
        <w:keepNext w:val="0"/>
        <w:widowControl w:val="0"/>
      </w:pPr>
    </w:p>
    <w:p w14:paraId="04D0B8ED" w14:textId="014C1B86" w:rsidR="00F101DD" w:rsidRPr="00E40FB1" w:rsidRDefault="00F101DD" w:rsidP="007E0D2C">
      <w:pPr>
        <w:pStyle w:val="mpcbullets1"/>
      </w:pPr>
      <w:r w:rsidRPr="00F720A0">
        <w:t>A study published in July 2017</w:t>
      </w:r>
      <w:r w:rsidR="000D5F6E" w:rsidRPr="00F720A0">
        <w:rPr>
          <w:rStyle w:val="FootnoteReference"/>
          <w:sz w:val="22"/>
        </w:rPr>
        <w:footnoteReference w:id="23"/>
      </w:r>
      <w:r w:rsidRPr="00F720A0">
        <w:t xml:space="preserve"> investigated how nutrition labels (including the HSR System and UK Traffic Light Labels, with the NIP as the control) are</w:t>
      </w:r>
      <w:r w:rsidRPr="00E40FB1">
        <w:t xml:space="preserve"> used in real-world shopping situations and how they affect dietary choices and patterns. The study found that </w:t>
      </w:r>
      <w:r w:rsidR="000D5F6E">
        <w:t xml:space="preserve">use of FoPL, including the HSR, led to </w:t>
      </w:r>
      <w:r w:rsidR="000D5F6E" w:rsidRPr="00E40FB1">
        <w:t>significantly healthier</w:t>
      </w:r>
      <w:r w:rsidR="000D5F6E">
        <w:t xml:space="preserve"> products being purchased</w:t>
      </w:r>
      <w:r>
        <w:t>.</w:t>
      </w:r>
    </w:p>
    <w:p w14:paraId="56531857" w14:textId="2EF20454" w:rsidR="00F101DD" w:rsidRDefault="00F101DD" w:rsidP="007E0D2C">
      <w:pPr>
        <w:pStyle w:val="mpcbullets1"/>
      </w:pPr>
      <w:r>
        <w:t>A</w:t>
      </w:r>
      <w:r w:rsidRPr="00E40FB1">
        <w:t xml:space="preserve"> related article</w:t>
      </w:r>
      <w:r w:rsidR="000D5F6E" w:rsidRPr="00E40FB1">
        <w:rPr>
          <w:rStyle w:val="FootnoteReference"/>
        </w:rPr>
        <w:footnoteReference w:id="24"/>
      </w:r>
      <w:r w:rsidRPr="00E40FB1">
        <w:t xml:space="preserve"> found there was significant association between </w:t>
      </w:r>
      <w:r w:rsidR="000D5F6E">
        <w:t>FoPL</w:t>
      </w:r>
      <w:r w:rsidRPr="00E40FB1">
        <w:t xml:space="preserve"> use and the healthiness of products purchased, with shoppers most likely to </w:t>
      </w:r>
      <w:r w:rsidR="000D5F6E">
        <w:t>use FoPL</w:t>
      </w:r>
      <w:r w:rsidRPr="00E40FB1">
        <w:t xml:space="preserve"> for convenience foods, cereals, snack foods, bread and bakery products and oils.</w:t>
      </w:r>
    </w:p>
    <w:p w14:paraId="4CD99CF1" w14:textId="77777777" w:rsidR="00F101DD" w:rsidRPr="00911B6C" w:rsidRDefault="00F101DD" w:rsidP="006B0997">
      <w:pPr>
        <w:pStyle w:val="mpcNormal"/>
        <w:keepNext w:val="0"/>
        <w:widowControl w:val="0"/>
      </w:pPr>
    </w:p>
    <w:p w14:paraId="5366B380" w14:textId="77777777" w:rsidR="00F101DD" w:rsidRPr="00771C5A" w:rsidRDefault="00F101DD" w:rsidP="005A162A">
      <w:pPr>
        <w:pStyle w:val="mpcheading3"/>
      </w:pPr>
      <w:r w:rsidRPr="00771C5A">
        <w:t>Influencing purchasing decisions</w:t>
      </w:r>
    </w:p>
    <w:p w14:paraId="26010932" w14:textId="77777777" w:rsidR="00F101DD" w:rsidRDefault="00F101DD" w:rsidP="006B0997">
      <w:pPr>
        <w:pStyle w:val="mpcNormal"/>
        <w:keepNext w:val="0"/>
      </w:pPr>
    </w:p>
    <w:p w14:paraId="10CA98E3" w14:textId="77777777" w:rsidR="00F101DD" w:rsidRPr="006022CE" w:rsidRDefault="00F101DD" w:rsidP="006B0997">
      <w:pPr>
        <w:pStyle w:val="mpcNormal"/>
        <w:keepNext w:val="0"/>
      </w:pPr>
      <w:r w:rsidRPr="006022CE">
        <w:t xml:space="preserve">To </w:t>
      </w:r>
      <w:r>
        <w:t xml:space="preserve">determine the </w:t>
      </w:r>
      <w:r w:rsidRPr="006022CE">
        <w:t>impact of the HSR as a publ</w:t>
      </w:r>
      <w:r>
        <w:t xml:space="preserve">ic health intervention, a </w:t>
      </w:r>
      <w:r w:rsidRPr="006022CE">
        <w:t>key consider</w:t>
      </w:r>
      <w:r>
        <w:t>a</w:t>
      </w:r>
      <w:r w:rsidRPr="006022CE">
        <w:t>ti</w:t>
      </w:r>
      <w:r>
        <w:t>o</w:t>
      </w:r>
      <w:r w:rsidRPr="006022CE">
        <w:t>n is whether th</w:t>
      </w:r>
      <w:r>
        <w:t>e</w:t>
      </w:r>
      <w:r w:rsidRPr="006022CE">
        <w:t xml:space="preserve"> </w:t>
      </w:r>
      <w:r>
        <w:t>H</w:t>
      </w:r>
      <w:r w:rsidRPr="006022CE">
        <w:t xml:space="preserve">SR is actually </w:t>
      </w:r>
      <w:r>
        <w:t>influencing purchasing</w:t>
      </w:r>
      <w:r w:rsidRPr="006022CE">
        <w:t xml:space="preserve"> decisions</w:t>
      </w:r>
      <w:r>
        <w:t>.</w:t>
      </w:r>
    </w:p>
    <w:p w14:paraId="4757E826" w14:textId="77777777" w:rsidR="00F101DD" w:rsidRPr="00771C5A" w:rsidRDefault="00F101DD" w:rsidP="006B0997">
      <w:pPr>
        <w:pStyle w:val="mpcNormal"/>
        <w:keepNext w:val="0"/>
      </w:pPr>
    </w:p>
    <w:p w14:paraId="1271CFAD" w14:textId="2DFCF44A" w:rsidR="00F101DD" w:rsidRDefault="00F101DD" w:rsidP="006B0997">
      <w:pPr>
        <w:pStyle w:val="mpcNormal"/>
        <w:keepNext w:val="0"/>
      </w:pPr>
      <w:r w:rsidRPr="00F20183">
        <w:t>In Australia, almost 70% of surveyed consumers recalled purchasing an HSR product in the last three months.</w:t>
      </w:r>
      <w:r w:rsidR="00E95B2D" w:rsidRPr="00F20183">
        <w:t xml:space="preserve"> Of these, </w:t>
      </w:r>
      <w:r w:rsidR="00E95B2D" w:rsidRPr="00F20183">
        <w:rPr>
          <w:lang w:bidi="ar-DZ"/>
        </w:rPr>
        <w:t>one third were influenced to purchase a product with more stars. This equates to 23% of all consumers being influenced by the HSR to change their purchasing behaviour to purchase a product with more stars.</w:t>
      </w:r>
      <w:r w:rsidR="00E95B2D" w:rsidRPr="00275BD2">
        <w:rPr>
          <w:lang w:bidi="ar-DZ"/>
        </w:rPr>
        <w:t xml:space="preserve">  </w:t>
      </w:r>
    </w:p>
    <w:p w14:paraId="3338D978" w14:textId="77777777" w:rsidR="00F101DD" w:rsidRPr="00355B11" w:rsidRDefault="00F101DD" w:rsidP="006B0997">
      <w:pPr>
        <w:pStyle w:val="mpcNormal"/>
        <w:keepNext w:val="0"/>
      </w:pPr>
    </w:p>
    <w:p w14:paraId="5B3CE4D9" w14:textId="6D9A859D" w:rsidR="00F101DD" w:rsidRPr="00355B11" w:rsidRDefault="00F101DD" w:rsidP="006B6015">
      <w:pPr>
        <w:pStyle w:val="mpcNormal"/>
        <w:keepNext w:val="0"/>
      </w:pPr>
      <w:r w:rsidRPr="00355B11">
        <w:t xml:space="preserve">Males, </w:t>
      </w:r>
      <w:r w:rsidR="00EE3B9C">
        <w:t xml:space="preserve">people with a </w:t>
      </w:r>
      <w:r w:rsidRPr="00355B11">
        <w:t>university educat</w:t>
      </w:r>
      <w:r w:rsidR="00EE3B9C">
        <w:t>ion</w:t>
      </w:r>
      <w:r w:rsidRPr="00355B11">
        <w:t>, Aboriginal and Torres Strait Island peo</w:t>
      </w:r>
      <w:r>
        <w:t>ples</w:t>
      </w:r>
      <w:r w:rsidRPr="00355B11">
        <w:t xml:space="preserve"> and people </w:t>
      </w:r>
      <w:r w:rsidR="00FD1D97">
        <w:t>in the</w:t>
      </w:r>
      <w:r w:rsidR="00FD1D97" w:rsidRPr="00355B11">
        <w:t xml:space="preserve"> </w:t>
      </w:r>
      <w:r w:rsidRPr="00355B11">
        <w:t xml:space="preserve">normal weight range are more likely to be influenced by the HSR </w:t>
      </w:r>
      <w:r>
        <w:t>of a product</w:t>
      </w:r>
      <w:r w:rsidR="00EE3B9C">
        <w:t xml:space="preserve">. </w:t>
      </w:r>
      <w:r w:rsidRPr="00355B11">
        <w:t>At the household level, those in the metropolitan regions, those where a language other than English is spoken or households with gross income greater than $50,000 per year are also more likely to be influence</w:t>
      </w:r>
      <w:r>
        <w:t>d</w:t>
      </w:r>
      <w:r w:rsidRPr="00355B11">
        <w:t xml:space="preserve"> by the HSR </w:t>
      </w:r>
      <w:r>
        <w:t>of a product.</w:t>
      </w:r>
    </w:p>
    <w:p w14:paraId="4A2436B8" w14:textId="77777777" w:rsidR="00F101DD" w:rsidRDefault="00F101DD">
      <w:pPr>
        <w:rPr>
          <w:rFonts w:cstheme="minorHAnsi"/>
          <w:color w:val="2F5496" w:themeColor="accent1" w:themeShade="BF"/>
          <w:sz w:val="22"/>
          <w:szCs w:val="22"/>
        </w:rPr>
      </w:pPr>
    </w:p>
    <w:p w14:paraId="6A53FB2C" w14:textId="575CD4D9" w:rsidR="00F101DD" w:rsidRPr="009C59C1" w:rsidRDefault="00F101DD" w:rsidP="006B6015">
      <w:pPr>
        <w:pStyle w:val="mpcNormal"/>
        <w:keepNext w:val="0"/>
      </w:pPr>
      <w:r>
        <w:t>Likewise</w:t>
      </w:r>
      <w:r w:rsidR="000C64AF">
        <w:t>,</w:t>
      </w:r>
      <w:r>
        <w:t xml:space="preserve"> in New Zealand t</w:t>
      </w:r>
      <w:r w:rsidRPr="009C59C1">
        <w:t>hree in five consumers (59%) who have used the HSR say it encouraged them to buy a product they would not normally purchase.</w:t>
      </w:r>
    </w:p>
    <w:p w14:paraId="32D7A805" w14:textId="77777777" w:rsidR="00F101DD" w:rsidRPr="009C59C1" w:rsidRDefault="00F101DD" w:rsidP="006B6015">
      <w:pPr>
        <w:pStyle w:val="mpcNormal"/>
        <w:keepNext w:val="0"/>
      </w:pPr>
    </w:p>
    <w:p w14:paraId="69B24F0B" w14:textId="5C04C5F4" w:rsidR="00F101DD" w:rsidRPr="009C59C1" w:rsidRDefault="00F101DD" w:rsidP="007E0D2C">
      <w:pPr>
        <w:pStyle w:val="mpcbullets1"/>
      </w:pPr>
      <w:r w:rsidRPr="009C59C1">
        <w:t>Among shoppers in the general population who are aware of the HSR</w:t>
      </w:r>
      <w:r>
        <w:t xml:space="preserve"> System</w:t>
      </w:r>
      <w:r w:rsidRPr="009C59C1">
        <w:t xml:space="preserve">, 37% report using the HSR to help choose a packaged food compared to 27% in 2015. This equates to 28% of all shoppers in the general population, which is significantly more than in 2015 (10%). </w:t>
      </w:r>
    </w:p>
    <w:p w14:paraId="788F4B2F" w14:textId="3E2B0D76" w:rsidR="00F101DD" w:rsidRDefault="00F101DD" w:rsidP="007E0D2C">
      <w:pPr>
        <w:pStyle w:val="mpcbullets1"/>
      </w:pPr>
      <w:r w:rsidRPr="009C59C1">
        <w:t>Use of the HSR has also significantly increased as a percentage of all shoppers for low income</w:t>
      </w:r>
      <w:r>
        <w:t xml:space="preserve"> earners</w:t>
      </w:r>
      <w:r w:rsidRPr="009C59C1">
        <w:t xml:space="preserve"> (36% in 2018 compared to 14% in 2015), Māori </w:t>
      </w:r>
      <w:r>
        <w:t xml:space="preserve">people </w:t>
      </w:r>
      <w:r w:rsidRPr="009C59C1">
        <w:t>(33% in 2018 compared to 6% in 2015) and Pacific</w:t>
      </w:r>
      <w:r>
        <w:t xml:space="preserve"> </w:t>
      </w:r>
      <w:r w:rsidR="00FD1D97">
        <w:t>I</w:t>
      </w:r>
      <w:r>
        <w:t>slanders</w:t>
      </w:r>
      <w:r w:rsidRPr="009C59C1">
        <w:t xml:space="preserve"> (39% in 2018 compared to 25% in 2015). </w:t>
      </w:r>
    </w:p>
    <w:p w14:paraId="2C444362" w14:textId="77777777" w:rsidR="00F101DD" w:rsidRDefault="00F101DD">
      <w:pPr>
        <w:pStyle w:val="ListParagraph"/>
      </w:pPr>
    </w:p>
    <w:p w14:paraId="51D9E370" w14:textId="43A242A7" w:rsidR="00F101DD" w:rsidRPr="009C59C1" w:rsidRDefault="00F101DD" w:rsidP="006B6015">
      <w:pPr>
        <w:pStyle w:val="mpcNormal"/>
        <w:keepNext w:val="0"/>
      </w:pPr>
      <w:r>
        <w:t xml:space="preserve">These results demonstrate that the HSR has significant potential as a public health intervention. Key to the ongoing success of the intervention is </w:t>
      </w:r>
      <w:r w:rsidR="00FD1D97">
        <w:t xml:space="preserve">to </w:t>
      </w:r>
      <w:r>
        <w:t>continu</w:t>
      </w:r>
      <w:r w:rsidR="00FD1D97">
        <w:t xml:space="preserve">e </w:t>
      </w:r>
      <w:r>
        <w:t>increas</w:t>
      </w:r>
      <w:r w:rsidR="00FD1D97">
        <w:t>ing</w:t>
      </w:r>
      <w:r>
        <w:t xml:space="preserve"> awareness and use of the HSR</w:t>
      </w:r>
      <w:r w:rsidR="00FD1D97">
        <w:t>,</w:t>
      </w:r>
      <w:r>
        <w:t xml:space="preserve"> build</w:t>
      </w:r>
      <w:r w:rsidR="00FD1D97">
        <w:t>ing</w:t>
      </w:r>
      <w:r>
        <w:t xml:space="preserve"> confidence in the HSR and encourag</w:t>
      </w:r>
      <w:r w:rsidR="00FD1D97">
        <w:t>ing</w:t>
      </w:r>
      <w:r>
        <w:t xml:space="preserve"> its display across a wide range of products.</w:t>
      </w:r>
    </w:p>
    <w:p w14:paraId="2EF71B8D" w14:textId="77777777" w:rsidR="00F101DD" w:rsidRDefault="00F101DD" w:rsidP="00E95B2D">
      <w:pPr>
        <w:pStyle w:val="mpcNormal"/>
        <w:keepNext w:val="0"/>
      </w:pPr>
    </w:p>
    <w:p w14:paraId="58E8BE39" w14:textId="77777777" w:rsidR="00F101DD" w:rsidRPr="008C7F9E" w:rsidRDefault="00F101DD" w:rsidP="005A3631">
      <w:pPr>
        <w:pStyle w:val="mpcheading2"/>
        <w:spacing w:after="0"/>
        <w:rPr>
          <w:rFonts w:cstheme="minorHAnsi"/>
        </w:rPr>
      </w:pPr>
      <w:bookmarkStart w:id="74" w:name="Reformulation"/>
      <w:bookmarkStart w:id="75" w:name="_Toc9955046"/>
      <w:bookmarkEnd w:id="74"/>
      <w:r w:rsidRPr="00944DA4">
        <w:rPr>
          <w:rFonts w:cstheme="minorHAnsi"/>
        </w:rPr>
        <w:t>Reformulation</w:t>
      </w:r>
      <w:bookmarkEnd w:id="75"/>
      <w:r w:rsidRPr="00944DA4">
        <w:rPr>
          <w:rFonts w:cstheme="minorHAnsi"/>
        </w:rPr>
        <w:t xml:space="preserve"> </w:t>
      </w:r>
    </w:p>
    <w:p w14:paraId="73D66DEA" w14:textId="77777777" w:rsidR="00F101DD" w:rsidRDefault="00F101DD">
      <w:pPr>
        <w:rPr>
          <w:rFonts w:cstheme="minorHAnsi"/>
          <w:color w:val="000000"/>
          <w:sz w:val="22"/>
          <w:szCs w:val="22"/>
        </w:rPr>
      </w:pPr>
    </w:p>
    <w:p w14:paraId="0D14D3C2" w14:textId="33091C1F" w:rsidR="006C6A0E" w:rsidRPr="00F20183" w:rsidRDefault="006C6A0E" w:rsidP="00E95B2D">
      <w:pPr>
        <w:pStyle w:val="mpcNormal"/>
        <w:keepNext w:val="0"/>
      </w:pPr>
      <w:r w:rsidRPr="00F20183">
        <w:t>Of those products displaying an HSR in 2018 that were available prior to implementation of the HSR in Australia, 58% have been reformulated to some extent. Those displaying the HSR had statistically significant reductions in energy and saturated fat content over the four years since the System was introduced compared to those not displaying the HSR.</w:t>
      </w:r>
    </w:p>
    <w:p w14:paraId="357352DE" w14:textId="14E4C215" w:rsidR="00EE3B9C" w:rsidRPr="00F20183" w:rsidRDefault="00EE3B9C" w:rsidP="00E95B2D">
      <w:pPr>
        <w:pStyle w:val="mpcNormal"/>
        <w:keepNext w:val="0"/>
      </w:pPr>
    </w:p>
    <w:p w14:paraId="5693F196" w14:textId="6612634A" w:rsidR="00E95B2D" w:rsidRPr="00F20183" w:rsidRDefault="00EE3B9C" w:rsidP="00E95B2D">
      <w:pPr>
        <w:pStyle w:val="mpcNormal"/>
        <w:keepNext w:val="0"/>
      </w:pPr>
      <w:r w:rsidRPr="00F20183">
        <w:t>A</w:t>
      </w:r>
      <w:r w:rsidR="00F101DD" w:rsidRPr="00F20183">
        <w:t>nalysis of 929 products displaying the HSR in New Zealand shows that 79% have been reformulated since 2014 to change at least one key nutrient (energy, saturated fat, sugar, sodium, protein or fibre) by a minimum of 5%.</w:t>
      </w:r>
      <w:r w:rsidR="00E95B2D" w:rsidRPr="00F20183">
        <w:t xml:space="preserve"> While the majority of these changes could not be attributed solely to the HSR, t</w:t>
      </w:r>
      <w:r w:rsidR="00E95B2D" w:rsidRPr="00F20183">
        <w:rPr>
          <w:szCs w:val="24"/>
        </w:rPr>
        <w:t xml:space="preserve">here was a statistically significant reduction in sodium content in products displaying the HSR, compared to products that did not display the HSR. </w:t>
      </w:r>
    </w:p>
    <w:p w14:paraId="32AC2DF4" w14:textId="6E211A00" w:rsidR="00F101DD" w:rsidRDefault="00F101DD">
      <w:pPr>
        <w:rPr>
          <w:rFonts w:cstheme="minorHAnsi"/>
          <w:color w:val="000000"/>
          <w:sz w:val="22"/>
          <w:szCs w:val="22"/>
        </w:rPr>
      </w:pPr>
    </w:p>
    <w:p w14:paraId="126BA955" w14:textId="21071980" w:rsidR="00F101DD" w:rsidRPr="00771C5A" w:rsidRDefault="00F101DD">
      <w:pPr>
        <w:rPr>
          <w:rFonts w:cstheme="minorHAnsi"/>
          <w:color w:val="000000"/>
          <w:sz w:val="22"/>
          <w:szCs w:val="22"/>
        </w:rPr>
      </w:pPr>
      <w:r>
        <w:rPr>
          <w:rFonts w:cstheme="minorHAnsi"/>
          <w:color w:val="000000"/>
          <w:sz w:val="22"/>
          <w:szCs w:val="22"/>
        </w:rPr>
        <w:t xml:space="preserve">A </w:t>
      </w:r>
      <w:r w:rsidRPr="00771C5A">
        <w:rPr>
          <w:rFonts w:cstheme="minorHAnsi"/>
          <w:color w:val="000000"/>
          <w:sz w:val="22"/>
          <w:szCs w:val="22"/>
        </w:rPr>
        <w:t xml:space="preserve">number of retailers and manufacturers provided the Review with examples of products that have been reformulated to reduce sodium, sugars and/or saturated fat as a direct result of the HSR System. For example: </w:t>
      </w:r>
    </w:p>
    <w:p w14:paraId="474BE47D" w14:textId="77777777" w:rsidR="00F101DD" w:rsidRPr="00771C5A" w:rsidRDefault="00F101DD">
      <w:pPr>
        <w:rPr>
          <w:rFonts w:cstheme="minorHAnsi"/>
          <w:color w:val="000000"/>
          <w:sz w:val="22"/>
          <w:szCs w:val="22"/>
        </w:rPr>
      </w:pPr>
    </w:p>
    <w:p w14:paraId="45897B9B" w14:textId="09256D98" w:rsidR="00F101DD" w:rsidRPr="00771C5A" w:rsidRDefault="00F101DD" w:rsidP="007E0D2C">
      <w:pPr>
        <w:pStyle w:val="mpcbullets1"/>
      </w:pPr>
      <w:r>
        <w:t>Woolworths</w:t>
      </w:r>
      <w:r w:rsidRPr="00771C5A">
        <w:t xml:space="preserve"> has reformulated a number of private label products to increase the HSR and has set </w:t>
      </w:r>
      <w:r>
        <w:t xml:space="preserve">HSR </w:t>
      </w:r>
      <w:r w:rsidRPr="00771C5A">
        <w:t>target</w:t>
      </w:r>
      <w:r>
        <w:t>s</w:t>
      </w:r>
      <w:r w:rsidRPr="00771C5A">
        <w:t xml:space="preserve"> to guide </w:t>
      </w:r>
      <w:r w:rsidR="00BA6DB7">
        <w:t>the</w:t>
      </w:r>
      <w:r w:rsidR="00BA6DB7" w:rsidRPr="00771C5A">
        <w:t xml:space="preserve"> </w:t>
      </w:r>
      <w:r w:rsidRPr="00771C5A">
        <w:t>development</w:t>
      </w:r>
      <w:r w:rsidR="00BA6DB7">
        <w:t xml:space="preserve"> of a number of product ranges</w:t>
      </w:r>
      <w:r w:rsidRPr="00771C5A">
        <w:t>. This has resulted in some positive reformulation</w:t>
      </w:r>
      <w:r w:rsidR="00BA6DB7">
        <w:t>,</w:t>
      </w:r>
      <w:r>
        <w:t xml:space="preserve"> </w:t>
      </w:r>
      <w:r w:rsidR="00BA6DB7">
        <w:t>including</w:t>
      </w:r>
      <w:r w:rsidRPr="00771C5A">
        <w:t>:</w:t>
      </w:r>
    </w:p>
    <w:p w14:paraId="4657CE3D" w14:textId="7BEA090D" w:rsidR="00F101DD" w:rsidRPr="00771C5A" w:rsidRDefault="001A02FD" w:rsidP="00173A82">
      <w:pPr>
        <w:pStyle w:val="mpcbullets2"/>
      </w:pPr>
      <w:r>
        <w:t>m</w:t>
      </w:r>
      <w:r w:rsidR="00F101DD" w:rsidRPr="00771C5A">
        <w:t>uesli</w:t>
      </w:r>
      <w:r w:rsidR="00F101DD">
        <w:t>s</w:t>
      </w:r>
      <w:r w:rsidR="00F101DD" w:rsidRPr="00771C5A">
        <w:t xml:space="preserve"> – reformulated to increase the HSR from 4 to 4.5 or 5 </w:t>
      </w:r>
    </w:p>
    <w:p w14:paraId="318FC756" w14:textId="02F8BEF3" w:rsidR="00F101DD" w:rsidRPr="00771C5A" w:rsidRDefault="001A02FD" w:rsidP="00173A82">
      <w:pPr>
        <w:pStyle w:val="mpcbullets2"/>
      </w:pPr>
      <w:r>
        <w:t>m</w:t>
      </w:r>
      <w:r w:rsidR="00F101DD" w:rsidRPr="00771C5A">
        <w:t xml:space="preserve">uesli </w:t>
      </w:r>
      <w:r w:rsidR="00D327CE">
        <w:t>b</w:t>
      </w:r>
      <w:r w:rsidR="00F101DD" w:rsidRPr="00771C5A">
        <w:t>ars – reformulated to increase the HSR from 3 to 3.5 </w:t>
      </w:r>
    </w:p>
    <w:p w14:paraId="73DF0B86" w14:textId="71E7B128" w:rsidR="00F101DD" w:rsidRPr="00771C5A" w:rsidRDefault="001A02FD" w:rsidP="00173A82">
      <w:pPr>
        <w:pStyle w:val="mpcbullets2"/>
      </w:pPr>
      <w:r>
        <w:t>p</w:t>
      </w:r>
      <w:r w:rsidR="00F101DD" w:rsidRPr="00771C5A">
        <w:t>rocessed cheese – reformulated to increase the HSR from 0.5 to 2</w:t>
      </w:r>
    </w:p>
    <w:p w14:paraId="4ECA195A" w14:textId="67CF8BD1" w:rsidR="00F101DD" w:rsidRPr="00771C5A" w:rsidRDefault="00F101DD" w:rsidP="00173A82">
      <w:pPr>
        <w:pStyle w:val="mpcbullets2"/>
      </w:pPr>
      <w:r w:rsidRPr="00771C5A">
        <w:t xml:space="preserve">fresh ready meals and soups – all required to be formulated to </w:t>
      </w:r>
      <w:r w:rsidR="00E060E2">
        <w:t>have an HSR of at least</w:t>
      </w:r>
      <w:r w:rsidR="00E060E2" w:rsidRPr="00771C5A">
        <w:t xml:space="preserve"> </w:t>
      </w:r>
      <w:r w:rsidRPr="00771C5A">
        <w:t>4</w:t>
      </w:r>
    </w:p>
    <w:p w14:paraId="2F672D9A" w14:textId="51F9184C" w:rsidR="0013787C" w:rsidRPr="00710029" w:rsidRDefault="00710029" w:rsidP="007E0D2C">
      <w:pPr>
        <w:pStyle w:val="mpcbullets1"/>
      </w:pPr>
      <w:r w:rsidRPr="00710029">
        <w:t>One manufacturer</w:t>
      </w:r>
      <w:r w:rsidR="0013787C" w:rsidRPr="00710029">
        <w:t xml:space="preserve"> conducted a program of work to reformulate their muesli bar range to ensure an average HSR of 4 across the range (where they previously received HSRs of between 2.5 and 3). The changes made included reductions in sugars, saturated fat and sodium and increases in wholegrain and fibre to boost the nutritional profile and the HSRs of these products.</w:t>
      </w:r>
      <w:r w:rsidR="00D327CE">
        <w:t xml:space="preserve"> </w:t>
      </w:r>
      <w:r w:rsidRPr="00710029">
        <w:t>The manufacturer</w:t>
      </w:r>
      <w:r w:rsidR="0013787C" w:rsidRPr="00710029">
        <w:t xml:space="preserve"> also reformulated </w:t>
      </w:r>
      <w:r w:rsidRPr="00710029">
        <w:t>one breakfast cereal</w:t>
      </w:r>
      <w:r w:rsidR="0013787C" w:rsidRPr="00710029">
        <w:t xml:space="preserve"> to reduce sugar content by 12%, halve saturated fat content and double wholegrain and fibre.</w:t>
      </w:r>
    </w:p>
    <w:p w14:paraId="62458EFC" w14:textId="60A099F0" w:rsidR="0013787C" w:rsidRPr="00710029" w:rsidRDefault="00710029" w:rsidP="007E0D2C">
      <w:pPr>
        <w:pStyle w:val="mpcbullets1"/>
      </w:pPr>
      <w:r w:rsidRPr="00710029">
        <w:t>Another manufacturer</w:t>
      </w:r>
      <w:r w:rsidR="0013787C" w:rsidRPr="00710029">
        <w:t xml:space="preserve"> undertook reformulation to improve the HSR of </w:t>
      </w:r>
      <w:r w:rsidRPr="00710029">
        <w:t>one of their breakfast cereals</w:t>
      </w:r>
      <w:r w:rsidR="0013787C" w:rsidRPr="00710029">
        <w:t xml:space="preserve"> from 2.5 to 4 when the HSR System was first implemented. This included reducing total sugars and increasing dietary fibre content by adding wholegrain.</w:t>
      </w:r>
    </w:p>
    <w:p w14:paraId="3EF93B94" w14:textId="77777777" w:rsidR="0013787C" w:rsidRPr="0013787C" w:rsidRDefault="0013787C" w:rsidP="00710029">
      <w:pPr>
        <w:pStyle w:val="mpcNormal"/>
        <w:keepNext w:val="0"/>
      </w:pPr>
    </w:p>
    <w:p w14:paraId="023EE1D0" w14:textId="77777777" w:rsidR="00F101DD" w:rsidRPr="00771C5A" w:rsidRDefault="00F101DD" w:rsidP="002C3CBC">
      <w:pPr>
        <w:pStyle w:val="mpcNormal"/>
        <w:keepNext w:val="0"/>
      </w:pPr>
      <w:r w:rsidRPr="00771C5A">
        <w:t xml:space="preserve">This feedback is consistent with published research: </w:t>
      </w:r>
    </w:p>
    <w:p w14:paraId="41699E96" w14:textId="77777777" w:rsidR="00F101DD" w:rsidRPr="00771C5A" w:rsidRDefault="00F101DD" w:rsidP="002C3CBC">
      <w:pPr>
        <w:pStyle w:val="mpcNormal"/>
        <w:keepNext w:val="0"/>
      </w:pPr>
    </w:p>
    <w:p w14:paraId="6E7CA830" w14:textId="03CE738F" w:rsidR="00F101DD" w:rsidRPr="00F720A0" w:rsidRDefault="00F101DD" w:rsidP="007E0D2C">
      <w:pPr>
        <w:pStyle w:val="mpcbullets1"/>
        <w:keepNext w:val="0"/>
      </w:pPr>
      <w:r>
        <w:t>A</w:t>
      </w:r>
      <w:r w:rsidRPr="00771C5A">
        <w:t xml:space="preserve">n Australian study </w:t>
      </w:r>
      <w:r w:rsidRPr="00F720A0">
        <w:t>published in May 2018</w:t>
      </w:r>
      <w:r w:rsidRPr="00F720A0">
        <w:rPr>
          <w:vertAlign w:val="superscript"/>
        </w:rPr>
        <w:footnoteReference w:id="25"/>
      </w:r>
      <w:r w:rsidRPr="00F720A0">
        <w:t xml:space="preserve"> analysed the change in composition for products displaying HSR from 2013 to 2016. It found the average energy density of products displaying the HSR was lower following implementation of the HSR System. Products that did not display the HSR showed less reduction (or even some increases) in energy density. The study found that the </w:t>
      </w:r>
      <w:r w:rsidR="00F720A0">
        <w:t xml:space="preserve">impact of the </w:t>
      </w:r>
      <w:r w:rsidRPr="00F720A0">
        <w:t>HSR System on product reformulation has the potential to generate increasing health benefits and reduce mean population body weight.</w:t>
      </w:r>
    </w:p>
    <w:p w14:paraId="3F4D348C" w14:textId="5E1A95FD" w:rsidR="00F101DD" w:rsidRPr="00771C5A" w:rsidRDefault="00F101DD" w:rsidP="007E0D2C">
      <w:pPr>
        <w:pStyle w:val="mpcbullets1"/>
      </w:pPr>
      <w:r w:rsidRPr="00F720A0">
        <w:t>A New Zealand study published in August 2017</w:t>
      </w:r>
      <w:r w:rsidRPr="00F720A0">
        <w:rPr>
          <w:rStyle w:val="FootnoteReference"/>
          <w:sz w:val="22"/>
        </w:rPr>
        <w:footnoteReference w:id="26"/>
      </w:r>
      <w:r w:rsidRPr="00F720A0">
        <w:rPr>
          <w:vertAlign w:val="superscript"/>
        </w:rPr>
        <w:t xml:space="preserve"> </w:t>
      </w:r>
      <w:r w:rsidRPr="00F720A0">
        <w:t>showed that products displaying the HSR had significantly lower mean saturated fat</w:t>
      </w:r>
      <w:r w:rsidR="00C1094C">
        <w:t xml:space="preserve"> </w:t>
      </w:r>
      <w:r w:rsidRPr="00F720A0">
        <w:t>and sodium, and higher fibre content, than products not displaying the HSR. Small but statistically significant changes were observed in mean energy density, sodium and fibre contents of products displaying the HSR compared</w:t>
      </w:r>
      <w:r w:rsidRPr="00771C5A">
        <w:t xml:space="preserve"> with their composition prior to their adoption of the HSR. Reformulation of products displaying the HSR was greater than that of products that did not display the HSR over the same period. It was concluded that the roll-out of the HSR System is driving healthier reformulation of some products.</w:t>
      </w:r>
    </w:p>
    <w:p w14:paraId="0FE5A31F" w14:textId="77777777" w:rsidR="00F101DD" w:rsidRPr="00771C5A" w:rsidRDefault="00F101DD" w:rsidP="002C3CBC">
      <w:pPr>
        <w:pStyle w:val="mpcNormal"/>
        <w:keepNext w:val="0"/>
      </w:pPr>
    </w:p>
    <w:p w14:paraId="77AFA1F1" w14:textId="77777777" w:rsidR="00F101DD" w:rsidRPr="00E40FB1" w:rsidRDefault="00F101DD" w:rsidP="003D50B3">
      <w:pPr>
        <w:pStyle w:val="mpcheading2"/>
        <w:keepNext/>
        <w:pBdr>
          <w:bottom w:val="single" w:sz="4" w:space="0" w:color="auto"/>
        </w:pBdr>
        <w:spacing w:after="0"/>
        <w:rPr>
          <w:rFonts w:cstheme="minorHAnsi"/>
          <w:szCs w:val="22"/>
        </w:rPr>
      </w:pPr>
      <w:bookmarkStart w:id="76" w:name="Alignment"/>
      <w:bookmarkStart w:id="77" w:name="_Toc9955047"/>
      <w:bookmarkEnd w:id="76"/>
      <w:r w:rsidRPr="00E40FB1">
        <w:rPr>
          <w:rFonts w:cstheme="minorHAnsi"/>
          <w:szCs w:val="22"/>
        </w:rPr>
        <w:t>Alignment with Dietary Guidelines</w:t>
      </w:r>
      <w:bookmarkEnd w:id="77"/>
    </w:p>
    <w:p w14:paraId="27E497E8" w14:textId="77777777" w:rsidR="00F101DD" w:rsidRPr="00E40FB1" w:rsidRDefault="00F101DD" w:rsidP="003D50B3">
      <w:pPr>
        <w:pStyle w:val="mpcNormal"/>
      </w:pPr>
    </w:p>
    <w:tbl>
      <w:tblPr>
        <w:tblStyle w:val="TableGrid"/>
        <w:tblW w:w="0" w:type="auto"/>
        <w:tblLook w:val="04A0" w:firstRow="1" w:lastRow="0" w:firstColumn="1" w:lastColumn="0" w:noHBand="0" w:noVBand="1"/>
        <w:tblCaption w:val="Dietary Guidelines"/>
        <w:tblDescription w:val="This table explains what the Dietary Guidelines are."/>
      </w:tblPr>
      <w:tblGrid>
        <w:gridCol w:w="9736"/>
      </w:tblGrid>
      <w:tr w:rsidR="00F101DD" w14:paraId="0446A573" w14:textId="77777777" w:rsidTr="002C3CBC">
        <w:trPr>
          <w:trHeight w:val="2661"/>
        </w:trPr>
        <w:tc>
          <w:tcPr>
            <w:tcW w:w="9736" w:type="dxa"/>
            <w:shd w:val="clear" w:color="auto" w:fill="F2F2F2" w:themeFill="background1" w:themeFillShade="F2"/>
            <w:vAlign w:val="center"/>
          </w:tcPr>
          <w:p w14:paraId="07A474C7" w14:textId="77777777" w:rsidR="00F101DD" w:rsidRDefault="00F101DD" w:rsidP="003D50B3">
            <w:pPr>
              <w:pStyle w:val="mpcheading4"/>
            </w:pPr>
            <w:r w:rsidRPr="005613A1">
              <w:t>What are the Dietary Guidelines?</w:t>
            </w:r>
          </w:p>
          <w:p w14:paraId="4B20B36F" w14:textId="77777777" w:rsidR="00F101DD" w:rsidRPr="005613A1" w:rsidRDefault="00F101DD" w:rsidP="003D50B3">
            <w:pPr>
              <w:pStyle w:val="mpcNormal"/>
            </w:pPr>
          </w:p>
          <w:p w14:paraId="40908B8E" w14:textId="1BD5EA69" w:rsidR="00F101DD" w:rsidRDefault="00F101DD" w:rsidP="003D50B3">
            <w:pPr>
              <w:pStyle w:val="mpcNormal"/>
            </w:pPr>
            <w:r w:rsidRPr="00E40FB1">
              <w:t>Dietary Guidelines aim to promote the benefits of healthy eating</w:t>
            </w:r>
            <w:r w:rsidR="00FD1D97">
              <w:t xml:space="preserve"> </w:t>
            </w:r>
            <w:r w:rsidRPr="00E40FB1">
              <w:t xml:space="preserve">to reduce the risk of diet-related disease </w:t>
            </w:r>
            <w:r w:rsidR="00FD1D97">
              <w:t>and</w:t>
            </w:r>
            <w:r w:rsidRPr="00E40FB1">
              <w:t xml:space="preserve"> improve health and wellbeing. Dietary Guidelines provide advice on the types and amounts of foods and beverages people should consume, with recommendations based on whole foods rather than specific food components or nutrients (noting that they do recommend avoiding foods high in certain nutrients). The ADG classify foods as FFG (foods that form the basis of a healthy diet) or discretionary (foods to limit in the diet). While the NZEAG do not use these terms, advice is consistent regarding recommendations to limit intake of foods high in added sugars, sodium and/or saturated fats. </w:t>
            </w:r>
          </w:p>
        </w:tc>
      </w:tr>
    </w:tbl>
    <w:p w14:paraId="2545DE9B" w14:textId="77777777" w:rsidR="00F101DD" w:rsidRPr="00E40FB1" w:rsidRDefault="00F101DD" w:rsidP="002C3CBC">
      <w:pPr>
        <w:pStyle w:val="mpcNormal"/>
        <w:keepNext w:val="0"/>
      </w:pPr>
    </w:p>
    <w:p w14:paraId="0479B222" w14:textId="77777777" w:rsidR="00F101DD" w:rsidRPr="00E40FB1" w:rsidRDefault="00F101DD" w:rsidP="002C3CBC">
      <w:pPr>
        <w:pStyle w:val="mpcNormal"/>
        <w:keepNext w:val="0"/>
      </w:pPr>
      <w:r w:rsidRPr="00E40FB1">
        <w:t>In contrast</w:t>
      </w:r>
      <w:r>
        <w:t xml:space="preserve"> to Dietary Guidelines</w:t>
      </w:r>
      <w:r w:rsidRPr="00E40FB1">
        <w:t>, the HSR System uses a product’s nutritional composition to provide an empirical scale of its relative healthiness. Given the different focus of the HSR System, it cannot be expected to align entirely with the Dietary Guidelines, nor communicate all of the messages embedded in the Dietary Guidelines (including in relation to portion size/quantity or a person’s whole diet).</w:t>
      </w:r>
    </w:p>
    <w:p w14:paraId="4BB38350" w14:textId="77777777" w:rsidR="00F101DD" w:rsidRPr="00E40FB1" w:rsidRDefault="00F101DD" w:rsidP="002C3CBC">
      <w:pPr>
        <w:pStyle w:val="mpcNormal"/>
        <w:keepNext w:val="0"/>
      </w:pPr>
    </w:p>
    <w:p w14:paraId="40C18069" w14:textId="0BDBA99A" w:rsidR="00F101DD" w:rsidRDefault="00F101DD" w:rsidP="002C3CBC">
      <w:pPr>
        <w:pStyle w:val="mpcNormal"/>
        <w:keepNext w:val="0"/>
        <w:rPr>
          <w:color w:val="000000"/>
        </w:rPr>
      </w:pPr>
      <w:r>
        <w:t>O</w:t>
      </w:r>
      <w:r w:rsidRPr="00E40FB1">
        <w:t xml:space="preserve">ne way of examining the alignment of the HSR </w:t>
      </w:r>
      <w:r>
        <w:t>S</w:t>
      </w:r>
      <w:r w:rsidRPr="00E40FB1">
        <w:t>ystem with Dietary Guidelines</w:t>
      </w:r>
      <w:r w:rsidR="00235D47">
        <w:t xml:space="preserve">, </w:t>
      </w:r>
      <w:r w:rsidRPr="00E40FB1">
        <w:t xml:space="preserve">particularly in the Australian context is to consider how well it scores products against the </w:t>
      </w:r>
      <w:hyperlink r:id="rId42" w:history="1">
        <w:r w:rsidRPr="005613A1">
          <w:rPr>
            <w:rStyle w:val="Hyperlink"/>
          </w:rPr>
          <w:t>AHS Discretionary Foods List</w:t>
        </w:r>
      </w:hyperlink>
      <w:r w:rsidRPr="00E40FB1">
        <w:t xml:space="preserve">. The Discretionary Foods List was developed by the ABS for the purpose of the 2011-12 National Nutrition and Physical Activity Survey. It provides a binary system for classifying foods into </w:t>
      </w:r>
      <w:r w:rsidR="00A84FB4">
        <w:t>FFG</w:t>
      </w:r>
      <w:r w:rsidRPr="00E40FB1">
        <w:t xml:space="preserve"> and discretionary (foods for limited intake) based on the ADG. While the List has some limitations</w:t>
      </w:r>
      <w:r>
        <w:t xml:space="preserve"> (and is currently under review by the NHMRC)</w:t>
      </w:r>
      <w:r w:rsidRPr="00E40FB1">
        <w:t xml:space="preserve">, it provides a general indication of foods that are FFG or discretionary. A principle in the development of the HSR System was to ensure, where possible, that products eligible to carry a health claim and FFG </w:t>
      </w:r>
      <w:r w:rsidR="00F720A0">
        <w:t>foods</w:t>
      </w:r>
      <w:r w:rsidRPr="00E40FB1">
        <w:t xml:space="preserve"> score an HSR </w:t>
      </w:r>
      <w:r w:rsidRPr="00E40FB1">
        <w:rPr>
          <w:color w:val="000000"/>
        </w:rPr>
        <w:t>≥</w:t>
      </w:r>
      <w:r w:rsidRPr="00E40FB1">
        <w:t xml:space="preserve"> 3, while discretionary </w:t>
      </w:r>
      <w:r w:rsidR="00F720A0">
        <w:t>foods</w:t>
      </w:r>
      <w:r w:rsidRPr="00E40FB1">
        <w:t xml:space="preserve"> score an HSR &lt; 3.</w:t>
      </w:r>
      <w:r w:rsidRPr="00E40FB1">
        <w:rPr>
          <w:rStyle w:val="FootnoteReference"/>
          <w:sz w:val="22"/>
        </w:rPr>
        <w:footnoteReference w:id="27"/>
      </w:r>
      <w:r w:rsidRPr="00E40FB1">
        <w:t xml:space="preserve"> </w:t>
      </w:r>
      <w:r w:rsidRPr="00E40FB1">
        <w:rPr>
          <w:color w:val="000000"/>
        </w:rPr>
        <w:t>Recent monitoring data shows that 95% of consumers believe an HSR ≥ 4 is ‘healthy’, while 97% of consumers believe an HSR ≤3.5 is ‘unhealthy’.</w:t>
      </w:r>
      <w:r w:rsidRPr="00E40FB1">
        <w:rPr>
          <w:rStyle w:val="FootnoteReference"/>
          <w:color w:val="000000"/>
          <w:sz w:val="22"/>
        </w:rPr>
        <w:footnoteReference w:id="28"/>
      </w:r>
    </w:p>
    <w:p w14:paraId="6214B625" w14:textId="77777777" w:rsidR="00FD1AF6" w:rsidRPr="00E40FB1" w:rsidRDefault="00FD1AF6" w:rsidP="002C3CBC">
      <w:pPr>
        <w:pStyle w:val="mpcNormal"/>
        <w:keepNext w:val="0"/>
      </w:pPr>
    </w:p>
    <w:p w14:paraId="64208D3D" w14:textId="5346490D" w:rsidR="00F101DD" w:rsidRPr="00887F92" w:rsidRDefault="00F101DD" w:rsidP="002C3CBC">
      <w:pPr>
        <w:pStyle w:val="mpcNormal"/>
        <w:keepNext w:val="0"/>
      </w:pPr>
      <w:r w:rsidRPr="00887F92">
        <w:t>A number of reviews have examined the alignment of the HSR System with Dietary Guidelines</w:t>
      </w:r>
      <w:r w:rsidR="00FD1AF6">
        <w:t>, consistently showing that healthy FFG foods receive higher HSRs than discretionary foods</w:t>
      </w:r>
      <w:r w:rsidRPr="00887F92">
        <w:t>:</w:t>
      </w:r>
    </w:p>
    <w:p w14:paraId="4FD73B32" w14:textId="77777777" w:rsidR="00F101DD" w:rsidRPr="00887F92" w:rsidRDefault="00F101DD" w:rsidP="002C3CBC">
      <w:pPr>
        <w:pStyle w:val="mpcNormal"/>
        <w:keepNext w:val="0"/>
      </w:pPr>
    </w:p>
    <w:p w14:paraId="0F06C56F" w14:textId="77777777" w:rsidR="00F101DD" w:rsidRPr="00771C5A" w:rsidRDefault="00F101DD" w:rsidP="007E0D2C">
      <w:pPr>
        <w:pStyle w:val="mpcbullets1"/>
        <w:rPr>
          <w:b/>
          <w:i/>
        </w:rPr>
      </w:pPr>
      <w:r w:rsidRPr="00887F92">
        <w:t xml:space="preserve">Research </w:t>
      </w:r>
      <w:r w:rsidRPr="00771C5A">
        <w:t>undertaken</w:t>
      </w:r>
      <w:r w:rsidRPr="00887F92">
        <w:t xml:space="preserve"> by the George Institute published in April 2018</w:t>
      </w:r>
      <w:r w:rsidRPr="00887F92">
        <w:rPr>
          <w:rStyle w:val="FootnoteReference"/>
        </w:rPr>
        <w:footnoteReference w:id="29"/>
      </w:r>
      <w:r w:rsidRPr="00887F92">
        <w:t xml:space="preserve"> found there is 86.6% overall alignment with the ADG, with FFG foods scoring an average HSR of 4 and discretionary foods scoring an average HSR of 2. </w:t>
      </w:r>
    </w:p>
    <w:p w14:paraId="11D0E5C1" w14:textId="55A27945" w:rsidR="00F101DD" w:rsidRPr="006E651C" w:rsidRDefault="00F101DD" w:rsidP="00173A82">
      <w:pPr>
        <w:pStyle w:val="mpcbullets2"/>
      </w:pPr>
      <w:r w:rsidRPr="00887F92">
        <w:t>Of the outliers, 83% were characterised as an ADG failure (based on the AHS Discretionary Foods List due to challenges in defining FFG and discretionary) rather than a failure</w:t>
      </w:r>
      <w:r w:rsidR="00F720A0">
        <w:t xml:space="preserve"> of the HSR System</w:t>
      </w:r>
      <w:r w:rsidRPr="00887F92">
        <w:t xml:space="preserve">. </w:t>
      </w:r>
    </w:p>
    <w:p w14:paraId="160AD9F5" w14:textId="77777777" w:rsidR="00F101DD" w:rsidRPr="006E651C" w:rsidRDefault="00F101DD" w:rsidP="00173A82">
      <w:pPr>
        <w:pStyle w:val="mpcbullets2"/>
      </w:pPr>
      <w:r w:rsidRPr="00887F92">
        <w:t xml:space="preserve">17% of the outliers were attributed to issues with the HSR System, including in relation to sauces, dressings, spreads and dips, savoury snacks, meats and meat products, convenience foods, fruits and </w:t>
      </w:r>
      <w:r>
        <w:t>sweetened</w:t>
      </w:r>
      <w:r w:rsidRPr="00887F92">
        <w:t xml:space="preserve"> yoghurts.</w:t>
      </w:r>
    </w:p>
    <w:p w14:paraId="3958525D" w14:textId="77777777" w:rsidR="00F101DD" w:rsidRPr="00887F92" w:rsidRDefault="00F101DD" w:rsidP="00D82678">
      <w:pPr>
        <w:pStyle w:val="mpcbullets1"/>
        <w:keepNext w:val="0"/>
      </w:pPr>
      <w:r w:rsidRPr="00887F92">
        <w:t xml:space="preserve">A </w:t>
      </w:r>
      <w:r w:rsidRPr="00771C5A">
        <w:t>study</w:t>
      </w:r>
      <w:r w:rsidRPr="00887F92">
        <w:t xml:space="preserve"> published in January 2018</w:t>
      </w:r>
      <w:r w:rsidRPr="00887F92">
        <w:rPr>
          <w:rStyle w:val="FootnoteReference"/>
        </w:rPr>
        <w:footnoteReference w:id="30"/>
      </w:r>
      <w:r w:rsidRPr="00887F92">
        <w:t xml:space="preserve"> found the median HSR displayed on discretionary foods was 2.5, significantly lower than the median HSR of 4 for FFG foods.</w:t>
      </w:r>
    </w:p>
    <w:p w14:paraId="0C5C82C5" w14:textId="77777777" w:rsidR="00F101DD" w:rsidRDefault="00F101DD" w:rsidP="00D82678">
      <w:pPr>
        <w:pStyle w:val="mpcbullets1"/>
        <w:keepNext w:val="0"/>
      </w:pPr>
      <w:r w:rsidRPr="00887F92">
        <w:t>Research commissioned by the NSW Ministry of Health in 2015</w:t>
      </w:r>
      <w:r w:rsidRPr="00887F92">
        <w:rPr>
          <w:rStyle w:val="FootnoteReference"/>
        </w:rPr>
        <w:footnoteReference w:id="31"/>
      </w:r>
      <w:r w:rsidRPr="00887F92">
        <w:t xml:space="preserve"> found that 79% of foods and beverages classified as FFG score an HSR of ≥</w:t>
      </w:r>
      <w:r>
        <w:t xml:space="preserve"> </w:t>
      </w:r>
      <w:r w:rsidRPr="00887F92">
        <w:t>3.5, while only 14% of foods and beverages classified as discretionary score an HSR of ≥</w:t>
      </w:r>
      <w:r>
        <w:t xml:space="preserve"> </w:t>
      </w:r>
      <w:r w:rsidRPr="00887F92">
        <w:t xml:space="preserve">3.5. </w:t>
      </w:r>
    </w:p>
    <w:p w14:paraId="54116FE5" w14:textId="2AD361F5" w:rsidR="00F101DD" w:rsidRPr="003B100E" w:rsidRDefault="00F101DD" w:rsidP="00D82678">
      <w:pPr>
        <w:pStyle w:val="mpcbullets2"/>
      </w:pPr>
      <w:r w:rsidRPr="003B100E">
        <w:t>Outliers included discretionary products scoring ≥3.5</w:t>
      </w:r>
      <w:r>
        <w:t xml:space="preserve"> (</w:t>
      </w:r>
      <w:r w:rsidRPr="003B100E">
        <w:t>snack bars, dairy desserts, ice confection and salty snacks</w:t>
      </w:r>
      <w:r>
        <w:t>)</w:t>
      </w:r>
      <w:r w:rsidRPr="003B100E">
        <w:t xml:space="preserve"> and </w:t>
      </w:r>
      <w:r w:rsidR="00701F22">
        <w:t>FFG</w:t>
      </w:r>
      <w:r w:rsidRPr="003B100E">
        <w:t xml:space="preserve"> products scoring &lt; 3.5</w:t>
      </w:r>
      <w:r>
        <w:t xml:space="preserve"> (</w:t>
      </w:r>
      <w:r w:rsidRPr="003B100E">
        <w:t>some cheeses and yoghurts</w:t>
      </w:r>
      <w:r>
        <w:t>).</w:t>
      </w:r>
    </w:p>
    <w:p w14:paraId="3BFE841A" w14:textId="77777777" w:rsidR="00F101DD" w:rsidRPr="00887F92" w:rsidRDefault="00F101DD" w:rsidP="00D82678">
      <w:pPr>
        <w:pStyle w:val="mpcbullets1"/>
        <w:keepNext w:val="0"/>
      </w:pPr>
      <w:r w:rsidRPr="00887F92">
        <w:t>A study published in May 2016</w:t>
      </w:r>
      <w:r w:rsidRPr="00887F92">
        <w:rPr>
          <w:rStyle w:val="FootnoteReference"/>
        </w:rPr>
        <w:footnoteReference w:id="32"/>
      </w:r>
      <w:r w:rsidRPr="00887F92">
        <w:t xml:space="preserve"> found </w:t>
      </w:r>
      <w:r w:rsidRPr="00771C5A">
        <w:t>that</w:t>
      </w:r>
      <w:r w:rsidRPr="00887F92">
        <w:t>, for dairy products, the HSR System largely aligned with the NPSC used for determining eligibility for health claims. Both systems appeared to be consistent with the ADG for dairy products, with lower-fat products rating higher.</w:t>
      </w:r>
    </w:p>
    <w:p w14:paraId="2E1EA01B" w14:textId="77777777" w:rsidR="00F101DD" w:rsidRPr="00887F92" w:rsidRDefault="00F101DD" w:rsidP="00D82678">
      <w:pPr>
        <w:pStyle w:val="mpcbullets1"/>
        <w:keepNext w:val="0"/>
      </w:pPr>
      <w:r w:rsidRPr="00887F92">
        <w:t xml:space="preserve">A </w:t>
      </w:r>
      <w:r w:rsidRPr="00771C5A">
        <w:t>study</w:t>
      </w:r>
      <w:r w:rsidRPr="00887F92">
        <w:t xml:space="preserve"> published in August 2016</w:t>
      </w:r>
      <w:r w:rsidRPr="00887F92">
        <w:rPr>
          <w:vertAlign w:val="superscript"/>
        </w:rPr>
        <w:footnoteReference w:id="33"/>
      </w:r>
      <w:r w:rsidRPr="00887F92">
        <w:rPr>
          <w:vertAlign w:val="superscript"/>
        </w:rPr>
        <w:t xml:space="preserve"> </w:t>
      </w:r>
      <w:r w:rsidRPr="00887F92">
        <w:t>found the HSR System rated packaged dairy foods and beverages broadly in line with the ADG by assigning FFG foods higher HSRs and discretionary foods lower HSRs.</w:t>
      </w:r>
    </w:p>
    <w:p w14:paraId="67F0EA4C" w14:textId="77777777" w:rsidR="00F101DD" w:rsidRPr="00E40FB1" w:rsidRDefault="00F101DD" w:rsidP="002C3CBC">
      <w:pPr>
        <w:pStyle w:val="mpcNormal"/>
        <w:keepNext w:val="0"/>
      </w:pPr>
    </w:p>
    <w:p w14:paraId="2059522F" w14:textId="77777777" w:rsidR="00F101DD" w:rsidRDefault="00F101DD" w:rsidP="002C3CBC">
      <w:pPr>
        <w:pStyle w:val="mpcNormal"/>
        <w:keepNext w:val="0"/>
      </w:pPr>
      <w:r>
        <w:t>M</w:t>
      </w:r>
      <w:r w:rsidRPr="00E40FB1">
        <w:t>odelling undertaken by the TAG</w:t>
      </w:r>
      <w:r>
        <w:t xml:space="preserve"> also established 72% overall alignment with the ADG</w:t>
      </w:r>
      <w:r w:rsidRPr="00E40FB1">
        <w:rPr>
          <w:rStyle w:val="FootnoteReference"/>
        </w:rPr>
        <w:footnoteReference w:id="34"/>
      </w:r>
      <w:r w:rsidRPr="00E40FB1">
        <w:t xml:space="preserve"> (with 84% of FFG foods scoring an HSR </w:t>
      </w:r>
      <w:r w:rsidRPr="00E40FB1">
        <w:sym w:font="Symbol" w:char="F0B3"/>
      </w:r>
      <w:r w:rsidRPr="00E40FB1">
        <w:t xml:space="preserve"> 3 and 61% of discretionary foods scoring an HSR &lt; 3)</w:t>
      </w:r>
      <w:r>
        <w:t>:</w:t>
      </w:r>
    </w:p>
    <w:p w14:paraId="1DB2901F" w14:textId="77777777" w:rsidR="00F101DD" w:rsidRPr="00E40FB1" w:rsidRDefault="00F101DD" w:rsidP="002C3CBC">
      <w:pPr>
        <w:pStyle w:val="mpcNormal"/>
        <w:keepNext w:val="0"/>
      </w:pPr>
    </w:p>
    <w:p w14:paraId="664FADD5" w14:textId="77777777" w:rsidR="00F101DD" w:rsidRPr="00E40FB1" w:rsidRDefault="00F101DD" w:rsidP="007E0D2C">
      <w:pPr>
        <w:pStyle w:val="mpcbullets1"/>
      </w:pPr>
      <w:r>
        <w:t>O</w:t>
      </w:r>
      <w:r w:rsidRPr="00E40FB1">
        <w:t xml:space="preserve">utliers were classified as FFG foods with an HSR &lt; 3 and discretionary foods with an HSR </w:t>
      </w:r>
      <w:r w:rsidRPr="00E40FB1">
        <w:sym w:font="Symbol" w:char="F0B3"/>
      </w:r>
      <w:r w:rsidRPr="00E40FB1">
        <w:t xml:space="preserve"> 3</w:t>
      </w:r>
    </w:p>
    <w:p w14:paraId="19CCA38A" w14:textId="066FCDD3" w:rsidR="00F101DD" w:rsidRPr="00771C5A" w:rsidRDefault="00F101DD" w:rsidP="00173A82">
      <w:pPr>
        <w:pStyle w:val="mpcbullets2"/>
      </w:pPr>
      <w:r w:rsidRPr="00E40FB1">
        <w:t xml:space="preserve">FFG </w:t>
      </w:r>
      <w:r w:rsidRPr="00771C5A">
        <w:t xml:space="preserve">outliers </w:t>
      </w:r>
      <w:r>
        <w:t xml:space="preserve">were </w:t>
      </w:r>
      <w:r w:rsidRPr="00771C5A">
        <w:t>mainly cheeses and yoghurts</w:t>
      </w:r>
      <w:r w:rsidR="00A84FB4">
        <w:t>.</w:t>
      </w:r>
    </w:p>
    <w:p w14:paraId="5AAAB2D5" w14:textId="0A37C36A" w:rsidR="00F101DD" w:rsidRPr="00E40FB1" w:rsidRDefault="00F101DD" w:rsidP="00173A82">
      <w:pPr>
        <w:pStyle w:val="mpcbullets2"/>
      </w:pPr>
      <w:r>
        <w:t>D</w:t>
      </w:r>
      <w:r w:rsidRPr="00771C5A">
        <w:t>iscretionary</w:t>
      </w:r>
      <w:r w:rsidRPr="00E40FB1">
        <w:t xml:space="preserve"> outliers </w:t>
      </w:r>
      <w:r>
        <w:t xml:space="preserve">were </w:t>
      </w:r>
      <w:r w:rsidRPr="00E40FB1">
        <w:t>mainly savoury sauces and gravies (31%), soups and stocks (12%), ice creams and confections (11%) and muesli bars (8%)</w:t>
      </w:r>
      <w:r w:rsidR="00A84FB4">
        <w:t>.</w:t>
      </w:r>
    </w:p>
    <w:p w14:paraId="619B7D14" w14:textId="77777777" w:rsidR="00F101DD" w:rsidRPr="00887F92" w:rsidRDefault="00F101DD" w:rsidP="007E0D2C">
      <w:pPr>
        <w:pStyle w:val="mpcbullets1"/>
      </w:pPr>
      <w:r>
        <w:t>O</w:t>
      </w:r>
      <w:r w:rsidRPr="00887F92">
        <w:t>f the 1,435 outliers:</w:t>
      </w:r>
    </w:p>
    <w:p w14:paraId="251A5118" w14:textId="77777777" w:rsidR="00F101DD" w:rsidRPr="00771C5A" w:rsidRDefault="00F101DD" w:rsidP="00173A82">
      <w:pPr>
        <w:pStyle w:val="mpcbullets2"/>
      </w:pPr>
      <w:r w:rsidRPr="00887F92">
        <w:t xml:space="preserve">32% </w:t>
      </w:r>
      <w:r w:rsidRPr="00771C5A">
        <w:t>indicate potential issues with the HSR System. These products included some muesli/cereal bars, recipes/sauce mixes, ice confection, ice cream, dry gravy mixes, salty snacks, coffee-based beverages, sugar</w:t>
      </w:r>
      <w:r w:rsidRPr="00771C5A">
        <w:noBreakHyphen/>
        <w:t>based desserts (jelly and dairy desserts), processed meats and breakfast cereals</w:t>
      </w:r>
    </w:p>
    <w:p w14:paraId="7DA5BD9D" w14:textId="77777777" w:rsidR="00F101DD" w:rsidRPr="00887F92" w:rsidRDefault="00F101DD" w:rsidP="00173A82">
      <w:pPr>
        <w:pStyle w:val="mpcbullets2"/>
      </w:pPr>
      <w:r w:rsidRPr="00771C5A">
        <w:t>68% indicate</w:t>
      </w:r>
      <w:r w:rsidRPr="00887F92">
        <w:t xml:space="preserve"> potential issues with the AHS Discretionary Foods List:</w:t>
      </w:r>
    </w:p>
    <w:p w14:paraId="5A681D34" w14:textId="6C471663" w:rsidR="00F101DD" w:rsidRPr="00771C5A" w:rsidRDefault="00F101DD" w:rsidP="007E0D2C">
      <w:pPr>
        <w:pStyle w:val="mpcbullets3"/>
      </w:pPr>
      <w:r w:rsidRPr="00887F92">
        <w:t xml:space="preserve">31% </w:t>
      </w:r>
      <w:r w:rsidRPr="00771C5A">
        <w:t>had either a low HSR and a relatively poor nutritional profile but were categorised as FFG (</w:t>
      </w:r>
      <w:r w:rsidR="0030513A">
        <w:t>for example,</w:t>
      </w:r>
      <w:r w:rsidR="0030513A" w:rsidRPr="00CC1ADD">
        <w:t xml:space="preserve"> </w:t>
      </w:r>
      <w:r w:rsidRPr="00771C5A">
        <w:t>some rice crackers, instant noodles, peanut butter, smoked salmon products), or had a high HSR and a relatively healthy nutritional profile but were categorised as discretionary (</w:t>
      </w:r>
      <w:r w:rsidR="0030513A">
        <w:t>for example,</w:t>
      </w:r>
      <w:r w:rsidR="0030513A" w:rsidRPr="00CC1ADD">
        <w:t xml:space="preserve"> </w:t>
      </w:r>
      <w:r w:rsidRPr="00771C5A">
        <w:t>some tomato-based sauces, crumbed fish, vegetable and legume</w:t>
      </w:r>
      <w:r w:rsidR="00AC4A89">
        <w:noBreakHyphen/>
      </w:r>
      <w:r w:rsidRPr="00771C5A">
        <w:t>based dips and oven baked potato products)</w:t>
      </w:r>
      <w:r w:rsidR="00A84FB4">
        <w:t>.</w:t>
      </w:r>
    </w:p>
    <w:p w14:paraId="673546C1" w14:textId="7ECB08AF" w:rsidR="00F101DD" w:rsidRPr="00887F92" w:rsidRDefault="00F101DD" w:rsidP="007E0D2C">
      <w:pPr>
        <w:pStyle w:val="mpcbullets3"/>
      </w:pPr>
      <w:r w:rsidRPr="00771C5A">
        <w:t xml:space="preserve">37% had a low HSR and a poor nutritional profile </w:t>
      </w:r>
      <w:r w:rsidR="00AC4A89" w:rsidRPr="00AC4A89">
        <w:rPr>
          <w:i/>
        </w:rPr>
        <w:t xml:space="preserve">when compared with other products within their </w:t>
      </w:r>
      <w:r w:rsidR="00963D76" w:rsidRPr="00AC4A89">
        <w:rPr>
          <w:i/>
        </w:rPr>
        <w:t>category</w:t>
      </w:r>
      <w:r w:rsidR="00963D76">
        <w:t xml:space="preserve"> </w:t>
      </w:r>
      <w:r w:rsidRPr="00771C5A">
        <w:t>but were categorised as FFG (</w:t>
      </w:r>
      <w:r w:rsidR="0030513A">
        <w:t>for example,</w:t>
      </w:r>
      <w:r w:rsidR="0030513A" w:rsidRPr="00CC1ADD">
        <w:t xml:space="preserve"> </w:t>
      </w:r>
      <w:r w:rsidRPr="00771C5A">
        <w:t>full fat</w:t>
      </w:r>
      <w:r w:rsidRPr="00887F92">
        <w:t xml:space="preserve"> cheeses, yoghurts, flavoured milks, custards).</w:t>
      </w:r>
    </w:p>
    <w:p w14:paraId="01E8456A" w14:textId="77777777" w:rsidR="00F101DD" w:rsidRDefault="00F101DD" w:rsidP="00DC778B">
      <w:pPr>
        <w:pStyle w:val="mpcNormal"/>
        <w:keepNext w:val="0"/>
      </w:pPr>
    </w:p>
    <w:p w14:paraId="46BBAB2E" w14:textId="77777777" w:rsidR="00F101DD" w:rsidRPr="005613A1" w:rsidRDefault="00F101DD" w:rsidP="00DC778B">
      <w:pPr>
        <w:pStyle w:val="mpcNormal"/>
        <w:keepNext w:val="0"/>
      </w:pPr>
      <w:r>
        <w:t>Examination of outliers has been one of the factors that has influenced t</w:t>
      </w:r>
      <w:r w:rsidRPr="005613A1">
        <w:t xml:space="preserve">he areas for focus in determining </w:t>
      </w:r>
      <w:r>
        <w:t>improvements</w:t>
      </w:r>
      <w:r w:rsidRPr="005613A1">
        <w:t xml:space="preserve"> to the HSR Calculator (</w:t>
      </w:r>
      <w:r>
        <w:t xml:space="preserve">refer </w:t>
      </w:r>
      <w:r w:rsidRPr="005613A1">
        <w:t>Chapter 5).</w:t>
      </w:r>
    </w:p>
    <w:p w14:paraId="28A2DBFB" w14:textId="77777777" w:rsidR="00F101DD" w:rsidRPr="005613A1" w:rsidRDefault="00F101DD" w:rsidP="00710029">
      <w:pPr>
        <w:pStyle w:val="mpcNormal"/>
        <w:keepNext w:val="0"/>
      </w:pPr>
    </w:p>
    <w:p w14:paraId="0ADDF59E" w14:textId="77777777" w:rsidR="00F101DD" w:rsidRPr="00512DE9" w:rsidRDefault="00F101DD" w:rsidP="007E0D2C">
      <w:pPr>
        <w:pStyle w:val="mpcheading2"/>
        <w:keepNext/>
        <w:spacing w:after="0"/>
      </w:pPr>
      <w:bookmarkStart w:id="78" w:name="Graphics"/>
      <w:bookmarkStart w:id="79" w:name="_Toc9955048"/>
      <w:bookmarkEnd w:id="78"/>
      <w:r w:rsidRPr="00512DE9">
        <w:t xml:space="preserve">HSR </w:t>
      </w:r>
      <w:r>
        <w:t>System g</w:t>
      </w:r>
      <w:r w:rsidRPr="00512DE9">
        <w:t>raphics</w:t>
      </w:r>
      <w:bookmarkEnd w:id="79"/>
    </w:p>
    <w:p w14:paraId="0024622E" w14:textId="77777777" w:rsidR="00F101DD" w:rsidRDefault="00F101DD" w:rsidP="007E0D2C">
      <w:pPr>
        <w:pStyle w:val="mpcNormal"/>
      </w:pPr>
    </w:p>
    <w:p w14:paraId="0ED71F88" w14:textId="6A20EBA0" w:rsidR="00F101DD" w:rsidRPr="006F251B" w:rsidRDefault="00F101DD" w:rsidP="007E0D2C">
      <w:pPr>
        <w:pStyle w:val="mpcNormal"/>
      </w:pPr>
      <w:r w:rsidRPr="006F251B">
        <w:t xml:space="preserve">Manufacturers may choose to use one of five HSR graphics. </w:t>
      </w:r>
      <w:r w:rsidR="00574DAF">
        <w:t xml:space="preserve">As illustrated </w:t>
      </w:r>
      <w:r w:rsidR="00560CB6">
        <w:t>in the table below</w:t>
      </w:r>
      <w:r w:rsidR="00574DAF">
        <w:t xml:space="preserve">, </w:t>
      </w:r>
      <w:r w:rsidRPr="006F251B">
        <w:t>Options 1 to 3 display the stars along with energy and/or nutrient icons, Option 4 is the stars alone and Option 5 is the energy icon without the stars.</w:t>
      </w:r>
    </w:p>
    <w:p w14:paraId="6DE16D4F" w14:textId="77777777" w:rsidR="00F101DD" w:rsidRPr="006F251B" w:rsidRDefault="00F101DD" w:rsidP="00710029">
      <w:pPr>
        <w:pStyle w:val="mpcNormal"/>
        <w:keepNext w:val="0"/>
      </w:pPr>
    </w:p>
    <w:p w14:paraId="7C2B7426" w14:textId="77777777" w:rsidR="00F101DD" w:rsidRPr="006F251B" w:rsidRDefault="00F101DD" w:rsidP="00710029">
      <w:pPr>
        <w:pStyle w:val="mpcNormal"/>
        <w:keepNext w:val="0"/>
      </w:pPr>
      <w:r w:rsidRPr="006F251B">
        <w:t>The HSR Style Guide states that ‘it is the responsibility of food companies to determine which presentation format is most suitable for their products, based on available pack size and label space. Food companies are encouraged to use as many elements of the HSR graphic as possible consistent with the above hierarchy’.</w:t>
      </w:r>
    </w:p>
    <w:p w14:paraId="2A13E359" w14:textId="77777777" w:rsidR="00F101DD" w:rsidRPr="006F251B" w:rsidRDefault="00F101DD" w:rsidP="00710029">
      <w:pPr>
        <w:pStyle w:val="mpcNormal"/>
        <w:keepNext w:val="0"/>
      </w:pPr>
    </w:p>
    <w:p w14:paraId="1DAAFF05" w14:textId="7CADAC50" w:rsidR="00574DAF" w:rsidRDefault="00F101DD" w:rsidP="005A3631">
      <w:pPr>
        <w:pStyle w:val="mpcNormal"/>
        <w:keepNext w:val="0"/>
      </w:pPr>
      <w:r w:rsidRPr="006F251B">
        <w:t xml:space="preserve">Monitoring data from the </w:t>
      </w:r>
      <w:r>
        <w:t>NHF</w:t>
      </w:r>
      <w:r w:rsidRPr="006F251B">
        <w:t xml:space="preserve"> and MPI </w:t>
      </w:r>
      <w:r w:rsidR="00574DAF">
        <w:t xml:space="preserve">is summarised in </w:t>
      </w:r>
      <w:r w:rsidR="00357932">
        <w:t>Table 2</w:t>
      </w:r>
      <w:r w:rsidR="00574DAF">
        <w:t xml:space="preserve">. </w:t>
      </w:r>
    </w:p>
    <w:p w14:paraId="0AAC9790" w14:textId="1A3F12C2" w:rsidR="00357932" w:rsidRPr="00F26AAA" w:rsidRDefault="00357932" w:rsidP="005A3631">
      <w:pPr>
        <w:pStyle w:val="mpcNormal"/>
        <w:keepNext w:val="0"/>
        <w:rPr>
          <w:sz w:val="18"/>
        </w:rPr>
      </w:pPr>
    </w:p>
    <w:p w14:paraId="00BF4CBC" w14:textId="6804DBCC" w:rsidR="00357932" w:rsidRPr="00357932" w:rsidRDefault="00357932" w:rsidP="00357932">
      <w:pPr>
        <w:pStyle w:val="mpctableheading"/>
      </w:pPr>
      <w:r w:rsidRPr="00357932">
        <w:t>Table 2: HSR graphic options, proportion of products displaying and consumer preference for each option</w:t>
      </w:r>
    </w:p>
    <w:p w14:paraId="395863FF" w14:textId="632D185F" w:rsidR="00574DAF" w:rsidRPr="00F26AAA" w:rsidRDefault="00574DAF">
      <w:pPr>
        <w:pStyle w:val="mpcNormal"/>
        <w:keepNext w:val="0"/>
        <w:rPr>
          <w:sz w:val="16"/>
        </w:rPr>
      </w:pPr>
    </w:p>
    <w:tbl>
      <w:tblPr>
        <w:tblStyle w:val="TableGrid"/>
        <w:tblW w:w="0" w:type="auto"/>
        <w:jc w:val="center"/>
        <w:tblLook w:val="04A0" w:firstRow="1" w:lastRow="0" w:firstColumn="1" w:lastColumn="0" w:noHBand="0" w:noVBand="1"/>
        <w:tblCaption w:val="HSR graphic options, proportion of products displaying and consumer preference for each option"/>
        <w:tblDescription w:val="This table outlines the proportion of product that display each HSR graphic in Australia and in New Zealand and the proportion of Australian consumers that prefer each option. "/>
      </w:tblPr>
      <w:tblGrid>
        <w:gridCol w:w="405"/>
        <w:gridCol w:w="3696"/>
        <w:gridCol w:w="1822"/>
        <w:gridCol w:w="1823"/>
        <w:gridCol w:w="1990"/>
      </w:tblGrid>
      <w:tr w:rsidR="00EA6A8C" w:rsidRPr="00BB38C9" w14:paraId="2C7C981D" w14:textId="77777777" w:rsidTr="002E0F7E">
        <w:trPr>
          <w:tblHeader/>
          <w:jc w:val="center"/>
        </w:trPr>
        <w:tc>
          <w:tcPr>
            <w:tcW w:w="405" w:type="dxa"/>
            <w:tcBorders>
              <w:top w:val="single" w:sz="4" w:space="0" w:color="auto"/>
              <w:left w:val="single" w:sz="4" w:space="0" w:color="auto"/>
              <w:bottom w:val="nil"/>
              <w:right w:val="nil"/>
            </w:tcBorders>
            <w:shd w:val="clear" w:color="auto" w:fill="516A8E"/>
          </w:tcPr>
          <w:p w14:paraId="359A4581" w14:textId="77777777" w:rsidR="00EA6A8C" w:rsidRPr="009426E9" w:rsidRDefault="00EA6A8C" w:rsidP="002E0F7E">
            <w:pPr>
              <w:pStyle w:val="mpcNormal"/>
              <w:keepNext w:val="0"/>
              <w:jc w:val="center"/>
              <w:rPr>
                <w:b/>
                <w:color w:val="FFFFFF" w:themeColor="background1"/>
                <w:sz w:val="20"/>
                <w:szCs w:val="20"/>
              </w:rPr>
            </w:pPr>
          </w:p>
        </w:tc>
        <w:tc>
          <w:tcPr>
            <w:tcW w:w="3696" w:type="dxa"/>
            <w:tcBorders>
              <w:top w:val="single" w:sz="4" w:space="0" w:color="auto"/>
              <w:left w:val="nil"/>
              <w:bottom w:val="nil"/>
              <w:right w:val="single" w:sz="4" w:space="0" w:color="auto"/>
            </w:tcBorders>
            <w:shd w:val="clear" w:color="auto" w:fill="516A8E"/>
          </w:tcPr>
          <w:p w14:paraId="7A6938E1" w14:textId="77777777" w:rsidR="00EA6A8C" w:rsidRPr="009426E9" w:rsidRDefault="00EA6A8C" w:rsidP="002E0F7E">
            <w:pPr>
              <w:pStyle w:val="mpcNormal"/>
              <w:keepNext w:val="0"/>
              <w:jc w:val="center"/>
              <w:rPr>
                <w:b/>
                <w:color w:val="FFFFFF" w:themeColor="background1"/>
                <w:sz w:val="20"/>
                <w:szCs w:val="20"/>
              </w:rPr>
            </w:pPr>
            <w:bookmarkStart w:id="80" w:name="GraphicOptions2"/>
            <w:bookmarkEnd w:id="80"/>
            <w:r w:rsidRPr="009426E9">
              <w:rPr>
                <w:b/>
                <w:color w:val="FFFFFF" w:themeColor="background1"/>
                <w:sz w:val="20"/>
                <w:szCs w:val="20"/>
              </w:rPr>
              <w:t>HSR graphic option</w:t>
            </w:r>
          </w:p>
        </w:tc>
        <w:tc>
          <w:tcPr>
            <w:tcW w:w="1822" w:type="dxa"/>
            <w:tcBorders>
              <w:left w:val="single" w:sz="4" w:space="0" w:color="auto"/>
            </w:tcBorders>
            <w:shd w:val="clear" w:color="auto" w:fill="516A8E"/>
          </w:tcPr>
          <w:p w14:paraId="31B819D5" w14:textId="77777777" w:rsidR="00EA6A8C" w:rsidRPr="009426E9" w:rsidRDefault="00EA6A8C" w:rsidP="002E0F7E">
            <w:pPr>
              <w:pStyle w:val="mpcNormal"/>
              <w:keepNext w:val="0"/>
              <w:jc w:val="center"/>
              <w:rPr>
                <w:b/>
                <w:color w:val="FFFFFF" w:themeColor="background1"/>
                <w:sz w:val="20"/>
                <w:szCs w:val="20"/>
              </w:rPr>
            </w:pPr>
            <w:r>
              <w:rPr>
                <w:b/>
                <w:color w:val="FFFFFF" w:themeColor="background1"/>
                <w:sz w:val="20"/>
                <w:szCs w:val="20"/>
              </w:rPr>
              <w:t>%</w:t>
            </w:r>
            <w:r w:rsidRPr="009426E9">
              <w:rPr>
                <w:b/>
                <w:color w:val="FFFFFF" w:themeColor="background1"/>
                <w:sz w:val="20"/>
                <w:szCs w:val="20"/>
              </w:rPr>
              <w:t xml:space="preserve"> products </w:t>
            </w:r>
            <w:r>
              <w:rPr>
                <w:b/>
                <w:color w:val="FFFFFF" w:themeColor="background1"/>
                <w:sz w:val="20"/>
                <w:szCs w:val="20"/>
              </w:rPr>
              <w:t xml:space="preserve">displaying the HSR </w:t>
            </w:r>
            <w:r w:rsidRPr="009426E9">
              <w:rPr>
                <w:b/>
                <w:color w:val="FFFFFF" w:themeColor="background1"/>
                <w:sz w:val="20"/>
                <w:szCs w:val="20"/>
              </w:rPr>
              <w:t>using graphic</w:t>
            </w:r>
          </w:p>
        </w:tc>
        <w:tc>
          <w:tcPr>
            <w:tcW w:w="1823" w:type="dxa"/>
            <w:shd w:val="clear" w:color="auto" w:fill="516A8E"/>
          </w:tcPr>
          <w:p w14:paraId="7EC3D139" w14:textId="77777777" w:rsidR="00EA6A8C" w:rsidRPr="009426E9" w:rsidRDefault="00EA6A8C" w:rsidP="002E0F7E">
            <w:pPr>
              <w:pStyle w:val="mpcNormal"/>
              <w:keepNext w:val="0"/>
              <w:jc w:val="center"/>
              <w:rPr>
                <w:b/>
                <w:color w:val="FFFFFF" w:themeColor="background1"/>
                <w:sz w:val="20"/>
                <w:szCs w:val="20"/>
              </w:rPr>
            </w:pPr>
            <w:r>
              <w:rPr>
                <w:b/>
                <w:color w:val="FFFFFF" w:themeColor="background1"/>
                <w:sz w:val="20"/>
                <w:szCs w:val="20"/>
              </w:rPr>
              <w:t>%</w:t>
            </w:r>
            <w:r w:rsidRPr="009426E9">
              <w:rPr>
                <w:b/>
                <w:color w:val="FFFFFF" w:themeColor="background1"/>
                <w:sz w:val="20"/>
                <w:szCs w:val="20"/>
              </w:rPr>
              <w:t xml:space="preserve"> products </w:t>
            </w:r>
            <w:r>
              <w:rPr>
                <w:b/>
                <w:color w:val="FFFFFF" w:themeColor="background1"/>
                <w:sz w:val="20"/>
                <w:szCs w:val="20"/>
              </w:rPr>
              <w:t xml:space="preserve">displaying the HSR </w:t>
            </w:r>
            <w:r w:rsidRPr="009426E9">
              <w:rPr>
                <w:b/>
                <w:color w:val="FFFFFF" w:themeColor="background1"/>
                <w:sz w:val="20"/>
                <w:szCs w:val="20"/>
              </w:rPr>
              <w:t>using graphic</w:t>
            </w:r>
          </w:p>
        </w:tc>
        <w:tc>
          <w:tcPr>
            <w:tcW w:w="1990" w:type="dxa"/>
            <w:shd w:val="clear" w:color="auto" w:fill="516A8E"/>
          </w:tcPr>
          <w:p w14:paraId="393E7789" w14:textId="77777777" w:rsidR="00EA6A8C" w:rsidRPr="009426E9" w:rsidRDefault="00EA6A8C" w:rsidP="002E0F7E">
            <w:pPr>
              <w:pStyle w:val="mpcNormal"/>
              <w:keepNext w:val="0"/>
              <w:jc w:val="center"/>
              <w:rPr>
                <w:b/>
                <w:color w:val="FFFFFF" w:themeColor="background1"/>
                <w:sz w:val="20"/>
                <w:szCs w:val="20"/>
              </w:rPr>
            </w:pPr>
            <w:r>
              <w:rPr>
                <w:b/>
                <w:color w:val="FFFFFF" w:themeColor="background1"/>
                <w:sz w:val="20"/>
                <w:szCs w:val="20"/>
              </w:rPr>
              <w:t>%</w:t>
            </w:r>
            <w:r w:rsidRPr="009426E9">
              <w:rPr>
                <w:b/>
                <w:color w:val="FFFFFF" w:themeColor="background1"/>
                <w:sz w:val="20"/>
                <w:szCs w:val="20"/>
              </w:rPr>
              <w:t xml:space="preserve"> consumers preferring graphic</w:t>
            </w:r>
          </w:p>
        </w:tc>
      </w:tr>
      <w:tr w:rsidR="00EA6A8C" w:rsidRPr="00BB38C9" w14:paraId="176C0A37" w14:textId="77777777" w:rsidTr="002E0F7E">
        <w:trPr>
          <w:jc w:val="center"/>
        </w:trPr>
        <w:tc>
          <w:tcPr>
            <w:tcW w:w="405" w:type="dxa"/>
            <w:tcBorders>
              <w:top w:val="nil"/>
              <w:left w:val="single" w:sz="4" w:space="0" w:color="auto"/>
              <w:bottom w:val="single" w:sz="4" w:space="0" w:color="auto"/>
              <w:right w:val="nil"/>
            </w:tcBorders>
            <w:shd w:val="clear" w:color="auto" w:fill="516A8E"/>
          </w:tcPr>
          <w:p w14:paraId="42E4661A" w14:textId="77777777" w:rsidR="00EA6A8C" w:rsidRPr="009426E9" w:rsidRDefault="00EA6A8C" w:rsidP="002E0F7E">
            <w:pPr>
              <w:pStyle w:val="mpcNormal"/>
              <w:keepNext w:val="0"/>
              <w:jc w:val="center"/>
              <w:rPr>
                <w:sz w:val="20"/>
                <w:szCs w:val="20"/>
              </w:rPr>
            </w:pPr>
          </w:p>
        </w:tc>
        <w:tc>
          <w:tcPr>
            <w:tcW w:w="3696" w:type="dxa"/>
            <w:tcBorders>
              <w:top w:val="nil"/>
              <w:left w:val="nil"/>
              <w:bottom w:val="single" w:sz="4" w:space="0" w:color="auto"/>
              <w:right w:val="single" w:sz="4" w:space="0" w:color="auto"/>
            </w:tcBorders>
            <w:shd w:val="clear" w:color="auto" w:fill="516A8E"/>
          </w:tcPr>
          <w:p w14:paraId="4F2DDDEB" w14:textId="77777777" w:rsidR="00EA6A8C" w:rsidRPr="009426E9" w:rsidRDefault="00EA6A8C" w:rsidP="002E0F7E">
            <w:pPr>
              <w:pStyle w:val="mpcNormal"/>
              <w:keepNext w:val="0"/>
              <w:jc w:val="center"/>
              <w:rPr>
                <w:sz w:val="20"/>
                <w:szCs w:val="20"/>
              </w:rPr>
            </w:pPr>
          </w:p>
        </w:tc>
        <w:tc>
          <w:tcPr>
            <w:tcW w:w="1822" w:type="dxa"/>
            <w:tcBorders>
              <w:left w:val="single" w:sz="4" w:space="0" w:color="auto"/>
            </w:tcBorders>
            <w:shd w:val="clear" w:color="auto" w:fill="516A8E"/>
          </w:tcPr>
          <w:p w14:paraId="2DA75E7C" w14:textId="77777777" w:rsidR="00EA6A8C" w:rsidRPr="009426E9" w:rsidRDefault="00EA6A8C" w:rsidP="002E0F7E">
            <w:pPr>
              <w:pStyle w:val="mpcNormal"/>
              <w:keepNext w:val="0"/>
              <w:jc w:val="center"/>
              <w:rPr>
                <w:b/>
                <w:color w:val="FFFFFF" w:themeColor="background1"/>
                <w:sz w:val="20"/>
                <w:szCs w:val="20"/>
              </w:rPr>
            </w:pPr>
            <w:r w:rsidRPr="009426E9">
              <w:rPr>
                <w:b/>
                <w:color w:val="FFFFFF" w:themeColor="background1"/>
                <w:sz w:val="20"/>
                <w:szCs w:val="20"/>
              </w:rPr>
              <w:t>Australia</w:t>
            </w:r>
          </w:p>
        </w:tc>
        <w:tc>
          <w:tcPr>
            <w:tcW w:w="1823" w:type="dxa"/>
            <w:shd w:val="clear" w:color="auto" w:fill="516A8E"/>
          </w:tcPr>
          <w:p w14:paraId="08E073EC" w14:textId="77777777" w:rsidR="00EA6A8C" w:rsidRPr="009426E9" w:rsidRDefault="00EA6A8C" w:rsidP="002E0F7E">
            <w:pPr>
              <w:pStyle w:val="mpcNormal"/>
              <w:keepNext w:val="0"/>
              <w:jc w:val="center"/>
              <w:rPr>
                <w:b/>
                <w:color w:val="FFFFFF" w:themeColor="background1"/>
                <w:sz w:val="20"/>
                <w:szCs w:val="20"/>
              </w:rPr>
            </w:pPr>
            <w:r w:rsidRPr="009426E9">
              <w:rPr>
                <w:b/>
                <w:color w:val="FFFFFF" w:themeColor="background1"/>
                <w:sz w:val="20"/>
                <w:szCs w:val="20"/>
              </w:rPr>
              <w:t>New Zealand</w:t>
            </w:r>
          </w:p>
        </w:tc>
        <w:tc>
          <w:tcPr>
            <w:tcW w:w="1990" w:type="dxa"/>
            <w:shd w:val="clear" w:color="auto" w:fill="516A8E"/>
          </w:tcPr>
          <w:p w14:paraId="25CBD30B" w14:textId="77777777" w:rsidR="00EA6A8C" w:rsidRPr="009426E9" w:rsidRDefault="00EA6A8C" w:rsidP="002E0F7E">
            <w:pPr>
              <w:pStyle w:val="mpcNormal"/>
              <w:keepNext w:val="0"/>
              <w:jc w:val="center"/>
              <w:rPr>
                <w:sz w:val="20"/>
                <w:szCs w:val="20"/>
              </w:rPr>
            </w:pPr>
            <w:r w:rsidRPr="009426E9">
              <w:rPr>
                <w:b/>
                <w:color w:val="FFFFFF" w:themeColor="background1"/>
                <w:sz w:val="20"/>
                <w:szCs w:val="20"/>
              </w:rPr>
              <w:t>Data only available for Australia</w:t>
            </w:r>
          </w:p>
        </w:tc>
      </w:tr>
      <w:tr w:rsidR="00EA6A8C" w:rsidRPr="00BB38C9" w14:paraId="6127F824" w14:textId="77777777" w:rsidTr="002E0F7E">
        <w:trPr>
          <w:jc w:val="center"/>
        </w:trPr>
        <w:tc>
          <w:tcPr>
            <w:tcW w:w="405" w:type="dxa"/>
            <w:tcBorders>
              <w:top w:val="single" w:sz="4" w:space="0" w:color="auto"/>
            </w:tcBorders>
          </w:tcPr>
          <w:p w14:paraId="26D0A2D2" w14:textId="77777777" w:rsidR="00EA6A8C" w:rsidRPr="009426E9" w:rsidRDefault="00EA6A8C" w:rsidP="002E0F7E">
            <w:pPr>
              <w:pStyle w:val="mpcNormal"/>
              <w:keepNext w:val="0"/>
              <w:rPr>
                <w:sz w:val="20"/>
                <w:szCs w:val="20"/>
              </w:rPr>
            </w:pPr>
            <w:r w:rsidRPr="009426E9">
              <w:rPr>
                <w:sz w:val="20"/>
                <w:szCs w:val="20"/>
              </w:rPr>
              <w:t>1</w:t>
            </w:r>
          </w:p>
        </w:tc>
        <w:tc>
          <w:tcPr>
            <w:tcW w:w="3696" w:type="dxa"/>
            <w:tcBorders>
              <w:top w:val="single" w:sz="4" w:space="0" w:color="auto"/>
            </w:tcBorders>
          </w:tcPr>
          <w:p w14:paraId="2D0306AA"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46C710D1" wp14:editId="5DDD0701">
                  <wp:extent cx="2206304" cy="707644"/>
                  <wp:effectExtent l="0" t="0" r="3810" b="3810"/>
                  <wp:docPr id="35" name="Picture 35" descr="Health Star Rating graphic Option 1 - stars + energy icon + 3 prescribed nutrient icons + 1 optional nutri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221646" cy="712565"/>
                          </a:xfrm>
                          <a:prstGeom prst="rect">
                            <a:avLst/>
                          </a:prstGeom>
                          <a:ln>
                            <a:noFill/>
                          </a:ln>
                          <a:extLst>
                            <a:ext uri="{53640926-AAD7-44D8-BBD7-CCE9431645EC}">
                              <a14:shadowObscured xmlns:a14="http://schemas.microsoft.com/office/drawing/2010/main"/>
                            </a:ext>
                          </a:extLst>
                        </pic:spPr>
                      </pic:pic>
                    </a:graphicData>
                  </a:graphic>
                </wp:inline>
              </w:drawing>
            </w:r>
          </w:p>
        </w:tc>
        <w:tc>
          <w:tcPr>
            <w:tcW w:w="1822" w:type="dxa"/>
          </w:tcPr>
          <w:p w14:paraId="68238052" w14:textId="77777777" w:rsidR="00EA6A8C" w:rsidRPr="009426E9" w:rsidRDefault="00EA6A8C" w:rsidP="002E0F7E">
            <w:pPr>
              <w:pStyle w:val="mpcNormal"/>
              <w:keepNext w:val="0"/>
              <w:jc w:val="center"/>
              <w:rPr>
                <w:sz w:val="20"/>
                <w:szCs w:val="20"/>
              </w:rPr>
            </w:pPr>
            <w:r w:rsidRPr="009426E9">
              <w:rPr>
                <w:sz w:val="20"/>
                <w:szCs w:val="20"/>
              </w:rPr>
              <w:t>5</w:t>
            </w:r>
          </w:p>
        </w:tc>
        <w:tc>
          <w:tcPr>
            <w:tcW w:w="1823" w:type="dxa"/>
          </w:tcPr>
          <w:p w14:paraId="34FEBE74" w14:textId="77777777" w:rsidR="00EA6A8C" w:rsidRPr="009426E9" w:rsidRDefault="00EA6A8C" w:rsidP="002E0F7E">
            <w:pPr>
              <w:pStyle w:val="mpcNormal"/>
              <w:keepNext w:val="0"/>
              <w:jc w:val="center"/>
              <w:rPr>
                <w:sz w:val="20"/>
                <w:szCs w:val="20"/>
              </w:rPr>
            </w:pPr>
            <w:r w:rsidRPr="009426E9">
              <w:rPr>
                <w:sz w:val="20"/>
                <w:szCs w:val="20"/>
              </w:rPr>
              <w:t>7</w:t>
            </w:r>
          </w:p>
        </w:tc>
        <w:tc>
          <w:tcPr>
            <w:tcW w:w="1990" w:type="dxa"/>
          </w:tcPr>
          <w:p w14:paraId="2BDD3ADD" w14:textId="77777777" w:rsidR="00EA6A8C" w:rsidRPr="009426E9" w:rsidRDefault="00EA6A8C" w:rsidP="002E0F7E">
            <w:pPr>
              <w:pStyle w:val="mpcNormal"/>
              <w:keepNext w:val="0"/>
              <w:jc w:val="center"/>
              <w:rPr>
                <w:sz w:val="20"/>
                <w:szCs w:val="20"/>
              </w:rPr>
            </w:pPr>
            <w:r w:rsidRPr="009426E9">
              <w:rPr>
                <w:sz w:val="20"/>
                <w:szCs w:val="20"/>
              </w:rPr>
              <w:t>63</w:t>
            </w:r>
          </w:p>
        </w:tc>
      </w:tr>
      <w:tr w:rsidR="00EA6A8C" w:rsidRPr="00BB38C9" w14:paraId="1021E04E" w14:textId="77777777" w:rsidTr="002E0F7E">
        <w:trPr>
          <w:jc w:val="center"/>
        </w:trPr>
        <w:tc>
          <w:tcPr>
            <w:tcW w:w="405" w:type="dxa"/>
          </w:tcPr>
          <w:p w14:paraId="55675E56" w14:textId="77777777" w:rsidR="00EA6A8C" w:rsidRPr="009426E9" w:rsidRDefault="00EA6A8C" w:rsidP="002E0F7E">
            <w:pPr>
              <w:pStyle w:val="mpcNormal"/>
              <w:keepNext w:val="0"/>
              <w:rPr>
                <w:sz w:val="20"/>
                <w:szCs w:val="20"/>
              </w:rPr>
            </w:pPr>
            <w:r w:rsidRPr="009426E9">
              <w:rPr>
                <w:sz w:val="20"/>
                <w:szCs w:val="20"/>
              </w:rPr>
              <w:t>2</w:t>
            </w:r>
          </w:p>
        </w:tc>
        <w:tc>
          <w:tcPr>
            <w:tcW w:w="3696" w:type="dxa"/>
          </w:tcPr>
          <w:p w14:paraId="799ADA3D"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03628C7B" wp14:editId="76B3F95C">
                  <wp:extent cx="1862356" cy="673003"/>
                  <wp:effectExtent l="0" t="0" r="5080" b="635"/>
                  <wp:docPr id="46" name="Picture 46" descr="Health Star Rating graphic Option 2 - stars + energy icon + 3 prescribed nutrien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1878122" cy="678701"/>
                          </a:xfrm>
                          <a:prstGeom prst="rect">
                            <a:avLst/>
                          </a:prstGeom>
                          <a:ln>
                            <a:noFill/>
                          </a:ln>
                          <a:extLst>
                            <a:ext uri="{53640926-AAD7-44D8-BBD7-CCE9431645EC}">
                              <a14:shadowObscured xmlns:a14="http://schemas.microsoft.com/office/drawing/2010/main"/>
                            </a:ext>
                          </a:extLst>
                        </pic:spPr>
                      </pic:pic>
                    </a:graphicData>
                  </a:graphic>
                </wp:inline>
              </w:drawing>
            </w:r>
          </w:p>
        </w:tc>
        <w:tc>
          <w:tcPr>
            <w:tcW w:w="1822" w:type="dxa"/>
          </w:tcPr>
          <w:p w14:paraId="44B33D90" w14:textId="77777777" w:rsidR="00EA6A8C" w:rsidRPr="009426E9" w:rsidRDefault="00EA6A8C" w:rsidP="002E0F7E">
            <w:pPr>
              <w:pStyle w:val="mpcNormal"/>
              <w:keepNext w:val="0"/>
              <w:jc w:val="center"/>
              <w:rPr>
                <w:sz w:val="20"/>
                <w:szCs w:val="20"/>
              </w:rPr>
            </w:pPr>
            <w:r w:rsidRPr="009426E9">
              <w:rPr>
                <w:sz w:val="20"/>
                <w:szCs w:val="20"/>
              </w:rPr>
              <w:t>23</w:t>
            </w:r>
          </w:p>
        </w:tc>
        <w:tc>
          <w:tcPr>
            <w:tcW w:w="1823" w:type="dxa"/>
          </w:tcPr>
          <w:p w14:paraId="2B4D8A44" w14:textId="77777777" w:rsidR="00EA6A8C" w:rsidRPr="009426E9" w:rsidRDefault="00EA6A8C" w:rsidP="002E0F7E">
            <w:pPr>
              <w:pStyle w:val="mpcNormal"/>
              <w:keepNext w:val="0"/>
              <w:jc w:val="center"/>
              <w:rPr>
                <w:sz w:val="20"/>
                <w:szCs w:val="20"/>
              </w:rPr>
            </w:pPr>
            <w:r w:rsidRPr="009426E9">
              <w:rPr>
                <w:sz w:val="20"/>
                <w:szCs w:val="20"/>
              </w:rPr>
              <w:t>18</w:t>
            </w:r>
          </w:p>
        </w:tc>
        <w:tc>
          <w:tcPr>
            <w:tcW w:w="1990" w:type="dxa"/>
          </w:tcPr>
          <w:p w14:paraId="58BE1B15" w14:textId="77777777" w:rsidR="00EA6A8C" w:rsidRPr="009426E9" w:rsidRDefault="00EA6A8C" w:rsidP="002E0F7E">
            <w:pPr>
              <w:pStyle w:val="mpcNormal"/>
              <w:keepNext w:val="0"/>
              <w:jc w:val="center"/>
              <w:rPr>
                <w:sz w:val="20"/>
                <w:szCs w:val="20"/>
              </w:rPr>
            </w:pPr>
            <w:r w:rsidRPr="009426E9">
              <w:rPr>
                <w:sz w:val="20"/>
                <w:szCs w:val="20"/>
              </w:rPr>
              <w:t>10</w:t>
            </w:r>
          </w:p>
        </w:tc>
      </w:tr>
      <w:tr w:rsidR="00EA6A8C" w:rsidRPr="00BB38C9" w14:paraId="0BD666AC" w14:textId="77777777" w:rsidTr="002E0F7E">
        <w:trPr>
          <w:jc w:val="center"/>
        </w:trPr>
        <w:tc>
          <w:tcPr>
            <w:tcW w:w="405" w:type="dxa"/>
          </w:tcPr>
          <w:p w14:paraId="7EA6C47C" w14:textId="77777777" w:rsidR="00EA6A8C" w:rsidRPr="009426E9" w:rsidRDefault="00EA6A8C" w:rsidP="002E0F7E">
            <w:pPr>
              <w:pStyle w:val="mpcNormal"/>
              <w:keepNext w:val="0"/>
              <w:rPr>
                <w:sz w:val="20"/>
                <w:szCs w:val="20"/>
              </w:rPr>
            </w:pPr>
            <w:r w:rsidRPr="009426E9">
              <w:rPr>
                <w:sz w:val="20"/>
                <w:szCs w:val="20"/>
              </w:rPr>
              <w:t>3</w:t>
            </w:r>
          </w:p>
        </w:tc>
        <w:tc>
          <w:tcPr>
            <w:tcW w:w="3696" w:type="dxa"/>
          </w:tcPr>
          <w:p w14:paraId="5ECCB312"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717244D7" wp14:editId="47C7E736">
                  <wp:extent cx="956345" cy="640794"/>
                  <wp:effectExtent l="0" t="0" r="0" b="0"/>
                  <wp:docPr id="51" name="Picture 51" descr="Health Star Rating graphic Option 3 - stars + energ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962829" cy="645139"/>
                          </a:xfrm>
                          <a:prstGeom prst="rect">
                            <a:avLst/>
                          </a:prstGeom>
                          <a:ln>
                            <a:noFill/>
                          </a:ln>
                          <a:extLst>
                            <a:ext uri="{53640926-AAD7-44D8-BBD7-CCE9431645EC}">
                              <a14:shadowObscured xmlns:a14="http://schemas.microsoft.com/office/drawing/2010/main"/>
                            </a:ext>
                          </a:extLst>
                        </pic:spPr>
                      </pic:pic>
                    </a:graphicData>
                  </a:graphic>
                </wp:inline>
              </w:drawing>
            </w:r>
          </w:p>
        </w:tc>
        <w:tc>
          <w:tcPr>
            <w:tcW w:w="1822" w:type="dxa"/>
          </w:tcPr>
          <w:p w14:paraId="6DFE9446" w14:textId="77777777" w:rsidR="00EA6A8C" w:rsidRPr="009426E9" w:rsidRDefault="00EA6A8C" w:rsidP="002E0F7E">
            <w:pPr>
              <w:pStyle w:val="mpcNormal"/>
              <w:keepNext w:val="0"/>
              <w:jc w:val="center"/>
              <w:rPr>
                <w:sz w:val="20"/>
                <w:szCs w:val="20"/>
              </w:rPr>
            </w:pPr>
            <w:r w:rsidRPr="009426E9">
              <w:rPr>
                <w:sz w:val="20"/>
                <w:szCs w:val="20"/>
              </w:rPr>
              <w:t>17</w:t>
            </w:r>
          </w:p>
        </w:tc>
        <w:tc>
          <w:tcPr>
            <w:tcW w:w="1823" w:type="dxa"/>
          </w:tcPr>
          <w:p w14:paraId="5A8B405B" w14:textId="77777777" w:rsidR="00EA6A8C" w:rsidRPr="009426E9" w:rsidRDefault="00EA6A8C" w:rsidP="002E0F7E">
            <w:pPr>
              <w:pStyle w:val="mpcNormal"/>
              <w:keepNext w:val="0"/>
              <w:jc w:val="center"/>
              <w:rPr>
                <w:sz w:val="20"/>
                <w:szCs w:val="20"/>
              </w:rPr>
            </w:pPr>
            <w:r w:rsidRPr="009426E9">
              <w:rPr>
                <w:sz w:val="20"/>
                <w:szCs w:val="20"/>
              </w:rPr>
              <w:t>17</w:t>
            </w:r>
          </w:p>
        </w:tc>
        <w:tc>
          <w:tcPr>
            <w:tcW w:w="1990" w:type="dxa"/>
          </w:tcPr>
          <w:p w14:paraId="2B30D7E0" w14:textId="77777777" w:rsidR="00EA6A8C" w:rsidRPr="009426E9" w:rsidRDefault="00EA6A8C" w:rsidP="002E0F7E">
            <w:pPr>
              <w:pStyle w:val="mpcNormal"/>
              <w:keepNext w:val="0"/>
              <w:jc w:val="center"/>
              <w:rPr>
                <w:sz w:val="20"/>
                <w:szCs w:val="20"/>
              </w:rPr>
            </w:pPr>
            <w:r w:rsidRPr="009426E9">
              <w:rPr>
                <w:sz w:val="20"/>
                <w:szCs w:val="20"/>
              </w:rPr>
              <w:t>5</w:t>
            </w:r>
          </w:p>
        </w:tc>
      </w:tr>
      <w:tr w:rsidR="00EA6A8C" w:rsidRPr="00BB38C9" w14:paraId="464B9255" w14:textId="77777777" w:rsidTr="002E0F7E">
        <w:trPr>
          <w:jc w:val="center"/>
        </w:trPr>
        <w:tc>
          <w:tcPr>
            <w:tcW w:w="405" w:type="dxa"/>
          </w:tcPr>
          <w:p w14:paraId="3B2D9419" w14:textId="77777777" w:rsidR="00EA6A8C" w:rsidRPr="009426E9" w:rsidRDefault="00EA6A8C" w:rsidP="002E0F7E">
            <w:pPr>
              <w:pStyle w:val="mpcNormal"/>
              <w:keepNext w:val="0"/>
              <w:rPr>
                <w:sz w:val="20"/>
                <w:szCs w:val="20"/>
              </w:rPr>
            </w:pPr>
            <w:r w:rsidRPr="009426E9">
              <w:rPr>
                <w:sz w:val="20"/>
                <w:szCs w:val="20"/>
              </w:rPr>
              <w:t>4</w:t>
            </w:r>
          </w:p>
        </w:tc>
        <w:tc>
          <w:tcPr>
            <w:tcW w:w="3696" w:type="dxa"/>
          </w:tcPr>
          <w:p w14:paraId="5E976516"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5AFDED3D" wp14:editId="5A832935">
                  <wp:extent cx="612396" cy="643771"/>
                  <wp:effectExtent l="0" t="0" r="0" b="4445"/>
                  <wp:docPr id="55" name="Picture 55" descr="Health Star Rating graphic Option 4 - star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616666" cy="648260"/>
                          </a:xfrm>
                          <a:prstGeom prst="rect">
                            <a:avLst/>
                          </a:prstGeom>
                          <a:ln>
                            <a:noFill/>
                          </a:ln>
                          <a:extLst>
                            <a:ext uri="{53640926-AAD7-44D8-BBD7-CCE9431645EC}">
                              <a14:shadowObscured xmlns:a14="http://schemas.microsoft.com/office/drawing/2010/main"/>
                            </a:ext>
                          </a:extLst>
                        </pic:spPr>
                      </pic:pic>
                    </a:graphicData>
                  </a:graphic>
                </wp:inline>
              </w:drawing>
            </w:r>
          </w:p>
        </w:tc>
        <w:tc>
          <w:tcPr>
            <w:tcW w:w="1822" w:type="dxa"/>
          </w:tcPr>
          <w:p w14:paraId="710DED4F" w14:textId="77777777" w:rsidR="00EA6A8C" w:rsidRPr="009426E9" w:rsidRDefault="00EA6A8C" w:rsidP="002E0F7E">
            <w:pPr>
              <w:pStyle w:val="mpcNormal"/>
              <w:keepNext w:val="0"/>
              <w:jc w:val="center"/>
              <w:rPr>
                <w:sz w:val="20"/>
                <w:szCs w:val="20"/>
              </w:rPr>
            </w:pPr>
            <w:r w:rsidRPr="009426E9">
              <w:rPr>
                <w:sz w:val="20"/>
                <w:szCs w:val="20"/>
              </w:rPr>
              <w:t>39</w:t>
            </w:r>
          </w:p>
        </w:tc>
        <w:tc>
          <w:tcPr>
            <w:tcW w:w="1823" w:type="dxa"/>
          </w:tcPr>
          <w:p w14:paraId="3E55D441" w14:textId="77777777" w:rsidR="00EA6A8C" w:rsidRPr="009426E9" w:rsidRDefault="00EA6A8C" w:rsidP="002E0F7E">
            <w:pPr>
              <w:pStyle w:val="mpcNormal"/>
              <w:keepNext w:val="0"/>
              <w:jc w:val="center"/>
              <w:rPr>
                <w:sz w:val="20"/>
                <w:szCs w:val="20"/>
              </w:rPr>
            </w:pPr>
            <w:r w:rsidRPr="009426E9">
              <w:rPr>
                <w:sz w:val="20"/>
                <w:szCs w:val="20"/>
              </w:rPr>
              <w:t>42</w:t>
            </w:r>
          </w:p>
        </w:tc>
        <w:tc>
          <w:tcPr>
            <w:tcW w:w="1990" w:type="dxa"/>
          </w:tcPr>
          <w:p w14:paraId="7DBC9275" w14:textId="77777777" w:rsidR="00EA6A8C" w:rsidRPr="009426E9" w:rsidRDefault="00EA6A8C" w:rsidP="002E0F7E">
            <w:pPr>
              <w:pStyle w:val="mpcNormal"/>
              <w:keepNext w:val="0"/>
              <w:jc w:val="center"/>
              <w:rPr>
                <w:sz w:val="20"/>
                <w:szCs w:val="20"/>
              </w:rPr>
            </w:pPr>
            <w:r w:rsidRPr="009426E9">
              <w:rPr>
                <w:sz w:val="20"/>
                <w:szCs w:val="20"/>
              </w:rPr>
              <w:t>21</w:t>
            </w:r>
          </w:p>
        </w:tc>
      </w:tr>
      <w:tr w:rsidR="00EA6A8C" w:rsidRPr="00BB38C9" w14:paraId="0DD5310A" w14:textId="77777777" w:rsidTr="002E0F7E">
        <w:trPr>
          <w:jc w:val="center"/>
        </w:trPr>
        <w:tc>
          <w:tcPr>
            <w:tcW w:w="405" w:type="dxa"/>
          </w:tcPr>
          <w:p w14:paraId="5C399C39" w14:textId="77777777" w:rsidR="00EA6A8C" w:rsidRPr="009426E9" w:rsidRDefault="00EA6A8C" w:rsidP="002E0F7E">
            <w:pPr>
              <w:pStyle w:val="mpcNormal"/>
              <w:keepNext w:val="0"/>
              <w:rPr>
                <w:sz w:val="20"/>
                <w:szCs w:val="20"/>
              </w:rPr>
            </w:pPr>
            <w:r w:rsidRPr="009426E9">
              <w:rPr>
                <w:sz w:val="20"/>
                <w:szCs w:val="20"/>
              </w:rPr>
              <w:t>5</w:t>
            </w:r>
          </w:p>
        </w:tc>
        <w:tc>
          <w:tcPr>
            <w:tcW w:w="3696" w:type="dxa"/>
          </w:tcPr>
          <w:p w14:paraId="292B0C47" w14:textId="77777777" w:rsidR="00EA6A8C" w:rsidRPr="009426E9" w:rsidRDefault="00EA6A8C" w:rsidP="002E0F7E">
            <w:pPr>
              <w:pStyle w:val="mpcNormal"/>
              <w:keepNext w:val="0"/>
              <w:rPr>
                <w:sz w:val="20"/>
                <w:szCs w:val="20"/>
              </w:rPr>
            </w:pPr>
            <w:r w:rsidRPr="009426E9">
              <w:rPr>
                <w:noProof/>
                <w:sz w:val="20"/>
                <w:szCs w:val="20"/>
                <w:lang w:eastAsia="en-AU"/>
              </w:rPr>
              <w:drawing>
                <wp:inline distT="0" distB="0" distL="0" distR="0" wp14:anchorId="74D0AD3E" wp14:editId="04931F4F">
                  <wp:extent cx="411060" cy="567542"/>
                  <wp:effectExtent l="0" t="0" r="0" b="4445"/>
                  <wp:docPr id="56" name="Picture 56" descr="Health Star Rating graphic Option 5 - energy icon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416776" cy="575434"/>
                          </a:xfrm>
                          <a:prstGeom prst="rect">
                            <a:avLst/>
                          </a:prstGeom>
                        </pic:spPr>
                      </pic:pic>
                    </a:graphicData>
                  </a:graphic>
                </wp:inline>
              </w:drawing>
            </w:r>
          </w:p>
        </w:tc>
        <w:tc>
          <w:tcPr>
            <w:tcW w:w="1822" w:type="dxa"/>
          </w:tcPr>
          <w:p w14:paraId="7382C3E6" w14:textId="77777777" w:rsidR="00EA6A8C" w:rsidRPr="009426E9" w:rsidRDefault="00EA6A8C" w:rsidP="002E0F7E">
            <w:pPr>
              <w:pStyle w:val="mpcNormal"/>
              <w:keepNext w:val="0"/>
              <w:jc w:val="center"/>
              <w:rPr>
                <w:sz w:val="20"/>
                <w:szCs w:val="20"/>
              </w:rPr>
            </w:pPr>
            <w:r w:rsidRPr="009426E9">
              <w:rPr>
                <w:sz w:val="20"/>
                <w:szCs w:val="20"/>
              </w:rPr>
              <w:t>15</w:t>
            </w:r>
          </w:p>
        </w:tc>
        <w:tc>
          <w:tcPr>
            <w:tcW w:w="1823" w:type="dxa"/>
          </w:tcPr>
          <w:p w14:paraId="7AA25306" w14:textId="77777777" w:rsidR="00EA6A8C" w:rsidRPr="009426E9" w:rsidRDefault="00EA6A8C" w:rsidP="002E0F7E">
            <w:pPr>
              <w:pStyle w:val="mpcNormal"/>
              <w:keepNext w:val="0"/>
              <w:jc w:val="center"/>
              <w:rPr>
                <w:sz w:val="20"/>
                <w:szCs w:val="20"/>
              </w:rPr>
            </w:pPr>
            <w:r w:rsidRPr="009426E9">
              <w:rPr>
                <w:sz w:val="20"/>
                <w:szCs w:val="20"/>
              </w:rPr>
              <w:t>16</w:t>
            </w:r>
          </w:p>
        </w:tc>
        <w:tc>
          <w:tcPr>
            <w:tcW w:w="1990" w:type="dxa"/>
          </w:tcPr>
          <w:p w14:paraId="405812C7" w14:textId="77777777" w:rsidR="00EA6A8C" w:rsidRPr="009426E9" w:rsidRDefault="00EA6A8C" w:rsidP="002E0F7E">
            <w:pPr>
              <w:pStyle w:val="mpcNormal"/>
              <w:keepNext w:val="0"/>
              <w:jc w:val="center"/>
              <w:rPr>
                <w:sz w:val="20"/>
                <w:szCs w:val="20"/>
              </w:rPr>
            </w:pPr>
            <w:r>
              <w:rPr>
                <w:sz w:val="20"/>
                <w:szCs w:val="20"/>
              </w:rPr>
              <w:t xml:space="preserve">&lt; </w:t>
            </w:r>
            <w:r w:rsidRPr="009426E9">
              <w:rPr>
                <w:sz w:val="20"/>
                <w:szCs w:val="20"/>
              </w:rPr>
              <w:t>1</w:t>
            </w:r>
          </w:p>
        </w:tc>
      </w:tr>
    </w:tbl>
    <w:p w14:paraId="02EB3C43" w14:textId="2D754BC5" w:rsidR="00BB38C9" w:rsidRDefault="00BB38C9" w:rsidP="005A3631">
      <w:pPr>
        <w:pStyle w:val="mpcNormal"/>
        <w:keepNext w:val="0"/>
      </w:pPr>
    </w:p>
    <w:p w14:paraId="07E8951E" w14:textId="771BF366" w:rsidR="00FB52DB" w:rsidRDefault="00FB52DB" w:rsidP="005A3631">
      <w:pPr>
        <w:pStyle w:val="mpcNormal"/>
        <w:keepNext w:val="0"/>
      </w:pPr>
      <w:r w:rsidRPr="009620B0">
        <w:t xml:space="preserve">While most preferred by consumers, Option 1, which includes an optional positive nutrient, is the least used icon. This is because only some foods are eligible to display the positive nutrient, as regulated by </w:t>
      </w:r>
      <w:r w:rsidR="009620B0" w:rsidRPr="009620B0">
        <w:t>the Code</w:t>
      </w:r>
      <w:r w:rsidR="009620B0" w:rsidRPr="009620B0">
        <w:rPr>
          <w:i/>
        </w:rPr>
        <w:t xml:space="preserve"> </w:t>
      </w:r>
      <w:hyperlink r:id="rId43" w:history="1">
        <w:r w:rsidRPr="009620B0">
          <w:rPr>
            <w:rStyle w:val="Hyperlink"/>
            <w:i/>
          </w:rPr>
          <w:t>Schedule 4 – Nutrition, Health and Related Claims</w:t>
        </w:r>
      </w:hyperlink>
      <w:r w:rsidR="00707297" w:rsidRPr="009620B0">
        <w:rPr>
          <w:rStyle w:val="FootnoteReference"/>
        </w:rPr>
        <w:footnoteReference w:id="35"/>
      </w:r>
      <w:r w:rsidRPr="009620B0">
        <w:t>.</w:t>
      </w:r>
    </w:p>
    <w:p w14:paraId="15E86A17" w14:textId="77777777" w:rsidR="00FB52DB" w:rsidRDefault="00FB52DB" w:rsidP="005A3631">
      <w:pPr>
        <w:pStyle w:val="mpcNormal"/>
        <w:keepNext w:val="0"/>
      </w:pPr>
    </w:p>
    <w:p w14:paraId="0E9FEFE7" w14:textId="3FABABA3" w:rsidR="00BB38C9" w:rsidRPr="00560CB6" w:rsidRDefault="008C5CBA">
      <w:pPr>
        <w:pStyle w:val="mpcNormal"/>
        <w:keepNext w:val="0"/>
      </w:pPr>
      <w:r>
        <w:t>T</w:t>
      </w:r>
      <w:r w:rsidR="00BB38C9" w:rsidRPr="00560CB6">
        <w:t>he energy icon</w:t>
      </w:r>
      <w:r>
        <w:t xml:space="preserve"> (</w:t>
      </w:r>
      <w:r w:rsidRPr="00560CB6">
        <w:t>Option 5</w:t>
      </w:r>
      <w:r>
        <w:t>)</w:t>
      </w:r>
      <w:r w:rsidR="00BB38C9" w:rsidRPr="00560CB6">
        <w:t>, which is the least preferred graphic, is used on 15 to 16% of products displaying the HSR in Australia and New Zealand. It is most commonly used on non-dairy beverages (68%), confectionery (68%) and edible oils (38%) and is rarely used in other food groups.</w:t>
      </w:r>
    </w:p>
    <w:p w14:paraId="5406F711" w14:textId="5CD59B1B" w:rsidR="00BB38C9" w:rsidRPr="00560CB6" w:rsidRDefault="00BB38C9">
      <w:pPr>
        <w:pStyle w:val="mpcNormal"/>
        <w:keepNext w:val="0"/>
      </w:pPr>
    </w:p>
    <w:p w14:paraId="09AC3254" w14:textId="5B8ADC7A" w:rsidR="00BB38C9" w:rsidRPr="00560CB6" w:rsidRDefault="00BB38C9">
      <w:pPr>
        <w:pStyle w:val="mpcNormal"/>
        <w:keepNext w:val="0"/>
      </w:pPr>
      <w:r w:rsidRPr="00560CB6">
        <w:t>In addition to low consumer preference for Option 5</w:t>
      </w:r>
      <w:r w:rsidR="00F720A0">
        <w:t>:</w:t>
      </w:r>
      <w:r w:rsidRPr="00560CB6">
        <w:t xml:space="preserve"> only 2% of consumers find it the easiest graphic to understand; 3% find it easiest to recognise; and 4% find it provides sufficient information.</w:t>
      </w:r>
    </w:p>
    <w:p w14:paraId="4E1DFDF5" w14:textId="6FA4847B" w:rsidR="00BB38C9" w:rsidRPr="00E563A9" w:rsidRDefault="00BB38C9" w:rsidP="00E563A9">
      <w:pPr>
        <w:rPr>
          <w:rFonts w:cstheme="minorHAnsi"/>
          <w:sz w:val="22"/>
          <w:szCs w:val="22"/>
        </w:rPr>
      </w:pPr>
    </w:p>
    <w:p w14:paraId="3CCBF273" w14:textId="742CFB32" w:rsidR="00F101DD" w:rsidRPr="00E563A9" w:rsidRDefault="00F101DD" w:rsidP="000A0E35">
      <w:pPr>
        <w:autoSpaceDE w:val="0"/>
        <w:autoSpaceDN w:val="0"/>
        <w:adjustRightInd w:val="0"/>
        <w:rPr>
          <w:rFonts w:cstheme="minorHAnsi"/>
          <w:sz w:val="22"/>
          <w:szCs w:val="22"/>
        </w:rPr>
      </w:pPr>
      <w:r w:rsidRPr="00E563A9">
        <w:rPr>
          <w:rFonts w:cstheme="minorHAnsi"/>
          <w:sz w:val="22"/>
          <w:szCs w:val="22"/>
        </w:rPr>
        <w:t xml:space="preserve">Based on discussions with decision makers at the time the HSR System was implemented, Option 5 was included in the System to accommodate non-dairy beverages and confectionery. </w:t>
      </w:r>
      <w:r w:rsidR="00180ED0" w:rsidRPr="00E563A9">
        <w:rPr>
          <w:rFonts w:cstheme="minorHAnsi"/>
          <w:sz w:val="22"/>
          <w:szCs w:val="22"/>
        </w:rPr>
        <w:t>It is t</w:t>
      </w:r>
      <w:r w:rsidRPr="00E563A9">
        <w:rPr>
          <w:rFonts w:cstheme="minorHAnsi"/>
          <w:sz w:val="22"/>
          <w:szCs w:val="22"/>
        </w:rPr>
        <w:t xml:space="preserve">he confectionery industry’s preferred graphic because it </w:t>
      </w:r>
      <w:r w:rsidR="00C9086B" w:rsidRPr="00E563A9">
        <w:rPr>
          <w:rFonts w:cstheme="minorHAnsi"/>
          <w:sz w:val="22"/>
          <w:szCs w:val="22"/>
        </w:rPr>
        <w:t xml:space="preserve">can be calculated based on an industry agreed standardised serve size </w:t>
      </w:r>
      <w:r w:rsidRPr="00E563A9">
        <w:rPr>
          <w:rFonts w:cstheme="minorHAnsi"/>
          <w:sz w:val="22"/>
          <w:szCs w:val="22"/>
        </w:rPr>
        <w:t>(discussed below) rather than 100g/100m</w:t>
      </w:r>
      <w:r w:rsidR="00E563A9" w:rsidRPr="00E563A9">
        <w:rPr>
          <w:rFonts w:cstheme="minorHAnsi"/>
          <w:sz w:val="22"/>
          <w:szCs w:val="22"/>
        </w:rPr>
        <w:t>L</w:t>
      </w:r>
      <w:r w:rsidRPr="00E563A9">
        <w:rPr>
          <w:rFonts w:cstheme="minorHAnsi"/>
          <w:sz w:val="22"/>
          <w:szCs w:val="22"/>
        </w:rPr>
        <w:t xml:space="preserve">. Some public health professionals have also suggested the stars should not apply to </w:t>
      </w:r>
      <w:r w:rsidR="00E563A9" w:rsidRPr="00E563A9">
        <w:rPr>
          <w:rFonts w:cstheme="minorHAnsi"/>
          <w:sz w:val="22"/>
          <w:szCs w:val="22"/>
        </w:rPr>
        <w:t xml:space="preserve">non-dairy beverages or </w:t>
      </w:r>
      <w:r w:rsidRPr="00E563A9">
        <w:rPr>
          <w:rFonts w:cstheme="minorHAnsi"/>
          <w:sz w:val="22"/>
          <w:szCs w:val="22"/>
        </w:rPr>
        <w:t>confectionery because it may denote a positive health status even when displaying low stars</w:t>
      </w:r>
      <w:r w:rsidR="00E563A9" w:rsidRPr="00E563A9">
        <w:rPr>
          <w:rFonts w:cstheme="minorHAnsi"/>
          <w:sz w:val="22"/>
          <w:szCs w:val="22"/>
        </w:rPr>
        <w:t xml:space="preserve"> (suggesting that warning labels be used on these products to discourage </w:t>
      </w:r>
      <w:r w:rsidR="000F02E6">
        <w:rPr>
          <w:rFonts w:cstheme="minorHAnsi"/>
          <w:sz w:val="22"/>
          <w:szCs w:val="22"/>
        </w:rPr>
        <w:t>their purchase</w:t>
      </w:r>
      <w:r w:rsidR="00E563A9">
        <w:rPr>
          <w:rFonts w:cstheme="minorHAnsi"/>
          <w:sz w:val="22"/>
          <w:szCs w:val="22"/>
        </w:rPr>
        <w:t>)</w:t>
      </w:r>
      <w:r w:rsidR="000F02E6">
        <w:rPr>
          <w:rStyle w:val="FootnoteReference"/>
          <w:rFonts w:cstheme="minorHAnsi"/>
          <w:szCs w:val="22"/>
        </w:rPr>
        <w:footnoteReference w:id="36"/>
      </w:r>
      <w:r w:rsidRPr="00E563A9">
        <w:rPr>
          <w:rFonts w:cstheme="minorHAnsi"/>
          <w:sz w:val="22"/>
          <w:szCs w:val="22"/>
        </w:rPr>
        <w:t>.</w:t>
      </w:r>
      <w:r w:rsidR="00E563A9" w:rsidRPr="00E563A9">
        <w:rPr>
          <w:rFonts w:cstheme="minorHAnsi"/>
          <w:sz w:val="22"/>
          <w:szCs w:val="22"/>
        </w:rPr>
        <w:t xml:space="preserve"> </w:t>
      </w:r>
      <w:r w:rsidR="00C1524E">
        <w:rPr>
          <w:rFonts w:cstheme="minorHAnsi"/>
          <w:sz w:val="22"/>
          <w:szCs w:val="22"/>
        </w:rPr>
        <w:t>Some i</w:t>
      </w:r>
      <w:r w:rsidR="000A0E35">
        <w:rPr>
          <w:rFonts w:cstheme="minorHAnsi"/>
          <w:sz w:val="22"/>
          <w:szCs w:val="22"/>
        </w:rPr>
        <w:t xml:space="preserve">ndustry groups have also </w:t>
      </w:r>
      <w:r w:rsidR="00E52336">
        <w:rPr>
          <w:rFonts w:cstheme="minorHAnsi"/>
          <w:sz w:val="22"/>
          <w:szCs w:val="22"/>
        </w:rPr>
        <w:t>suggested</w:t>
      </w:r>
      <w:r w:rsidR="000A0E35">
        <w:rPr>
          <w:rFonts w:cstheme="minorHAnsi"/>
          <w:sz w:val="22"/>
          <w:szCs w:val="22"/>
        </w:rPr>
        <w:t xml:space="preserve"> that placing stars on confectionery has the potential to </w:t>
      </w:r>
      <w:r w:rsidR="000A0E35" w:rsidRPr="000A0E35">
        <w:rPr>
          <w:rFonts w:cstheme="minorHAnsi"/>
          <w:sz w:val="22"/>
          <w:szCs w:val="22"/>
        </w:rPr>
        <w:t>devalue the stars and reduce the</w:t>
      </w:r>
      <w:r w:rsidR="000A0E35">
        <w:rPr>
          <w:rFonts w:cstheme="minorHAnsi"/>
          <w:sz w:val="22"/>
          <w:szCs w:val="22"/>
        </w:rPr>
        <w:t xml:space="preserve"> </w:t>
      </w:r>
      <w:r w:rsidR="000A0E35" w:rsidRPr="000A0E35">
        <w:rPr>
          <w:rFonts w:cstheme="minorHAnsi"/>
          <w:sz w:val="22"/>
          <w:szCs w:val="22"/>
        </w:rPr>
        <w:t xml:space="preserve">integrity of the </w:t>
      </w:r>
      <w:r w:rsidR="000A0E35">
        <w:rPr>
          <w:rFonts w:cstheme="minorHAnsi"/>
          <w:sz w:val="22"/>
          <w:szCs w:val="22"/>
        </w:rPr>
        <w:t>S</w:t>
      </w:r>
      <w:r w:rsidR="000A0E35" w:rsidRPr="000A0E35">
        <w:rPr>
          <w:rFonts w:cstheme="minorHAnsi"/>
          <w:sz w:val="22"/>
          <w:szCs w:val="22"/>
        </w:rPr>
        <w:t>ystem</w:t>
      </w:r>
      <w:r w:rsidR="000A0E35">
        <w:rPr>
          <w:rFonts w:cstheme="minorHAnsi"/>
          <w:sz w:val="22"/>
          <w:szCs w:val="22"/>
        </w:rPr>
        <w:t>.</w:t>
      </w:r>
    </w:p>
    <w:p w14:paraId="772105D5" w14:textId="77777777" w:rsidR="00F101DD" w:rsidRPr="000A0E35" w:rsidRDefault="00F101DD" w:rsidP="000A0E35">
      <w:pPr>
        <w:autoSpaceDE w:val="0"/>
        <w:autoSpaceDN w:val="0"/>
        <w:adjustRightInd w:val="0"/>
        <w:rPr>
          <w:rFonts w:cstheme="minorHAnsi"/>
          <w:sz w:val="22"/>
          <w:szCs w:val="22"/>
        </w:rPr>
      </w:pPr>
    </w:p>
    <w:p w14:paraId="48E9B756" w14:textId="480981A4" w:rsidR="00F101DD" w:rsidRPr="006F251B" w:rsidRDefault="00F101DD">
      <w:pPr>
        <w:rPr>
          <w:rFonts w:cstheme="minorHAnsi"/>
          <w:sz w:val="22"/>
          <w:szCs w:val="22"/>
        </w:rPr>
      </w:pPr>
      <w:r w:rsidRPr="006F251B">
        <w:rPr>
          <w:rFonts w:cstheme="minorHAnsi"/>
          <w:sz w:val="22"/>
          <w:szCs w:val="22"/>
        </w:rPr>
        <w:t xml:space="preserve">The Review acknowledges these points but on balance considers that Option 5 does not align with the objectives of the HSR System to provide </w:t>
      </w:r>
      <w:r w:rsidR="00560CB6">
        <w:rPr>
          <w:rFonts w:cstheme="minorHAnsi"/>
          <w:sz w:val="22"/>
          <w:szCs w:val="22"/>
        </w:rPr>
        <w:t>‘</w:t>
      </w:r>
      <w:r w:rsidR="00180ED0">
        <w:rPr>
          <w:rFonts w:cstheme="minorHAnsi"/>
          <w:sz w:val="22"/>
          <w:szCs w:val="22"/>
        </w:rPr>
        <w:t xml:space="preserve">convenient, relevant and readily understood nutrition information and/or guidance on food packs to assist consumers to make informed food purchases and healthier eating </w:t>
      </w:r>
      <w:r w:rsidR="00560CB6">
        <w:rPr>
          <w:rFonts w:cstheme="minorHAnsi"/>
          <w:sz w:val="22"/>
          <w:szCs w:val="22"/>
        </w:rPr>
        <w:t>choices’</w:t>
      </w:r>
      <w:r w:rsidR="00180ED0">
        <w:rPr>
          <w:rFonts w:cstheme="minorHAnsi"/>
          <w:sz w:val="22"/>
          <w:szCs w:val="22"/>
        </w:rPr>
        <w:t>.</w:t>
      </w:r>
    </w:p>
    <w:p w14:paraId="492B3AEE" w14:textId="77777777" w:rsidR="00F101DD" w:rsidRPr="006F251B" w:rsidRDefault="00F101DD" w:rsidP="00560CB6">
      <w:pPr>
        <w:pStyle w:val="mpcNormal"/>
        <w:keepNext w:val="0"/>
      </w:pPr>
    </w:p>
    <w:p w14:paraId="1A808A64" w14:textId="22787556" w:rsidR="00F101DD" w:rsidRPr="006F251B" w:rsidRDefault="00F101DD" w:rsidP="009426E9">
      <w:pPr>
        <w:pStyle w:val="mpcNormal"/>
        <w:keepNext w:val="0"/>
      </w:pPr>
      <w:r w:rsidRPr="006F251B">
        <w:t xml:space="preserve">The Review considers that Option 5 should </w:t>
      </w:r>
      <w:r w:rsidR="00180ED0">
        <w:t>be removed from</w:t>
      </w:r>
      <w:r w:rsidRPr="006F251B">
        <w:t xml:space="preserve"> the HSR System for the following reasons:</w:t>
      </w:r>
    </w:p>
    <w:p w14:paraId="5049CE35" w14:textId="77777777" w:rsidR="00F101DD" w:rsidRPr="006F251B" w:rsidRDefault="00F101DD" w:rsidP="009426E9">
      <w:pPr>
        <w:pStyle w:val="mpcNormal"/>
        <w:keepNext w:val="0"/>
      </w:pPr>
    </w:p>
    <w:p w14:paraId="3A78A3B7" w14:textId="77777777" w:rsidR="00F101DD" w:rsidRPr="007E0D2C" w:rsidRDefault="00F101DD" w:rsidP="007E0D2C">
      <w:pPr>
        <w:pStyle w:val="mpcbullets1"/>
        <w:rPr>
          <w:b/>
          <w:bCs/>
        </w:rPr>
      </w:pPr>
      <w:r w:rsidRPr="007E0D2C">
        <w:rPr>
          <w:b/>
          <w:bCs/>
        </w:rPr>
        <w:t>monitoring data shows that consumers do not prefer or understand how to use the energy icon</w:t>
      </w:r>
    </w:p>
    <w:p w14:paraId="412D82DD" w14:textId="03C44DFD" w:rsidR="00F101DD" w:rsidRPr="006F251B" w:rsidRDefault="00F101DD" w:rsidP="00173A82">
      <w:pPr>
        <w:pStyle w:val="mpcbullets2"/>
      </w:pPr>
      <w:r w:rsidRPr="006F251B">
        <w:t xml:space="preserve">While kilojoule labelling is increasingly being used on menu boards and in the eat-out environment to support consumers to select </w:t>
      </w:r>
      <w:r w:rsidR="00F720A0">
        <w:t>lower</w:t>
      </w:r>
      <w:r w:rsidRPr="006F251B">
        <w:t xml:space="preserve"> energy food and beverages, the evidence illustrates that, in the context of the HSR, the energy icon does not provide consumers with meaningful interpretive information to enable them to make healthier choices</w:t>
      </w:r>
      <w:r>
        <w:t>.</w:t>
      </w:r>
    </w:p>
    <w:p w14:paraId="0A023AE5" w14:textId="77777777" w:rsidR="00F101DD" w:rsidRPr="006E651C" w:rsidRDefault="00F101DD" w:rsidP="00173A82">
      <w:pPr>
        <w:pStyle w:val="mpcbullets2"/>
      </w:pPr>
      <w:r w:rsidRPr="006E651C">
        <w:t>A study published in March 2013 found that Australian consumers have a poor understanding of energy and kilojoules and, in some cases, perceive higher energy products as healthy and ‘providing sustained energy’.</w:t>
      </w:r>
      <w:r w:rsidRPr="002D0DD5">
        <w:rPr>
          <w:rFonts w:cs="Calibri (Body)"/>
          <w:vertAlign w:val="superscript"/>
        </w:rPr>
        <w:footnoteReference w:id="37"/>
      </w:r>
    </w:p>
    <w:p w14:paraId="129A182B" w14:textId="77777777" w:rsidR="00F101DD" w:rsidRPr="006E651C" w:rsidRDefault="00F101DD" w:rsidP="00173A82">
      <w:pPr>
        <w:pStyle w:val="mpcbullets2"/>
      </w:pPr>
      <w:r w:rsidRPr="006E651C">
        <w:t>A literature review of consumer understanding and use of food labels found that the relationship between calories and energy was poorly understood.</w:t>
      </w:r>
      <w:r w:rsidRPr="002D0DD5">
        <w:rPr>
          <w:rFonts w:cs="Calibri (Body)"/>
          <w:vertAlign w:val="superscript"/>
        </w:rPr>
        <w:footnoteReference w:id="38"/>
      </w:r>
    </w:p>
    <w:p w14:paraId="11A1DDF4" w14:textId="517710D3" w:rsidR="00F101DD" w:rsidRPr="002238DB" w:rsidRDefault="00F101DD" w:rsidP="00173A82">
      <w:pPr>
        <w:pStyle w:val="mpcbullets2"/>
      </w:pPr>
      <w:r w:rsidRPr="006E651C">
        <w:t xml:space="preserve">A WHO Health Evidence Network report reviewed government endorsed FoPL in 15 member states and found that numerical information on the contribution that a serving of food made to an adult’s daily recommended intake was poorly understood. It also found that presenting information on a per </w:t>
      </w:r>
      <w:r w:rsidRPr="002238DB">
        <w:t>serve basis often resulted in consumer misunderstanding and overconsumption.</w:t>
      </w:r>
      <w:r w:rsidRPr="002D0DD5">
        <w:rPr>
          <w:rFonts w:cs="Calibri (Body)"/>
          <w:vertAlign w:val="superscript"/>
        </w:rPr>
        <w:footnoteReference w:id="39"/>
      </w:r>
    </w:p>
    <w:p w14:paraId="5FCD517B" w14:textId="7FA9B385" w:rsidR="000F02E6" w:rsidRDefault="004F5DF8" w:rsidP="00173A82">
      <w:pPr>
        <w:pStyle w:val="mpcbullets2"/>
      </w:pPr>
      <w:r w:rsidRPr="002238DB">
        <w:t>Research exploring</w:t>
      </w:r>
      <w:r w:rsidR="002238DB" w:rsidRPr="002238DB">
        <w:t xml:space="preserve"> the consumer perspective on front of pack nutrition information looked at Guideline Daily Amounts, which provide FoPL information on energy and daily intake, such as the energy icon. It was</w:t>
      </w:r>
      <w:r w:rsidRPr="002238DB">
        <w:t xml:space="preserve"> found that </w:t>
      </w:r>
      <w:r w:rsidR="00792E2F" w:rsidRPr="002238DB">
        <w:t xml:space="preserve">these icons require considerable consumer interpretation and nutrition knowledge, </w:t>
      </w:r>
      <w:r w:rsidR="002238DB" w:rsidRPr="002238DB">
        <w:t xml:space="preserve">that consumers may have difficulty in understanding energy </w:t>
      </w:r>
      <w:r w:rsidR="000A0E35" w:rsidRPr="002238DB">
        <w:t>needs,</w:t>
      </w:r>
      <w:r w:rsidR="002238DB" w:rsidRPr="002238DB">
        <w:t xml:space="preserve"> </w:t>
      </w:r>
      <w:r w:rsidR="002238DB">
        <w:t xml:space="preserve">and they </w:t>
      </w:r>
      <w:r w:rsidR="00792E2F" w:rsidRPr="002238DB">
        <w:t>provide ‘no help with relative healthiness’</w:t>
      </w:r>
      <w:r w:rsidR="002238DB" w:rsidRPr="002238DB">
        <w:t>.</w:t>
      </w:r>
      <w:r w:rsidRPr="002D0DD5">
        <w:rPr>
          <w:rFonts w:cs="Calibri (Body)"/>
          <w:vertAlign w:val="superscript"/>
        </w:rPr>
        <w:footnoteReference w:id="40"/>
      </w:r>
    </w:p>
    <w:p w14:paraId="0FD6B7A5" w14:textId="63F8596E" w:rsidR="009B6EFE" w:rsidRPr="002238DB" w:rsidRDefault="009B6EFE" w:rsidP="00173A82">
      <w:pPr>
        <w:pStyle w:val="mpcbullets2"/>
      </w:pPr>
      <w:r>
        <w:t>A study exploring how consumers use and make sense of FoPLs, including reductive FoPL that does not provide an assessment of a product’s nutritional quality, such as the energy icon or the DIG</w:t>
      </w:r>
      <w:r w:rsidR="00AD6AB2">
        <w:t xml:space="preserve"> </w:t>
      </w:r>
      <w:r>
        <w:t>found that consumers strongly preferred evaluative FoPL with a summary indicator (the HSR stars) over reductive FoPL such as the energy icon.</w:t>
      </w:r>
      <w:r w:rsidRPr="002D0DD5">
        <w:rPr>
          <w:rFonts w:cs="Calibri (Body)"/>
          <w:vertAlign w:val="superscript"/>
        </w:rPr>
        <w:footnoteReference w:id="41"/>
      </w:r>
    </w:p>
    <w:p w14:paraId="09CC8900" w14:textId="59340F38" w:rsidR="00F101DD" w:rsidRPr="006F251B" w:rsidRDefault="00F101DD" w:rsidP="00560CB6">
      <w:pPr>
        <w:pStyle w:val="mpcNormal"/>
        <w:keepNext w:val="0"/>
      </w:pPr>
    </w:p>
    <w:p w14:paraId="06B070B0" w14:textId="4E849077" w:rsidR="00F101DD" w:rsidRPr="006F251B" w:rsidRDefault="00F101DD" w:rsidP="007E0D2C">
      <w:pPr>
        <w:pStyle w:val="mpcbullets1"/>
      </w:pPr>
      <w:r w:rsidRPr="002238DB">
        <w:rPr>
          <w:b/>
        </w:rPr>
        <w:t>within the non-dairy beverage category, both the energy icon and stars are used</w:t>
      </w:r>
      <w:r w:rsidR="00030E35">
        <w:t>. T</w:t>
      </w:r>
      <w:r w:rsidRPr="006F251B">
        <w:t xml:space="preserve">he energy icon </w:t>
      </w:r>
      <w:r w:rsidR="00030E35">
        <w:t xml:space="preserve">is </w:t>
      </w:r>
      <w:r w:rsidRPr="00771C5A">
        <w:t>generally</w:t>
      </w:r>
      <w:r w:rsidRPr="006F251B">
        <w:t xml:space="preserve"> used for low scoring products and the stars for high scoring products</w:t>
      </w:r>
      <w:r w:rsidR="00153CBD">
        <w:t xml:space="preserve"> (see Figure 2)</w:t>
      </w:r>
      <w:r w:rsidRPr="006F251B">
        <w:t xml:space="preserve">. This </w:t>
      </w:r>
      <w:r>
        <w:t xml:space="preserve">suggests that the graphics are being differentially applied by industry which also </w:t>
      </w:r>
      <w:r w:rsidRPr="006F251B">
        <w:t>makes it difficult for consumers to compare products</w:t>
      </w:r>
    </w:p>
    <w:p w14:paraId="39DFBF71" w14:textId="1CF094F7" w:rsidR="00F101DD" w:rsidRDefault="00F101DD" w:rsidP="00173A82">
      <w:pPr>
        <w:pStyle w:val="mpcbullets2"/>
      </w:pPr>
      <w:r w:rsidRPr="006F251B">
        <w:t>A study published in August 2018 found that of the 762 non-dairy beverages sampled, 6.8% displayed the stars while 28.5% displayed the energy icon. For beverages displaying the stars, 94.2% displayed an HSR of 5 and, of these, 85.7% were 100% fruit and vegetable juices.</w:t>
      </w:r>
      <w:r w:rsidRPr="002D0DD5">
        <w:rPr>
          <w:rFonts w:cs="Calibri (Body)"/>
          <w:vertAlign w:val="superscript"/>
        </w:rPr>
        <w:footnoteReference w:id="42"/>
      </w:r>
    </w:p>
    <w:p w14:paraId="548F8818" w14:textId="53EC7C4B" w:rsidR="00F720A0" w:rsidRPr="006F251B" w:rsidRDefault="00F720A0" w:rsidP="00173A82">
      <w:pPr>
        <w:pStyle w:val="mpcbullets2"/>
        <w:numPr>
          <w:ilvl w:val="0"/>
          <w:numId w:val="0"/>
        </w:numPr>
        <w:ind w:left="425"/>
      </w:pPr>
    </w:p>
    <w:p w14:paraId="14F49680" w14:textId="7AC2D8AC" w:rsidR="00F20183" w:rsidRDefault="00372E4A" w:rsidP="007E0D2C">
      <w:pPr>
        <w:pStyle w:val="mpcbullets1"/>
        <w:numPr>
          <w:ilvl w:val="0"/>
          <w:numId w:val="0"/>
        </w:numPr>
        <w:ind w:left="360"/>
      </w:pPr>
      <w:r w:rsidRPr="00560CB6">
        <w:rPr>
          <w:noProof/>
          <w:lang w:eastAsia="en-AU"/>
        </w:rPr>
        <w:drawing>
          <wp:inline distT="0" distB="0" distL="0" distR="0" wp14:anchorId="054503FF" wp14:editId="1FFF3420">
            <wp:extent cx="5734050" cy="2123440"/>
            <wp:effectExtent l="0" t="0" r="6350" b="0"/>
            <wp:docPr id="57" name="Picture 57" descr="Figure 2: Image of a range of non-dairy beverages lined up such that the use of different graphics is obvious.&#10;&#10;This illustrates the different graphics found on non-dairy beverages – HSRs are generally displayed for products that score an HSR of 5; otherwise, the energy icon is displayed. The mix of HSR graphics in this category does not support consumer decision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hqprint">
                      <a:extLst>
                        <a:ext uri="{28A0092B-C50C-407E-A947-70E740481C1C}">
                          <a14:useLocalDpi xmlns:a14="http://schemas.microsoft.com/office/drawing/2010/main" val="0"/>
                        </a:ext>
                      </a:extLst>
                    </a:blip>
                    <a:srcRect/>
                    <a:stretch/>
                  </pic:blipFill>
                  <pic:spPr bwMode="auto">
                    <a:xfrm>
                      <a:off x="0" y="0"/>
                      <a:ext cx="5734050" cy="2123440"/>
                    </a:xfrm>
                    <a:prstGeom prst="rect">
                      <a:avLst/>
                    </a:prstGeom>
                    <a:ln>
                      <a:noFill/>
                    </a:ln>
                    <a:extLst>
                      <a:ext uri="{53640926-AAD7-44D8-BBD7-CCE9431645EC}">
                        <a14:shadowObscured xmlns:a14="http://schemas.microsoft.com/office/drawing/2010/main"/>
                      </a:ext>
                    </a:extLst>
                  </pic:spPr>
                </pic:pic>
              </a:graphicData>
            </a:graphic>
          </wp:inline>
        </w:drawing>
      </w:r>
    </w:p>
    <w:p w14:paraId="64C2C3DD" w14:textId="77777777" w:rsidR="00EA6A8C" w:rsidRPr="005711B7" w:rsidRDefault="00EA6A8C" w:rsidP="00EA6A8C">
      <w:pPr>
        <w:pStyle w:val="mpcNormal"/>
        <w:spacing w:before="120"/>
        <w:ind w:left="357"/>
        <w:rPr>
          <w:sz w:val="20"/>
        </w:rPr>
      </w:pPr>
      <w:r w:rsidRPr="009374A6">
        <w:rPr>
          <w:b/>
          <w:sz w:val="20"/>
        </w:rPr>
        <w:t>Figure 2:</w:t>
      </w:r>
      <w:r w:rsidRPr="009374A6">
        <w:rPr>
          <w:sz w:val="20"/>
        </w:rPr>
        <w:t xml:space="preserve"> </w:t>
      </w:r>
      <w:r w:rsidRPr="005711B7">
        <w:rPr>
          <w:sz w:val="20"/>
        </w:rPr>
        <w:t xml:space="preserve">This illustrates the </w:t>
      </w:r>
      <w:r>
        <w:rPr>
          <w:sz w:val="20"/>
        </w:rPr>
        <w:t>different</w:t>
      </w:r>
      <w:r w:rsidRPr="005711B7">
        <w:rPr>
          <w:sz w:val="20"/>
        </w:rPr>
        <w:t xml:space="preserve"> graphics found on </w:t>
      </w:r>
      <w:r>
        <w:rPr>
          <w:sz w:val="20"/>
        </w:rPr>
        <w:t xml:space="preserve">non-dairy </w:t>
      </w:r>
      <w:r w:rsidRPr="005711B7">
        <w:rPr>
          <w:sz w:val="20"/>
        </w:rPr>
        <w:t>beverages – HSRs are generally displayed for products that score an HSR of 5; otherwise, the energy icon is displayed. The mix of HSR graphics in this category does not support consumer decision making.</w:t>
      </w:r>
    </w:p>
    <w:p w14:paraId="7FF14DC2" w14:textId="77777777" w:rsidR="00EA6A8C" w:rsidRDefault="00EA6A8C" w:rsidP="00EA6A8C">
      <w:pPr>
        <w:pStyle w:val="mpcbullets1"/>
        <w:numPr>
          <w:ilvl w:val="0"/>
          <w:numId w:val="0"/>
        </w:numPr>
      </w:pPr>
    </w:p>
    <w:p w14:paraId="40E36CF7" w14:textId="55B79C3A" w:rsidR="00560CB6" w:rsidRPr="00560CB6" w:rsidRDefault="00DC4980" w:rsidP="007E0D2C">
      <w:pPr>
        <w:pStyle w:val="mpcbullets1"/>
      </w:pPr>
      <w:r>
        <w:t xml:space="preserve">unlike other products, </w:t>
      </w:r>
      <w:r w:rsidR="00560CB6" w:rsidRPr="00560CB6">
        <w:t xml:space="preserve">non-dairy beverages and confectionery can use </w:t>
      </w:r>
      <w:r w:rsidR="00560CB6" w:rsidRPr="002238DB">
        <w:rPr>
          <w:b/>
        </w:rPr>
        <w:t>industry agreed standardised serve sizes to display nutritional and energy information</w:t>
      </w:r>
      <w:r w:rsidR="00560CB6">
        <w:t>, such that it is made even more difficult to compare the energy icon across these products</w:t>
      </w:r>
    </w:p>
    <w:p w14:paraId="32310F36" w14:textId="2C9AEBBE" w:rsidR="00993480" w:rsidRPr="00560CB6" w:rsidRDefault="00EA6A8C" w:rsidP="00173A82">
      <w:pPr>
        <w:pStyle w:val="mpcbullets2"/>
      </w:pPr>
      <w:r w:rsidRPr="002D0DD5">
        <w:rPr>
          <w:noProof/>
          <w:lang w:eastAsia="en-AU"/>
        </w:rPr>
        <w:drawing>
          <wp:anchor distT="0" distB="0" distL="114300" distR="114300" simplePos="0" relativeHeight="251682816" behindDoc="0" locked="0" layoutInCell="1" allowOverlap="1" wp14:anchorId="67D47321" wp14:editId="28724DFA">
            <wp:simplePos x="0" y="0"/>
            <wp:positionH relativeFrom="column">
              <wp:posOffset>3448050</wp:posOffset>
            </wp:positionH>
            <wp:positionV relativeFrom="paragraph">
              <wp:posOffset>168177</wp:posOffset>
            </wp:positionV>
            <wp:extent cx="2741295" cy="2566670"/>
            <wp:effectExtent l="0" t="0" r="1905" b="0"/>
            <wp:wrapSquare wrapText="bothSides"/>
            <wp:docPr id="2" name="Picture 2" descr="Image from the HSR System Style Guide showing the three different NRM options for presenting nutrient and energy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41295" cy="2566670"/>
                    </a:xfrm>
                    <a:prstGeom prst="rect">
                      <a:avLst/>
                    </a:prstGeom>
                  </pic:spPr>
                </pic:pic>
              </a:graphicData>
            </a:graphic>
            <wp14:sizeRelH relativeFrom="page">
              <wp14:pctWidth>0</wp14:pctWidth>
            </wp14:sizeRelH>
            <wp14:sizeRelV relativeFrom="page">
              <wp14:pctHeight>0</wp14:pctHeight>
            </wp14:sizeRelV>
          </wp:anchor>
        </w:drawing>
      </w:r>
      <w:r w:rsidR="00993480" w:rsidRPr="00560CB6">
        <w:t>A product’s HSR is based on a 100g or 100mL portion so the stars displayed on a product do not change depending on the portion size</w:t>
      </w:r>
      <w:r w:rsidR="008C5CBA">
        <w:t>. T</w:t>
      </w:r>
      <w:r w:rsidR="00993480" w:rsidRPr="00560CB6">
        <w:t>his is not the case for the energy icon.</w:t>
      </w:r>
    </w:p>
    <w:p w14:paraId="09CB1A9D" w14:textId="16E8D339" w:rsidR="00F101DD" w:rsidRPr="00554655" w:rsidRDefault="00EA6A8C" w:rsidP="00173A82">
      <w:pPr>
        <w:pStyle w:val="mpcbullets2"/>
      </w:pPr>
      <w:r w:rsidRPr="00560CB6">
        <w:rPr>
          <w:noProof/>
          <w:lang w:eastAsia="en-AU"/>
        </w:rPr>
        <mc:AlternateContent>
          <mc:Choice Requires="wps">
            <w:drawing>
              <wp:anchor distT="0" distB="0" distL="114300" distR="114300" simplePos="0" relativeHeight="251712512" behindDoc="0" locked="0" layoutInCell="1" allowOverlap="1" wp14:anchorId="25962282" wp14:editId="5AB22183">
                <wp:simplePos x="0" y="0"/>
                <wp:positionH relativeFrom="column">
                  <wp:posOffset>5603374</wp:posOffset>
                </wp:positionH>
                <wp:positionV relativeFrom="paragraph">
                  <wp:posOffset>947855</wp:posOffset>
                </wp:positionV>
                <wp:extent cx="394101" cy="214964"/>
                <wp:effectExtent l="12700" t="12700" r="12700" b="13970"/>
                <wp:wrapNone/>
                <wp:docPr id="42" name="Oval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101" cy="21496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AB76F7" id="Oval 42" o:spid="_x0000_s1026" style="position:absolute;margin-left:441.2pt;margin-top:74.65pt;width:31.05pt;height:16.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" filled="f" strokecolor="red" strokeweight="1.5pt">
                <v:stroke joinstyle="miter"/>
              </v:oval>
            </w:pict>
          </mc:Fallback>
        </mc:AlternateContent>
      </w:r>
      <w:r w:rsidRPr="00560CB6">
        <w:rPr>
          <w:noProof/>
          <w:lang w:eastAsia="en-AU"/>
        </w:rPr>
        <mc:AlternateContent>
          <mc:Choice Requires="wps">
            <w:drawing>
              <wp:anchor distT="0" distB="0" distL="114300" distR="114300" simplePos="0" relativeHeight="251685888" behindDoc="0" locked="0" layoutInCell="1" allowOverlap="1" wp14:anchorId="1FAD369B" wp14:editId="31A9ECAF">
                <wp:simplePos x="0" y="0"/>
                <wp:positionH relativeFrom="column">
                  <wp:posOffset>5603240</wp:posOffset>
                </wp:positionH>
                <wp:positionV relativeFrom="paragraph">
                  <wp:posOffset>65773</wp:posOffset>
                </wp:positionV>
                <wp:extent cx="394101" cy="214964"/>
                <wp:effectExtent l="12700" t="12700" r="12700" b="13970"/>
                <wp:wrapNone/>
                <wp:docPr id="41" name="Oval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101" cy="21496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6ED8FA" id="Oval 41" o:spid="_x0000_s1026" style="position:absolute;margin-left:441.2pt;margin-top:5.2pt;width:31.05pt;height:16.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" filled="f" strokecolor="red" strokeweight="1.5pt">
                <v:stroke joinstyle="miter"/>
              </v:oval>
            </w:pict>
          </mc:Fallback>
        </mc:AlternateContent>
      </w:r>
      <w:r w:rsidR="00993480" w:rsidRPr="00560CB6">
        <w:t>Generally,</w:t>
      </w:r>
      <w:r w:rsidR="00F101DD" w:rsidRPr="00560CB6">
        <w:t xml:space="preserve"> energy and nutrient information </w:t>
      </w:r>
      <w:r w:rsidR="00993480" w:rsidRPr="00560CB6">
        <w:t>are</w:t>
      </w:r>
      <w:r w:rsidR="00F101DD" w:rsidRPr="00560CB6">
        <w:t xml:space="preserve"> presented on a ‘per 100g’ or ‘per 100mL’ basis. Where the product is presented as an individual</w:t>
      </w:r>
      <w:r w:rsidR="00F101DD" w:rsidRPr="00554655">
        <w:t xml:space="preserve"> serve for consumption by one person in a single sitting, </w:t>
      </w:r>
      <w:r w:rsidR="00993480">
        <w:t xml:space="preserve">the </w:t>
      </w:r>
      <w:r w:rsidR="00F101DD" w:rsidRPr="00554655">
        <w:t>energy and nutrient information may be presented on a ‘per 100g/100mL’ basis or on a ‘per pack’ basis</w:t>
      </w:r>
      <w:r w:rsidR="00C8439B">
        <w:t xml:space="preserve"> (see Figure </w:t>
      </w:r>
      <w:r w:rsidR="008E6E55">
        <w:t>3</w:t>
      </w:r>
      <w:r w:rsidR="00C8439B">
        <w:t>)</w:t>
      </w:r>
      <w:r w:rsidR="00F101DD" w:rsidRPr="00554655">
        <w:t>.</w:t>
      </w:r>
    </w:p>
    <w:p w14:paraId="4FC8B50D" w14:textId="7A623428" w:rsidR="00F101DD" w:rsidRPr="006F251B" w:rsidRDefault="00EA6A8C" w:rsidP="00173A82">
      <w:pPr>
        <w:pStyle w:val="mpcbullets2"/>
      </w:pPr>
      <w:r w:rsidRPr="00560CB6">
        <w:rPr>
          <w:noProof/>
          <w:lang w:eastAsia="en-AU"/>
        </w:rPr>
        <mc:AlternateContent>
          <mc:Choice Requires="wps">
            <w:drawing>
              <wp:anchor distT="0" distB="0" distL="114300" distR="114300" simplePos="0" relativeHeight="251684864" behindDoc="1" locked="0" layoutInCell="1" allowOverlap="1" wp14:anchorId="28E45151" wp14:editId="2EB9239B">
                <wp:simplePos x="0" y="0"/>
                <wp:positionH relativeFrom="column">
                  <wp:posOffset>3617595</wp:posOffset>
                </wp:positionH>
                <wp:positionV relativeFrom="paragraph">
                  <wp:posOffset>1108710</wp:posOffset>
                </wp:positionV>
                <wp:extent cx="2345690" cy="659130"/>
                <wp:effectExtent l="0" t="0" r="3810" b="1270"/>
                <wp:wrapTight wrapText="bothSides">
                  <wp:wrapPolygon edited="1">
                    <wp:start x="-744" y="0"/>
                    <wp:lineTo x="-661" y="21600"/>
                    <wp:lineTo x="21529" y="21194"/>
                    <wp:lineTo x="21529" y="0"/>
                    <wp:lineTo x="-744" y="0"/>
                  </wp:wrapPolygon>
                </wp:wrapTight>
                <wp:docPr id="8" name="Text Box 8" descr="Figure 3: The energy and nutrient information of a product can generally be provided on a 'per 100g', 'per 100mL' or 'per pack' basis."/>
                <wp:cNvGraphicFramePr/>
                <a:graphic xmlns:a="http://schemas.openxmlformats.org/drawingml/2006/main">
                  <a:graphicData uri="http://schemas.microsoft.com/office/word/2010/wordprocessingShape">
                    <wps:wsp>
                      <wps:cNvSpPr txBox="1"/>
                      <wps:spPr>
                        <a:xfrm>
                          <a:off x="0" y="0"/>
                          <a:ext cx="2345690" cy="659130"/>
                        </a:xfrm>
                        <a:prstGeom prst="rect">
                          <a:avLst/>
                        </a:prstGeom>
                        <a:solidFill>
                          <a:prstClr val="white"/>
                        </a:solidFill>
                        <a:ln>
                          <a:noFill/>
                        </a:ln>
                      </wps:spPr>
                      <wps:txbx>
                        <w:txbxContent>
                          <w:p w14:paraId="136A7969" w14:textId="2CF95352" w:rsidR="00E254FE" w:rsidRPr="00DC778B" w:rsidRDefault="00E254FE" w:rsidP="00EA6A8C">
                            <w:pPr>
                              <w:pStyle w:val="Caption"/>
                              <w:spacing w:before="0" w:after="0" w:line="240" w:lineRule="auto"/>
                              <w:ind w:left="142"/>
                              <w:rPr>
                                <w:sz w:val="24"/>
                              </w:rPr>
                            </w:pPr>
                            <w:r w:rsidRPr="00DC778B">
                              <w:rPr>
                                <w:sz w:val="20"/>
                              </w:rPr>
                              <w:t>Figure</w:t>
                            </w:r>
                            <w:r>
                              <w:rPr>
                                <w:sz w:val="20"/>
                              </w:rPr>
                              <w:t xml:space="preserve"> 3</w:t>
                            </w:r>
                            <w:r w:rsidRPr="00DC778B">
                              <w:rPr>
                                <w:sz w:val="20"/>
                              </w:rPr>
                              <w:t xml:space="preserve">: </w:t>
                            </w:r>
                            <w:r w:rsidRPr="00DC778B">
                              <w:rPr>
                                <w:b w:val="0"/>
                                <w:sz w:val="20"/>
                              </w:rPr>
                              <w:t>The energy and nutrient information of a product can generally be provided on a 'per 100g', 'per 100mL' or 'per pack' basis.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45151" id="Text Box 8" o:spid="_x0000_s1030" type="#_x0000_t202" alt="Figure 3: The energy and nutrient information of a product can generally be provided on a 'per 100g', 'per 100mL' or 'per pack' basis." style="position:absolute;left:0;text-align:left;margin-left:284.85pt;margin-top:87.3pt;width:184.7pt;height:51.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744 0 -661 21600 21529 21194 21529 0 -74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" stroked="f">
                <v:textbox inset="0,0,0,0">
                  <w:txbxContent>
                    <w:p w14:paraId="136A7969" w14:textId="2CF95352" w:rsidR="00E254FE" w:rsidRPr="00DC778B" w:rsidRDefault="00E254FE" w:rsidP="00EA6A8C">
                      <w:pPr>
                        <w:pStyle w:val="Caption"/>
                        <w:spacing w:before="0" w:after="0" w:line="240" w:lineRule="auto"/>
                        <w:ind w:left="142"/>
                        <w:rPr>
                          <w:sz w:val="24"/>
                        </w:rPr>
                      </w:pPr>
                      <w:r w:rsidRPr="00DC778B">
                        <w:rPr>
                          <w:sz w:val="20"/>
                        </w:rPr>
                        <w:t>Figure</w:t>
                      </w:r>
                      <w:r>
                        <w:rPr>
                          <w:sz w:val="20"/>
                        </w:rPr>
                        <w:t xml:space="preserve"> 3</w:t>
                      </w:r>
                      <w:r w:rsidRPr="00DC778B">
                        <w:rPr>
                          <w:sz w:val="20"/>
                        </w:rPr>
                        <w:t xml:space="preserve">: </w:t>
                      </w:r>
                      <w:r w:rsidRPr="00DC778B">
                        <w:rPr>
                          <w:b w:val="0"/>
                          <w:sz w:val="20"/>
                        </w:rPr>
                        <w:t>The energy and nutrient information of a product can generally be provided on a 'per 100g', 'per 100mL' or 'per pack' basis.</w:t>
                      </w:r>
                    </w:p>
                  </w:txbxContent>
                </v:textbox>
                <w10:wrap type="tight"/>
              </v:shape>
            </w:pict>
          </mc:Fallback>
        </mc:AlternateContent>
      </w:r>
      <w:r w:rsidRPr="00560CB6">
        <w:rPr>
          <w:noProof/>
          <w:lang w:eastAsia="en-AU"/>
        </w:rPr>
        <mc:AlternateContent>
          <mc:Choice Requires="wps">
            <w:drawing>
              <wp:anchor distT="0" distB="0" distL="114300" distR="114300" simplePos="0" relativeHeight="251714560" behindDoc="0" locked="0" layoutInCell="1" allowOverlap="1" wp14:anchorId="11C39B2C" wp14:editId="5315D627">
                <wp:simplePos x="0" y="0"/>
                <wp:positionH relativeFrom="column">
                  <wp:posOffset>5603374</wp:posOffset>
                </wp:positionH>
                <wp:positionV relativeFrom="paragraph">
                  <wp:posOffset>629920</wp:posOffset>
                </wp:positionV>
                <wp:extent cx="394101" cy="214964"/>
                <wp:effectExtent l="12700" t="12700" r="12700" b="13970"/>
                <wp:wrapNone/>
                <wp:docPr id="50" name="Oval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101" cy="21496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7860BB" id="Oval 50" o:spid="_x0000_s1026" style="position:absolute;margin-left:441.2pt;margin-top:49.6pt;width:31.05pt;height:16.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" filled="f" strokecolor="red" strokeweight="1.5pt">
                <v:stroke joinstyle="miter"/>
              </v:oval>
            </w:pict>
          </mc:Fallback>
        </mc:AlternateContent>
      </w:r>
      <w:r w:rsidR="00F101DD" w:rsidRPr="006F251B">
        <w:t>Where an industry agreed standardised serve sizes exists, products may display the energy and nutrient information on a ‘per 100g/100mL’ basis, a ‘per pack’ basis or a ‘per [serve size]’ basis. Beverages and confectionery are the only products with industry</w:t>
      </w:r>
      <w:r w:rsidR="00180ED0">
        <w:noBreakHyphen/>
      </w:r>
      <w:r w:rsidR="00F101DD" w:rsidRPr="006F251B">
        <w:t xml:space="preserve">agreed standardised serve sizes: </w:t>
      </w:r>
    </w:p>
    <w:p w14:paraId="61D6A084" w14:textId="636CB2B7" w:rsidR="00F101DD" w:rsidRPr="006F251B" w:rsidRDefault="00F101DD" w:rsidP="007E0D2C">
      <w:pPr>
        <w:pStyle w:val="mpcbullets3"/>
        <w:keepNext w:val="0"/>
      </w:pPr>
      <w:r w:rsidRPr="006F251B">
        <w:t xml:space="preserve">for beverages with a product size &gt; 600mL, the serve size is 250mL </w:t>
      </w:r>
    </w:p>
    <w:p w14:paraId="01D8DE45" w14:textId="546B8AB1" w:rsidR="00F101DD" w:rsidRPr="006F251B" w:rsidRDefault="00F101DD" w:rsidP="007E0D2C">
      <w:pPr>
        <w:pStyle w:val="mpcbullets3"/>
        <w:keepNext w:val="0"/>
      </w:pPr>
      <w:r w:rsidRPr="006F251B">
        <w:t xml:space="preserve">for beverages with a product size </w:t>
      </w:r>
      <w:r w:rsidRPr="006F251B">
        <w:sym w:font="Symbol" w:char="F0A3"/>
      </w:r>
      <w:r w:rsidRPr="006F251B">
        <w:t xml:space="preserve"> 600mL, the serve size is the entire product</w:t>
      </w:r>
    </w:p>
    <w:p w14:paraId="77D3A945" w14:textId="3AD320AF" w:rsidR="00F101DD" w:rsidRPr="006F251B" w:rsidRDefault="00F101DD" w:rsidP="007E0D2C">
      <w:pPr>
        <w:pStyle w:val="mpcbullets3"/>
        <w:keepNext w:val="0"/>
      </w:pPr>
      <w:r w:rsidRPr="006F251B">
        <w:t>for confectionery the serve size is 25g +/-5g.</w:t>
      </w:r>
    </w:p>
    <w:p w14:paraId="0E11C2B8" w14:textId="6E81838B" w:rsidR="00F101DD" w:rsidRDefault="00F101DD" w:rsidP="00173A82">
      <w:pPr>
        <w:pStyle w:val="mpcbullets2"/>
      </w:pPr>
      <w:r w:rsidRPr="006F251B">
        <w:t>This means that the energy values displayed on the front of beverage and confection</w:t>
      </w:r>
      <w:r>
        <w:t>e</w:t>
      </w:r>
      <w:r w:rsidRPr="006F251B">
        <w:t xml:space="preserve">ry products can vary dramatically without there being a significant difference in the nutritional composition of the product. This further reduces the utility of the energy icon to support consumers in making </w:t>
      </w:r>
      <w:r w:rsidR="0097756D">
        <w:t>comparisons between products</w:t>
      </w:r>
      <w:r w:rsidR="0097756D" w:rsidRPr="006F251B">
        <w:t xml:space="preserve"> </w:t>
      </w:r>
      <w:r w:rsidRPr="006F251B">
        <w:t>in these categories</w:t>
      </w:r>
      <w:r w:rsidR="00EE3B9C">
        <w:t xml:space="preserve"> (see Figure </w:t>
      </w:r>
      <w:r w:rsidR="008E6E55">
        <w:t>4</w:t>
      </w:r>
      <w:r w:rsidR="00EE3B9C">
        <w:t>)</w:t>
      </w:r>
      <w:r w:rsidRPr="006F251B">
        <w:t>.</w:t>
      </w:r>
    </w:p>
    <w:p w14:paraId="122DB478" w14:textId="2A790F64" w:rsidR="000A0E35" w:rsidRDefault="000A0E35" w:rsidP="00173A82">
      <w:pPr>
        <w:pStyle w:val="mpcbullets2"/>
        <w:numPr>
          <w:ilvl w:val="0"/>
          <w:numId w:val="0"/>
        </w:numPr>
      </w:pPr>
    </w:p>
    <w:tbl>
      <w:tblPr>
        <w:tblStyle w:val="TableGrid"/>
        <w:tblW w:w="974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nergy icon and serve size"/>
        <w:tblDescription w:val="This table shows that different serve sizes are used on confectionery to display the energy icon."/>
      </w:tblPr>
      <w:tblGrid>
        <w:gridCol w:w="6583"/>
        <w:gridCol w:w="3163"/>
      </w:tblGrid>
      <w:tr w:rsidR="00EA6A8C" w14:paraId="2AF0165E" w14:textId="77777777" w:rsidTr="00EA6A8C">
        <w:tc>
          <w:tcPr>
            <w:tcW w:w="6583" w:type="dxa"/>
          </w:tcPr>
          <w:p w14:paraId="671E5A66" w14:textId="77777777" w:rsidR="00EA6A8C" w:rsidRPr="00DC4980" w:rsidRDefault="00EA6A8C" w:rsidP="002E0F7E">
            <w:pPr>
              <w:pStyle w:val="mpcNormal"/>
              <w:keepNext w:val="0"/>
              <w:rPr>
                <w:sz w:val="11"/>
              </w:rPr>
            </w:pPr>
            <w:r w:rsidRPr="00DC4980">
              <w:rPr>
                <w:noProof/>
                <w:sz w:val="11"/>
                <w:lang w:eastAsia="en-AU"/>
              </w:rPr>
              <w:drawing>
                <wp:inline distT="0" distB="0" distL="0" distR="0" wp14:anchorId="5796E2AC" wp14:editId="5282C81C">
                  <wp:extent cx="4043045" cy="2884170"/>
                  <wp:effectExtent l="0" t="0" r="0" b="0"/>
                  <wp:docPr id="58" name="Picture 58" descr="Figure 4: Image of six different confectionery-like items displaying the energy icon, showing the different serve sizes used within this category of foods.&#10;&#10;Berry &amp; Coconut bar displays an HSR of 5; Bounty displays the energy icon based on a serve size of ‘one piece’ (28.5g) showing 592kJ; Kit-Kat displays the energy icon based on a serve size of ‘two fingers’ (22.5g) showing 490kJ; Turkish Delight displays the energy icon based on a serve size of ‘one bar’ (55g) showing 868kJ; Twirl displays the energy icon based on a serve size of ‘one stick’ (19.5g) showing 438kJ; and Nutella with breadsticks displays the energy icon based on a serve size of 48g showing 1012kJ. However, the Review considers it likely all of these items would be consumed as a single 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hqprint">
                            <a:extLst>
                              <a:ext uri="{28A0092B-C50C-407E-A947-70E740481C1C}">
                                <a14:useLocalDpi xmlns:a14="http://schemas.microsoft.com/office/drawing/2010/main" val="0"/>
                              </a:ext>
                            </a:extLst>
                          </a:blip>
                          <a:srcRect/>
                          <a:stretch/>
                        </pic:blipFill>
                        <pic:spPr bwMode="auto">
                          <a:xfrm>
                            <a:off x="0" y="0"/>
                            <a:ext cx="4043045" cy="2884170"/>
                          </a:xfrm>
                          <a:prstGeom prst="rect">
                            <a:avLst/>
                          </a:prstGeom>
                          <a:ln>
                            <a:noFill/>
                          </a:ln>
                          <a:extLst>
                            <a:ext uri="{53640926-AAD7-44D8-BBD7-CCE9431645EC}">
                              <a14:shadowObscured xmlns:a14="http://schemas.microsoft.com/office/drawing/2010/main"/>
                            </a:ext>
                          </a:extLst>
                        </pic:spPr>
                      </pic:pic>
                    </a:graphicData>
                  </a:graphic>
                </wp:inline>
              </w:drawing>
            </w:r>
          </w:p>
        </w:tc>
        <w:tc>
          <w:tcPr>
            <w:tcW w:w="3163" w:type="dxa"/>
          </w:tcPr>
          <w:p w14:paraId="127EF0FF" w14:textId="77777777" w:rsidR="00EA6A8C" w:rsidRPr="00654C50" w:rsidRDefault="00EA6A8C" w:rsidP="002E0F7E">
            <w:pPr>
              <w:pStyle w:val="mpcNormal"/>
              <w:keepNext w:val="0"/>
            </w:pPr>
            <w:bookmarkStart w:id="81" w:name="F4"/>
            <w:bookmarkEnd w:id="81"/>
            <w:r w:rsidRPr="00DC778B">
              <w:rPr>
                <w:b/>
                <w:sz w:val="20"/>
              </w:rPr>
              <w:t xml:space="preserve">Figure </w:t>
            </w:r>
            <w:r>
              <w:rPr>
                <w:b/>
                <w:sz w:val="20"/>
              </w:rPr>
              <w:t>4</w:t>
            </w:r>
            <w:r w:rsidRPr="00DC778B">
              <w:rPr>
                <w:b/>
                <w:sz w:val="20"/>
              </w:rPr>
              <w:t>:</w:t>
            </w:r>
            <w:r w:rsidRPr="00DC778B">
              <w:rPr>
                <w:sz w:val="20"/>
              </w:rPr>
              <w:t xml:space="preserve"> Berry &amp; Coconut bar displays an HSR of 5; Bounty displays the energy icon based on a serve size of ‘one piece’ (28.5g) showing 592kJ; Kit-Kat displays the energy icon based on a serve size of ‘two fingers’ (22.5g) showing 490kJ; Turkish Delight displays the energy icon based on a serve size of ‘one bar’ (55g) showing 868kJ; Twirl displays the energy icon based on a serve size of ‘one stick’ (19.5g) showing 438kJ; and Nutella with breadsticks displays the energy icon based on a serve size of 48g showing 1012kJ. </w:t>
            </w:r>
            <w:r>
              <w:rPr>
                <w:sz w:val="20"/>
              </w:rPr>
              <w:t>However, the Review considers it likely all of these items would be consumed as a single serve.</w:t>
            </w:r>
            <w:r>
              <w:rPr>
                <w:rStyle w:val="FootnoteReference"/>
              </w:rPr>
              <w:footnoteReference w:id="43"/>
            </w:r>
            <w:r w:rsidRPr="00DC778B">
              <w:rPr>
                <w:sz w:val="20"/>
                <w:vertAlign w:val="superscript"/>
              </w:rPr>
              <w:t>,</w:t>
            </w:r>
            <w:r>
              <w:rPr>
                <w:rStyle w:val="FootnoteReference"/>
              </w:rPr>
              <w:footnoteReference w:id="44"/>
            </w:r>
          </w:p>
        </w:tc>
      </w:tr>
    </w:tbl>
    <w:p w14:paraId="745FA895" w14:textId="77777777" w:rsidR="00DC4980" w:rsidRDefault="00DC4980" w:rsidP="007E0D2C">
      <w:pPr>
        <w:pStyle w:val="mpcbullets1"/>
        <w:numPr>
          <w:ilvl w:val="0"/>
          <w:numId w:val="0"/>
        </w:numPr>
        <w:ind w:left="360"/>
      </w:pPr>
    </w:p>
    <w:p w14:paraId="44A0D69A" w14:textId="535645CE" w:rsidR="00F101DD" w:rsidRDefault="00F101DD" w:rsidP="007E0D2C">
      <w:pPr>
        <w:pStyle w:val="mpcbullets1"/>
      </w:pPr>
      <w:r w:rsidRPr="00554655">
        <w:t>campaigns and promotion</w:t>
      </w:r>
      <w:r>
        <w:t>al</w:t>
      </w:r>
      <w:r w:rsidRPr="00554655">
        <w:t xml:space="preserve"> materials </w:t>
      </w:r>
      <w:r>
        <w:t>regarding</w:t>
      </w:r>
      <w:r w:rsidRPr="00554655">
        <w:t xml:space="preserve"> the HSR System </w:t>
      </w:r>
      <w:r>
        <w:t>focus on</w:t>
      </w:r>
      <w:r w:rsidRPr="00554655">
        <w:t xml:space="preserve"> reco</w:t>
      </w:r>
      <w:r>
        <w:t>gnising</w:t>
      </w:r>
      <w:r w:rsidRPr="00554655">
        <w:t xml:space="preserve"> and unde</w:t>
      </w:r>
      <w:r>
        <w:t xml:space="preserve">rstanding </w:t>
      </w:r>
      <w:r w:rsidRPr="00554655">
        <w:t xml:space="preserve">how to use the stars. </w:t>
      </w:r>
      <w:r w:rsidRPr="002238DB">
        <w:rPr>
          <w:b/>
        </w:rPr>
        <w:t xml:space="preserve">Few stakeholders recognise the energy icon as </w:t>
      </w:r>
      <w:r w:rsidR="008C5CBA" w:rsidRPr="002238DB">
        <w:rPr>
          <w:b/>
        </w:rPr>
        <w:t>an alternative to the stars</w:t>
      </w:r>
      <w:r w:rsidRPr="00554655">
        <w:t xml:space="preserve">. </w:t>
      </w:r>
    </w:p>
    <w:p w14:paraId="6955BE5D" w14:textId="5AA60FE4" w:rsidR="00F101DD" w:rsidRDefault="00F101DD" w:rsidP="00173A82">
      <w:pPr>
        <w:pStyle w:val="mpcbullets2"/>
      </w:pPr>
      <w:r>
        <w:t>Some industry stakeholders have</w:t>
      </w:r>
      <w:r w:rsidRPr="00554655">
        <w:t xml:space="preserve"> suggested the e</w:t>
      </w:r>
      <w:r>
        <w:t>nergy</w:t>
      </w:r>
      <w:r w:rsidRPr="00554655">
        <w:t xml:space="preserve"> icon could be better promoted as part of the HSR System and have offered to contribute to b</w:t>
      </w:r>
      <w:r>
        <w:t>uilding</w:t>
      </w:r>
      <w:r w:rsidRPr="00554655">
        <w:t xml:space="preserve"> awareness around the ene</w:t>
      </w:r>
      <w:r>
        <w:t>rgy</w:t>
      </w:r>
      <w:r w:rsidRPr="00554655">
        <w:t xml:space="preserve"> icon. </w:t>
      </w:r>
    </w:p>
    <w:p w14:paraId="1974EF9F" w14:textId="6640EF8C" w:rsidR="00F101DD" w:rsidRDefault="00F101DD" w:rsidP="00173A82">
      <w:pPr>
        <w:pStyle w:val="mpcbullets2"/>
      </w:pPr>
      <w:r w:rsidRPr="00554655">
        <w:t>The Review doe</w:t>
      </w:r>
      <w:r>
        <w:t>s</w:t>
      </w:r>
      <w:r w:rsidRPr="00554655">
        <w:t xml:space="preserve"> not cons</w:t>
      </w:r>
      <w:r>
        <w:t xml:space="preserve">ider </w:t>
      </w:r>
      <w:r w:rsidRPr="00554655">
        <w:t xml:space="preserve">it viable to promote both the stars and the energy icon </w:t>
      </w:r>
      <w:r>
        <w:t xml:space="preserve">as part of the HSR System </w:t>
      </w:r>
      <w:r w:rsidRPr="00554655">
        <w:t xml:space="preserve">and explain to consumers when they should look for one graphic or another. </w:t>
      </w:r>
    </w:p>
    <w:p w14:paraId="36196793" w14:textId="4A55B460" w:rsidR="00F101DD" w:rsidRDefault="00F101DD" w:rsidP="00173A82">
      <w:pPr>
        <w:pStyle w:val="mpcbullets2"/>
      </w:pPr>
      <w:r>
        <w:t>I</w:t>
      </w:r>
      <w:r w:rsidRPr="00554655">
        <w:t>t is n</w:t>
      </w:r>
      <w:r>
        <w:t>ot</w:t>
      </w:r>
      <w:r w:rsidRPr="00554655">
        <w:t xml:space="preserve"> clear what message would b</w:t>
      </w:r>
      <w:r>
        <w:t xml:space="preserve">e communicated </w:t>
      </w:r>
      <w:r w:rsidRPr="00554655">
        <w:t>to consumers about</w:t>
      </w:r>
      <w:r>
        <w:t xml:space="preserve"> the</w:t>
      </w:r>
      <w:r w:rsidRPr="00554655">
        <w:t xml:space="preserve"> energy value they shoul</w:t>
      </w:r>
      <w:r>
        <w:t>d</w:t>
      </w:r>
      <w:r w:rsidRPr="00554655">
        <w:t xml:space="preserve"> </w:t>
      </w:r>
      <w:r>
        <w:t>seek for different products. While s</w:t>
      </w:r>
      <w:r w:rsidRPr="00D403A3">
        <w:t>ome stakeholders have suggested that consumers could be encouraged to look across a range of products and select the lowest energy product</w:t>
      </w:r>
      <w:r>
        <w:t xml:space="preserve">, the Review does not consider this </w:t>
      </w:r>
      <w:r w:rsidR="000C64AF">
        <w:t>feasible</w:t>
      </w:r>
      <w:r>
        <w:t xml:space="preserve"> in a </w:t>
      </w:r>
      <w:r w:rsidRPr="00D403A3">
        <w:t xml:space="preserve">supermarket </w:t>
      </w:r>
      <w:r>
        <w:t xml:space="preserve">setting </w:t>
      </w:r>
      <w:r w:rsidRPr="00D403A3">
        <w:t>whe</w:t>
      </w:r>
      <w:r w:rsidR="0097756D">
        <w:t>re</w:t>
      </w:r>
      <w:r w:rsidRPr="00D403A3">
        <w:t xml:space="preserve"> consumers are selecting </w:t>
      </w:r>
      <w:r>
        <w:t>many i</w:t>
      </w:r>
      <w:r w:rsidRPr="00D403A3">
        <w:t>ndividual products</w:t>
      </w:r>
      <w:r>
        <w:t xml:space="preserve"> </w:t>
      </w:r>
      <w:r w:rsidR="0097756D">
        <w:t>and when the unit sizes being compared can differ markedly</w:t>
      </w:r>
      <w:r w:rsidRPr="00D403A3">
        <w:t xml:space="preserve">. </w:t>
      </w:r>
      <w:r w:rsidR="00752513">
        <w:t>W</w:t>
      </w:r>
      <w:r w:rsidRPr="00D403A3">
        <w:t>hile sugar and energy are signif</w:t>
      </w:r>
      <w:r>
        <w:t xml:space="preserve">icant </w:t>
      </w:r>
      <w:r w:rsidRPr="00D403A3">
        <w:t>drive</w:t>
      </w:r>
      <w:r>
        <w:t>r</w:t>
      </w:r>
      <w:r w:rsidRPr="00D403A3">
        <w:t>s of the HSR in confection</w:t>
      </w:r>
      <w:r>
        <w:t>e</w:t>
      </w:r>
      <w:r w:rsidRPr="00D403A3">
        <w:t>ry</w:t>
      </w:r>
      <w:r w:rsidR="00752513">
        <w:t xml:space="preserve"> and non-dairy beverages</w:t>
      </w:r>
      <w:r w:rsidRPr="00D403A3">
        <w:t xml:space="preserve">, </w:t>
      </w:r>
      <w:r w:rsidR="00752513">
        <w:t xml:space="preserve">the energy icon does not consider other important </w:t>
      </w:r>
      <w:r w:rsidR="000B2F42">
        <w:t>components</w:t>
      </w:r>
      <w:r w:rsidR="00752513">
        <w:t xml:space="preserve"> of</w:t>
      </w:r>
      <w:r w:rsidR="000B2F42">
        <w:t xml:space="preserve"> the products</w:t>
      </w:r>
      <w:r w:rsidR="00752513">
        <w:t xml:space="preserve"> </w:t>
      </w:r>
      <w:r w:rsidR="000B2F42">
        <w:t>(</w:t>
      </w:r>
      <w:r w:rsidR="00752513">
        <w:t xml:space="preserve">for example, </w:t>
      </w:r>
      <w:r w:rsidRPr="00D403A3">
        <w:t>saturated fat is also relevant</w:t>
      </w:r>
      <w:r w:rsidR="00752513">
        <w:t xml:space="preserve"> </w:t>
      </w:r>
      <w:r w:rsidRPr="00D403A3">
        <w:t>for chocolate-based confec</w:t>
      </w:r>
      <w:r>
        <w:t>tionery</w:t>
      </w:r>
      <w:r w:rsidR="00752513">
        <w:t>)</w:t>
      </w:r>
      <w:r>
        <w:t xml:space="preserve">. </w:t>
      </w:r>
      <w:r w:rsidRPr="00D403A3">
        <w:t xml:space="preserve">  </w:t>
      </w:r>
    </w:p>
    <w:p w14:paraId="6484DB31" w14:textId="4FFF16B2" w:rsidR="009D7C9F" w:rsidRDefault="009D7C9F" w:rsidP="00173A82">
      <w:pPr>
        <w:pStyle w:val="mpcbullets2"/>
      </w:pPr>
      <w:r>
        <w:t>The energy icon is also easily confused with the DIG implemented by industry in 2006.</w:t>
      </w:r>
    </w:p>
    <w:p w14:paraId="2BCAFC81" w14:textId="77777777" w:rsidR="008E6E55" w:rsidRDefault="008E6E55" w:rsidP="008E6E55">
      <w:pPr>
        <w:pStyle w:val="mpcNormal"/>
        <w:keepNext w:val="0"/>
      </w:pPr>
    </w:p>
    <w:p w14:paraId="23DA5EB2" w14:textId="226E7D5F" w:rsidR="008E6E55" w:rsidRDefault="004C4894" w:rsidP="00DC4980">
      <w:pPr>
        <w:pStyle w:val="mpcNormal"/>
        <w:keepNext w:val="0"/>
      </w:pPr>
      <w:r w:rsidRPr="006F251B">
        <w:t>The confection</w:t>
      </w:r>
      <w:r>
        <w:t>e</w:t>
      </w:r>
      <w:r w:rsidRPr="006F251B">
        <w:t>ry industry has noted that confection</w:t>
      </w:r>
      <w:r>
        <w:t>e</w:t>
      </w:r>
      <w:r w:rsidRPr="006F251B">
        <w:t>ry is a treat food</w:t>
      </w:r>
      <w:r w:rsidR="008E6E55">
        <w:t>,</w:t>
      </w:r>
      <w:r w:rsidRPr="006F251B">
        <w:t xml:space="preserve"> </w:t>
      </w:r>
      <w:r>
        <w:t>contributes</w:t>
      </w:r>
      <w:r w:rsidRPr="006F251B">
        <w:t xml:space="preserve"> a small amount of total dietary energy </w:t>
      </w:r>
      <w:r>
        <w:t xml:space="preserve">to Australian diets </w:t>
      </w:r>
      <w:r w:rsidRPr="006F251B">
        <w:t>(</w:t>
      </w:r>
      <w:r>
        <w:t xml:space="preserve">between </w:t>
      </w:r>
      <w:r w:rsidRPr="006F251B">
        <w:t>2</w:t>
      </w:r>
      <w:r>
        <w:t xml:space="preserve"> to </w:t>
      </w:r>
      <w:r w:rsidRPr="006F251B">
        <w:t>3%)</w:t>
      </w:r>
      <w:r w:rsidR="008E6E55">
        <w:t xml:space="preserve"> and </w:t>
      </w:r>
      <w:r w:rsidR="00E52336">
        <w:t xml:space="preserve">that </w:t>
      </w:r>
      <w:r w:rsidR="00F101DD" w:rsidRPr="00D42DD2">
        <w:t>Opt</w:t>
      </w:r>
      <w:r w:rsidR="00F101DD">
        <w:t>i</w:t>
      </w:r>
      <w:r w:rsidR="00F101DD" w:rsidRPr="00D42DD2">
        <w:t>on 5 is nec</w:t>
      </w:r>
      <w:r w:rsidR="00F101DD">
        <w:t>es</w:t>
      </w:r>
      <w:r w:rsidR="00F101DD" w:rsidRPr="00D42DD2">
        <w:t xml:space="preserve">sary for flexibility, to align </w:t>
      </w:r>
      <w:r w:rsidR="00F101DD" w:rsidRPr="00E52336">
        <w:t xml:space="preserve">with other messaging including the </w:t>
      </w:r>
      <w:r w:rsidR="008E6E55" w:rsidRPr="008E6E55">
        <w:rPr>
          <w:i/>
          <w:iCs/>
        </w:rPr>
        <w:t xml:space="preserve">Be </w:t>
      </w:r>
      <w:r w:rsidR="00F101DD" w:rsidRPr="008E6E55">
        <w:rPr>
          <w:i/>
          <w:iCs/>
        </w:rPr>
        <w:t>Treatwise</w:t>
      </w:r>
      <w:r w:rsidR="00F101DD" w:rsidRPr="00E52336">
        <w:t xml:space="preserve"> campaign</w:t>
      </w:r>
      <w:r w:rsidR="004C2738" w:rsidRPr="00E52336">
        <w:t xml:space="preserve"> in Australia</w:t>
      </w:r>
      <w:r w:rsidR="00F101DD" w:rsidRPr="00E52336">
        <w:t xml:space="preserve"> and </w:t>
      </w:r>
      <w:r w:rsidR="002801A0" w:rsidRPr="00E52336">
        <w:t>to accommodate</w:t>
      </w:r>
      <w:r w:rsidR="00F101DD" w:rsidRPr="00E52336">
        <w:t xml:space="preserve"> small pack sizes. </w:t>
      </w:r>
    </w:p>
    <w:p w14:paraId="55033080" w14:textId="77777777" w:rsidR="008E6E55" w:rsidRDefault="008E6E55" w:rsidP="00DC4980">
      <w:pPr>
        <w:pStyle w:val="mpcNormal"/>
        <w:keepNext w:val="0"/>
      </w:pPr>
    </w:p>
    <w:p w14:paraId="590B6E70" w14:textId="77777777" w:rsidR="0051716A" w:rsidRDefault="0051716A" w:rsidP="0051716A">
      <w:pPr>
        <w:pStyle w:val="mpcNormal"/>
        <w:keepNext w:val="0"/>
      </w:pPr>
      <w:r w:rsidRPr="00E52336">
        <w:t xml:space="preserve">In submissions to the Draft Review Report, industry provided research to demonstrate that the energy icon, in combination with the </w:t>
      </w:r>
      <w:r w:rsidRPr="00E52336">
        <w:rPr>
          <w:i/>
        </w:rPr>
        <w:t>Be treatwise</w:t>
      </w:r>
      <w:r w:rsidRPr="00E52336">
        <w:t xml:space="preserve"> logo (see Figure </w:t>
      </w:r>
      <w:r>
        <w:t>5</w:t>
      </w:r>
      <w:r w:rsidRPr="00E52336">
        <w:t>), is well understood by consumers and provides relevant information to allow consumers to choose between confection</w:t>
      </w:r>
      <w:r>
        <w:t>e</w:t>
      </w:r>
      <w:r w:rsidRPr="00E52336">
        <w:t xml:space="preserve">ry items. It is acknowledged that the </w:t>
      </w:r>
      <w:r w:rsidRPr="00E52336">
        <w:rPr>
          <w:i/>
        </w:rPr>
        <w:t>Be treatwise</w:t>
      </w:r>
      <w:r w:rsidRPr="00E52336">
        <w:t xml:space="preserve"> logo, in combination with the suggested serve size, may support consumers to understand serving size and to limit their intake of confection</w:t>
      </w:r>
      <w:r>
        <w:t>e</w:t>
      </w:r>
      <w:r w:rsidRPr="00E52336">
        <w:t xml:space="preserve">ry products. However, the HSR System is not intended to provide information </w:t>
      </w:r>
      <w:r>
        <w:t xml:space="preserve">about </w:t>
      </w:r>
      <w:r w:rsidRPr="00E52336">
        <w:t xml:space="preserve">portion size but to help discriminate between two similar products. While the </w:t>
      </w:r>
      <w:r w:rsidRPr="00E52336">
        <w:rPr>
          <w:i/>
        </w:rPr>
        <w:t>Be treatwise</w:t>
      </w:r>
      <w:r w:rsidRPr="00E52336">
        <w:t xml:space="preserve"> logo in combination with a suggested serve size is a useful tool, it is not reliant on the energy icon (many manufacturers display it alongside the DIG rather than the HSR energy icon), nor does it provide the same information as the stars.</w:t>
      </w:r>
    </w:p>
    <w:p w14:paraId="1AE44145" w14:textId="77777777" w:rsidR="008E6E55" w:rsidRPr="00E97BFE" w:rsidRDefault="008E6E55" w:rsidP="008E6E55">
      <w:pPr>
        <w:rPr>
          <w:rFonts w:ascii="Times New Roman" w:eastAsia="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Be Treatwise"/>
        <w:tblDescription w:val="Shows the br treatwise logo and how it might be displayed with the HSR energy icon."/>
      </w:tblPr>
      <w:tblGrid>
        <w:gridCol w:w="2318"/>
        <w:gridCol w:w="5296"/>
      </w:tblGrid>
      <w:tr w:rsidR="008E6E55" w14:paraId="0AC803A1" w14:textId="77777777" w:rsidTr="00D03694">
        <w:trPr>
          <w:jc w:val="center"/>
        </w:trPr>
        <w:tc>
          <w:tcPr>
            <w:tcW w:w="2318" w:type="dxa"/>
            <w:vAlign w:val="center"/>
          </w:tcPr>
          <w:p w14:paraId="41A8AEA9" w14:textId="437C9EFB" w:rsidR="008E6E55" w:rsidRDefault="008E6E55" w:rsidP="00D03694">
            <w:pPr>
              <w:pStyle w:val="mpcNormal"/>
              <w:keepNext w:val="0"/>
            </w:pPr>
            <w:r w:rsidRPr="000A0E35">
              <w:rPr>
                <w:b/>
                <w:sz w:val="20"/>
              </w:rPr>
              <w:t xml:space="preserve">Figure </w:t>
            </w:r>
            <w:r>
              <w:rPr>
                <w:b/>
                <w:sz w:val="20"/>
              </w:rPr>
              <w:t>5</w:t>
            </w:r>
            <w:r w:rsidRPr="000A0E35">
              <w:rPr>
                <w:b/>
                <w:sz w:val="20"/>
              </w:rPr>
              <w:t>:</w:t>
            </w:r>
            <w:r w:rsidRPr="000A0E35">
              <w:rPr>
                <w:sz w:val="20"/>
              </w:rPr>
              <w:t xml:space="preserve"> The confectionery industry’s </w:t>
            </w:r>
            <w:r w:rsidRPr="000A0E35">
              <w:rPr>
                <w:i/>
                <w:sz w:val="20"/>
              </w:rPr>
              <w:t>Be treatwise</w:t>
            </w:r>
            <w:r w:rsidRPr="000A0E35">
              <w:rPr>
                <w:sz w:val="20"/>
              </w:rPr>
              <w:t xml:space="preserve"> logo, which is often accompanied by the energy icon or the</w:t>
            </w:r>
            <w:r>
              <w:rPr>
                <w:sz w:val="20"/>
              </w:rPr>
              <w:t xml:space="preserve"> </w:t>
            </w:r>
            <w:r w:rsidRPr="000A0E35">
              <w:rPr>
                <w:sz w:val="20"/>
              </w:rPr>
              <w:t xml:space="preserve">DIG and </w:t>
            </w:r>
            <w:r w:rsidRPr="009915BD">
              <w:rPr>
                <w:sz w:val="20"/>
                <w:szCs w:val="20"/>
              </w:rPr>
              <w:t xml:space="preserve">a suggested serve size (Image sourced from the </w:t>
            </w:r>
            <w:hyperlink r:id="rId47" w:history="1">
              <w:r w:rsidRPr="009915BD">
                <w:rPr>
                  <w:rStyle w:val="Hyperlink"/>
                  <w:sz w:val="20"/>
                  <w:szCs w:val="20"/>
                </w:rPr>
                <w:t>Be treatwise website</w:t>
              </w:r>
            </w:hyperlink>
            <w:r w:rsidRPr="009915BD">
              <w:rPr>
                <w:sz w:val="20"/>
                <w:szCs w:val="20"/>
              </w:rPr>
              <w:t>, April 2019).</w:t>
            </w:r>
          </w:p>
        </w:tc>
        <w:tc>
          <w:tcPr>
            <w:tcW w:w="5296" w:type="dxa"/>
            <w:vAlign w:val="center"/>
          </w:tcPr>
          <w:p w14:paraId="7F4164E1" w14:textId="2C224A91" w:rsidR="008E6E55" w:rsidRDefault="008E6E55" w:rsidP="00D03694">
            <w:pPr>
              <w:pStyle w:val="mpcNormal"/>
              <w:keepNext w:val="0"/>
              <w:jc w:val="center"/>
            </w:pPr>
            <w:r w:rsidRPr="00E97BFE">
              <w:rPr>
                <w:rFonts w:ascii="Times New Roman" w:eastAsia="Times New Roman" w:hAnsi="Times New Roman" w:cs="Times New Roman"/>
              </w:rPr>
              <w:fldChar w:fldCharType="begin"/>
            </w:r>
            <w:r w:rsidR="00655A22">
              <w:rPr>
                <w:rFonts w:ascii="Times New Roman" w:eastAsia="Times New Roman" w:hAnsi="Times New Roman" w:cs="Times New Roman"/>
              </w:rPr>
              <w:instrText xml:space="preserve"> INCLUDEPICTURE "\\\\central.health\\var\\folders\\s1\\bnbd0j0s67n_t2jkkb4j9k6m0000gn\\T\\com.microsoft.Word\\WebArchiveCopyPasteTempFiles\\frontofpack.png" \* MERGEFORMAT </w:instrText>
            </w:r>
            <w:r w:rsidRPr="00E97BFE">
              <w:rPr>
                <w:rFonts w:ascii="Times New Roman" w:eastAsia="Times New Roman" w:hAnsi="Times New Roman" w:cs="Times New Roman"/>
              </w:rPr>
              <w:fldChar w:fldCharType="separate"/>
            </w:r>
            <w:r w:rsidRPr="00E97BFE">
              <w:rPr>
                <w:rFonts w:ascii="Times New Roman" w:eastAsia="Times New Roman" w:hAnsi="Times New Roman" w:cs="Times New Roman"/>
                <w:noProof/>
                <w:lang w:eastAsia="en-AU"/>
              </w:rPr>
              <w:drawing>
                <wp:inline distT="0" distB="0" distL="0" distR="0" wp14:anchorId="363FDC94" wp14:editId="45604E29">
                  <wp:extent cx="2987040" cy="1548143"/>
                  <wp:effectExtent l="0" t="0" r="0" b="1270"/>
                  <wp:docPr id="17" name="Picture 17" descr="Image result for be treatw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 treatwise"/>
                          <pic:cNvPicPr>
                            <a:picLocks noChangeAspect="1" noChangeArrowheads="1"/>
                          </pic:cNvPicPr>
                        </pic:nvPicPr>
                        <pic:blipFill rotWithShape="1">
                          <a:blip r:embed="rId48" cstate="hqprint">
                            <a:extLst>
                              <a:ext uri="{28A0092B-C50C-407E-A947-70E740481C1C}">
                                <a14:useLocalDpi xmlns:a14="http://schemas.microsoft.com/office/drawing/2010/main" val="0"/>
                              </a:ext>
                            </a:extLst>
                          </a:blip>
                          <a:srcRect b="5936"/>
                          <a:stretch/>
                        </pic:blipFill>
                        <pic:spPr bwMode="auto">
                          <a:xfrm>
                            <a:off x="0" y="0"/>
                            <a:ext cx="3031425" cy="1571147"/>
                          </a:xfrm>
                          <a:prstGeom prst="rect">
                            <a:avLst/>
                          </a:prstGeom>
                          <a:noFill/>
                          <a:ln>
                            <a:noFill/>
                          </a:ln>
                          <a:extLst>
                            <a:ext uri="{53640926-AAD7-44D8-BBD7-CCE9431645EC}">
                              <a14:shadowObscured xmlns:a14="http://schemas.microsoft.com/office/drawing/2010/main"/>
                            </a:ext>
                          </a:extLst>
                        </pic:spPr>
                      </pic:pic>
                    </a:graphicData>
                  </a:graphic>
                </wp:inline>
              </w:drawing>
            </w:r>
            <w:r w:rsidRPr="00E97BFE">
              <w:rPr>
                <w:rFonts w:ascii="Times New Roman" w:eastAsia="Times New Roman" w:hAnsi="Times New Roman" w:cs="Times New Roman"/>
              </w:rPr>
              <w:fldChar w:fldCharType="end"/>
            </w:r>
          </w:p>
        </w:tc>
      </w:tr>
    </w:tbl>
    <w:p w14:paraId="05D70EE8" w14:textId="77777777" w:rsidR="00D03694" w:rsidRDefault="00D03694" w:rsidP="00DC4980">
      <w:pPr>
        <w:pStyle w:val="mpcNormal"/>
        <w:keepNext w:val="0"/>
      </w:pPr>
    </w:p>
    <w:p w14:paraId="50CF1721" w14:textId="1AA34D3E" w:rsidR="00C512E3" w:rsidRDefault="00604511" w:rsidP="00DC4980">
      <w:pPr>
        <w:pStyle w:val="mpcNormal"/>
        <w:keepNext w:val="0"/>
        <w:rPr>
          <w:i/>
          <w:iCs/>
        </w:rPr>
      </w:pPr>
      <w:r>
        <w:t>C</w:t>
      </w:r>
      <w:r w:rsidR="00F101DD" w:rsidRPr="00D42DD2">
        <w:t>onfection</w:t>
      </w:r>
      <w:r w:rsidR="00F101DD">
        <w:t>e</w:t>
      </w:r>
      <w:r w:rsidR="00F101DD" w:rsidRPr="00D42DD2">
        <w:t xml:space="preserve">ry is not unique in terms of being a </w:t>
      </w:r>
      <w:r w:rsidR="00A84FB4">
        <w:t>‘</w:t>
      </w:r>
      <w:r w:rsidR="00F101DD">
        <w:t xml:space="preserve">treat’ or </w:t>
      </w:r>
      <w:r w:rsidR="00A84FB4">
        <w:t xml:space="preserve">a </w:t>
      </w:r>
      <w:r w:rsidR="00F101DD">
        <w:t xml:space="preserve">discretionary </w:t>
      </w:r>
      <w:r w:rsidR="00A84FB4" w:rsidRPr="004C4894">
        <w:t xml:space="preserve">food </w:t>
      </w:r>
      <w:r w:rsidR="00F101DD" w:rsidRPr="004C4894">
        <w:t xml:space="preserve">(noting that other foods such as chips, cakes and sweet biscuits generally </w:t>
      </w:r>
      <w:r w:rsidR="00A84FB4" w:rsidRPr="004C4894">
        <w:t>do not use</w:t>
      </w:r>
      <w:r w:rsidR="00F101DD" w:rsidRPr="004C4894">
        <w:t xml:space="preserve"> the energy icon)</w:t>
      </w:r>
      <w:r w:rsidR="00AD6AB2">
        <w:t xml:space="preserve">. Further, </w:t>
      </w:r>
      <w:r w:rsidR="004C4894" w:rsidRPr="004C4894">
        <w:t xml:space="preserve">removal of </w:t>
      </w:r>
      <w:r w:rsidR="004C4894">
        <w:t>Option 5</w:t>
      </w:r>
      <w:r w:rsidR="004C4894" w:rsidRPr="004C4894">
        <w:t xml:space="preserve"> from the HSR System does not preclude manufacturers from displaying the recommended portion size on the front of packaging for confectionery products</w:t>
      </w:r>
      <w:r w:rsidR="00AD6AB2">
        <w:t xml:space="preserve">, nor from using industry developed campaigns such as </w:t>
      </w:r>
      <w:r w:rsidR="00AD6AB2" w:rsidRPr="00AD6AB2">
        <w:rPr>
          <w:i/>
          <w:iCs/>
        </w:rPr>
        <w:t>Be Treatwise</w:t>
      </w:r>
      <w:r w:rsidR="00AD6AB2">
        <w:rPr>
          <w:i/>
          <w:iCs/>
        </w:rPr>
        <w:t>.</w:t>
      </w:r>
      <w:r w:rsidR="00AE2E9D">
        <w:rPr>
          <w:i/>
          <w:iCs/>
        </w:rPr>
        <w:t xml:space="preserve"> </w:t>
      </w:r>
    </w:p>
    <w:p w14:paraId="15FD11CF" w14:textId="77777777" w:rsidR="00C512E3" w:rsidRDefault="00C512E3" w:rsidP="00DC4980">
      <w:pPr>
        <w:pStyle w:val="mpcNormal"/>
        <w:keepNext w:val="0"/>
        <w:rPr>
          <w:i/>
          <w:iCs/>
        </w:rPr>
      </w:pPr>
    </w:p>
    <w:p w14:paraId="65187217" w14:textId="753C59BF" w:rsidR="008E6E55" w:rsidRPr="00C512E3" w:rsidRDefault="00C512E3" w:rsidP="00BB1A95">
      <w:pPr>
        <w:pStyle w:val="mpcNormal"/>
        <w:keepNext w:val="0"/>
      </w:pPr>
      <w:r w:rsidRPr="00C512E3">
        <w:t>It should</w:t>
      </w:r>
      <w:r>
        <w:t>,</w:t>
      </w:r>
      <w:r w:rsidRPr="00C512E3">
        <w:t xml:space="preserve"> how</w:t>
      </w:r>
      <w:r>
        <w:t>e</w:t>
      </w:r>
      <w:r w:rsidRPr="00C512E3">
        <w:t>ver</w:t>
      </w:r>
      <w:r>
        <w:t xml:space="preserve">, </w:t>
      </w:r>
      <w:r w:rsidRPr="00C512E3">
        <w:t xml:space="preserve">be clear that </w:t>
      </w:r>
      <w:r>
        <w:t xml:space="preserve">the </w:t>
      </w:r>
      <w:r w:rsidR="00BB1A95" w:rsidRPr="00C512E3">
        <w:t>energy icon i</w:t>
      </w:r>
      <w:r w:rsidRPr="00C512E3">
        <w:t>n</w:t>
      </w:r>
      <w:r w:rsidR="00BB1A95" w:rsidRPr="00C512E3">
        <w:t xml:space="preserve"> isolation</w:t>
      </w:r>
      <w:r w:rsidRPr="00C512E3">
        <w:t xml:space="preserve"> is not akin to the stars </w:t>
      </w:r>
      <w:r>
        <w:t xml:space="preserve">(and should not be counted towards HSR uptake targets) </w:t>
      </w:r>
      <w:r w:rsidRPr="00C512E3">
        <w:t xml:space="preserve">because it </w:t>
      </w:r>
      <w:r w:rsidR="008E6E55" w:rsidRPr="00C512E3">
        <w:t>does not provide interpretive information that supports consumers to quickly compare like products as they shop.</w:t>
      </w:r>
      <w:r w:rsidR="008E6E55">
        <w:t xml:space="preserve"> </w:t>
      </w:r>
    </w:p>
    <w:p w14:paraId="18A3A4F9" w14:textId="58FC9AEE" w:rsidR="00180ED0" w:rsidRPr="004C4894" w:rsidRDefault="00180ED0" w:rsidP="00DC4980">
      <w:pPr>
        <w:pStyle w:val="mpcNormal"/>
        <w:keepNext w:val="0"/>
      </w:pPr>
    </w:p>
    <w:p w14:paraId="52F994D6" w14:textId="651B3A44" w:rsidR="00F904AA" w:rsidRPr="00CC1ADD" w:rsidRDefault="00F904AA" w:rsidP="00DC4980">
      <w:pPr>
        <w:pStyle w:val="mpcNormal"/>
        <w:keepNext w:val="0"/>
      </w:pPr>
    </w:p>
    <w:p w14:paraId="13BB1AC8" w14:textId="4BCFAE3B" w:rsidR="00B36208" w:rsidRPr="00CC1ADD" w:rsidRDefault="00B36208">
      <w:pPr>
        <w:pStyle w:val="mpcheading1"/>
      </w:pPr>
      <w:r w:rsidRPr="00CC1ADD">
        <w:br w:type="column"/>
      </w:r>
      <w:bookmarkStart w:id="82" w:name="Chapter4"/>
      <w:bookmarkStart w:id="83" w:name="_Toc9955049"/>
      <w:bookmarkEnd w:id="82"/>
      <w:r w:rsidRPr="00CC1ADD">
        <w:t>Chapter 4 – Promotion of the Health Star Rating System</w:t>
      </w:r>
      <w:bookmarkEnd w:id="83"/>
      <w:r w:rsidRPr="00CC1ADD">
        <w:t xml:space="preserve"> </w:t>
      </w:r>
    </w:p>
    <w:p w14:paraId="0BFF1D16" w14:textId="77777777" w:rsidR="00B36208" w:rsidRPr="00CC1ADD" w:rsidRDefault="00B36208">
      <w:pPr>
        <w:pStyle w:val="mpcheading2"/>
      </w:pPr>
      <w:bookmarkStart w:id="84" w:name="Summary4"/>
      <w:bookmarkStart w:id="85" w:name="_Toc9955050"/>
      <w:bookmarkEnd w:id="84"/>
      <w:r w:rsidRPr="00CC1ADD">
        <w:t>Summary</w:t>
      </w:r>
      <w:bookmarkEnd w:id="85"/>
    </w:p>
    <w:p w14:paraId="37E6851A" w14:textId="77777777" w:rsidR="00B36208" w:rsidRPr="00CC1ADD" w:rsidRDefault="00B36208" w:rsidP="002C3CBC">
      <w:pPr>
        <w:pStyle w:val="mpcNormal"/>
        <w:keepNext w:val="0"/>
      </w:pPr>
      <w:r w:rsidRPr="00CC1ADD">
        <w:t>There was limited promotional support when the HSR System was first implemented in June 2014. Since this time, a wide range of campaigns and other resources have been launched – some funded by the FRSC (formal campaigns in Australia and New Zealand), some implemented by jurisdictions and some led by industry and public health educators. These have included print and online advertisements and information, in-store advertisements, social media communications and an information phoneline and email address.</w:t>
      </w:r>
    </w:p>
    <w:p w14:paraId="218CFF6D" w14:textId="77777777" w:rsidR="00B36208" w:rsidRPr="00CC1ADD" w:rsidRDefault="00B36208" w:rsidP="002C3CBC">
      <w:pPr>
        <w:pStyle w:val="mpcNormal"/>
        <w:keepNext w:val="0"/>
      </w:pPr>
    </w:p>
    <w:p w14:paraId="392FCF4A" w14:textId="457866FB" w:rsidR="00B36208" w:rsidRPr="00CC1ADD" w:rsidRDefault="00B36208" w:rsidP="002C3CBC">
      <w:pPr>
        <w:pStyle w:val="mpcNormal"/>
        <w:keepNext w:val="0"/>
      </w:pPr>
      <w:r w:rsidRPr="00CC1ADD">
        <w:t xml:space="preserve">The formal HSR System campaigns have been evaluated at regular intervals with the results published and used to inform subsequent HSR System messaging. </w:t>
      </w:r>
      <w:r w:rsidR="00CF0666">
        <w:rPr>
          <w:rFonts w:cstheme="minorBidi"/>
        </w:rPr>
        <w:t xml:space="preserve">The results of </w:t>
      </w:r>
      <w:r w:rsidR="00CF0666" w:rsidRPr="00CC1ADD">
        <w:rPr>
          <w:rFonts w:cstheme="minorBidi"/>
        </w:rPr>
        <w:t>HSR System campaign evaluations</w:t>
      </w:r>
      <w:r w:rsidR="00CF0666">
        <w:rPr>
          <w:rFonts w:cstheme="minorBidi"/>
        </w:rPr>
        <w:t xml:space="preserve"> </w:t>
      </w:r>
      <w:r w:rsidR="00CF0666" w:rsidRPr="00CC1ADD">
        <w:rPr>
          <w:rFonts w:cstheme="minorBidi"/>
        </w:rPr>
        <w:t xml:space="preserve">are available on the </w:t>
      </w:r>
      <w:hyperlink r:id="rId49" w:history="1">
        <w:r w:rsidR="00CF0666" w:rsidRPr="00063F3C">
          <w:rPr>
            <w:rStyle w:val="Hyperlink"/>
            <w:rFonts w:cstheme="minorBidi"/>
          </w:rPr>
          <w:t>HSR System website</w:t>
        </w:r>
      </w:hyperlink>
      <w:r w:rsidR="00CF0666">
        <w:rPr>
          <w:rFonts w:cstheme="minorBidi"/>
        </w:rPr>
        <w:t xml:space="preserve">. </w:t>
      </w:r>
      <w:r w:rsidRPr="00CC1ADD">
        <w:t>Overall, these evaluations found that the campaigns were well structured to suit the initial implementation of the HSR System. The evaluations also identified areas where consumer responses highlighted gaps in knowledge or understanding and assisted in setting the direction for subsequent phases of the campaigns.</w:t>
      </w:r>
    </w:p>
    <w:p w14:paraId="7A3029CA" w14:textId="77777777" w:rsidR="00B36208" w:rsidRPr="00CC1ADD" w:rsidRDefault="00B36208" w:rsidP="005A3631">
      <w:pPr>
        <w:pStyle w:val="Default"/>
        <w:rPr>
          <w:rFonts w:asciiTheme="minorHAnsi" w:hAnsiTheme="minorHAnsi" w:cstheme="minorBidi"/>
          <w:color w:val="auto"/>
          <w:sz w:val="22"/>
          <w:szCs w:val="22"/>
          <w:lang w:val="en-AU"/>
        </w:rPr>
      </w:pPr>
    </w:p>
    <w:p w14:paraId="24C01768" w14:textId="300CB4EC" w:rsidR="00B36208" w:rsidRPr="00CC1ADD" w:rsidRDefault="00B36208" w:rsidP="005A3631">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Review acknowledges stakeholders</w:t>
      </w:r>
      <w:r w:rsidR="00153CBD">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 xml:space="preserve"> concerns about </w:t>
      </w:r>
      <w:r w:rsidR="00141A52">
        <w:rPr>
          <w:rFonts w:asciiTheme="minorHAnsi" w:hAnsiTheme="minorHAnsi" w:cstheme="minorBidi"/>
          <w:color w:val="auto"/>
          <w:sz w:val="22"/>
          <w:szCs w:val="22"/>
          <w:lang w:val="en-AU"/>
        </w:rPr>
        <w:t xml:space="preserve">the </w:t>
      </w:r>
      <w:r w:rsidRPr="00CC1ADD">
        <w:rPr>
          <w:rFonts w:asciiTheme="minorHAnsi" w:hAnsiTheme="minorHAnsi" w:cstheme="minorBidi"/>
          <w:color w:val="auto"/>
          <w:sz w:val="22"/>
          <w:szCs w:val="22"/>
          <w:lang w:val="en-AU"/>
        </w:rPr>
        <w:t>initial campaigns</w:t>
      </w:r>
      <w:r w:rsidR="00063F3C">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 xml:space="preserve"> including:</w:t>
      </w:r>
    </w:p>
    <w:p w14:paraId="784EAF58" w14:textId="77777777" w:rsidR="00B36208" w:rsidRPr="00CC1ADD" w:rsidRDefault="00B36208">
      <w:pPr>
        <w:pStyle w:val="Default"/>
        <w:rPr>
          <w:rFonts w:asciiTheme="minorHAnsi" w:hAnsiTheme="minorHAnsi" w:cstheme="minorBidi"/>
          <w:color w:val="auto"/>
          <w:sz w:val="22"/>
          <w:szCs w:val="22"/>
          <w:lang w:val="en-AU"/>
        </w:rPr>
      </w:pPr>
    </w:p>
    <w:p w14:paraId="7DA9B681" w14:textId="77777777" w:rsidR="00B36208" w:rsidRPr="00CC1ADD" w:rsidRDefault="00B36208" w:rsidP="007E0D2C">
      <w:pPr>
        <w:pStyle w:val="mpcbullets1"/>
      </w:pPr>
      <w:r w:rsidRPr="00CC1ADD">
        <w:t>the focus of the campaigns in promoting the HSR System, rather than positioning the System in the context of healthy eating more broadly or as ‘one tool in the toolbox’ to support healthy eating</w:t>
      </w:r>
    </w:p>
    <w:p w14:paraId="72CB76A9" w14:textId="77777777" w:rsidR="00B36208" w:rsidRPr="00CC1ADD" w:rsidRDefault="00B36208" w:rsidP="007E0D2C">
      <w:pPr>
        <w:pStyle w:val="mpcbullets1"/>
      </w:pPr>
      <w:r w:rsidRPr="00CC1ADD">
        <w:t>the level of investment (with some criticising the lack of investment and others criticising the perceived high level of investment to promote the HSR System relative to investment to promote healthy eating)</w:t>
      </w:r>
    </w:p>
    <w:p w14:paraId="02941EB8" w14:textId="77777777" w:rsidR="00B36208" w:rsidRPr="00CC1ADD" w:rsidRDefault="00B36208" w:rsidP="007E0D2C">
      <w:pPr>
        <w:pStyle w:val="mpcbullets1"/>
      </w:pPr>
      <w:r w:rsidRPr="00CC1ADD">
        <w:t xml:space="preserve">the lack of promotion of Dietary Guidelines and the complementary value of the HSR System </w:t>
      </w:r>
    </w:p>
    <w:p w14:paraId="076B2CEC" w14:textId="72859D85" w:rsidR="00B36208" w:rsidRPr="00CC1ADD" w:rsidRDefault="00B36208" w:rsidP="007E0D2C">
      <w:pPr>
        <w:pStyle w:val="mpcbullets1"/>
      </w:pPr>
      <w:r w:rsidRPr="00CC1ADD">
        <w:t xml:space="preserve">the tagline of the Australian campaign lacking nuance, i.e. </w:t>
      </w:r>
      <w:r w:rsidR="00063F3C">
        <w:t>‘</w:t>
      </w:r>
      <w:r w:rsidRPr="00CC1ADD">
        <w:t>the more stars the healthier</w:t>
      </w:r>
      <w:r w:rsidR="00063F3C">
        <w:t>’</w:t>
      </w:r>
      <w:r w:rsidRPr="00CC1ADD">
        <w:t xml:space="preserve"> does not support consumers to understand that they should compare HSRs within rather than across </w:t>
      </w:r>
      <w:r w:rsidR="00153CBD">
        <w:t>c</w:t>
      </w:r>
      <w:r w:rsidRPr="00CC1ADD">
        <w:t>ategories.</w:t>
      </w:r>
    </w:p>
    <w:p w14:paraId="35A7166E" w14:textId="77777777" w:rsidR="00B36208" w:rsidRPr="00CC1ADD" w:rsidRDefault="00B36208">
      <w:pPr>
        <w:pStyle w:val="Default"/>
        <w:rPr>
          <w:rFonts w:asciiTheme="minorHAnsi" w:hAnsiTheme="minorHAnsi" w:cstheme="minorBidi"/>
          <w:color w:val="auto"/>
          <w:sz w:val="22"/>
          <w:szCs w:val="22"/>
          <w:lang w:val="en-AU"/>
        </w:rPr>
      </w:pPr>
    </w:p>
    <w:p w14:paraId="66144960" w14:textId="00886EA7"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Some of these concerns have since been addressed, with campaign messaging adjusted and a range of initiatives implemented </w:t>
      </w:r>
      <w:r w:rsidR="0097756D">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by governments and others</w:t>
      </w:r>
      <w:r w:rsidR="0097756D">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 xml:space="preserve"> promoting the HSR System in the context of healthy eating more broadly. </w:t>
      </w:r>
    </w:p>
    <w:p w14:paraId="334FC71C" w14:textId="77777777" w:rsidR="00B36208" w:rsidRPr="00CC1ADD" w:rsidRDefault="00B36208">
      <w:pPr>
        <w:pStyle w:val="Default"/>
        <w:rPr>
          <w:rFonts w:asciiTheme="minorHAnsi" w:hAnsiTheme="minorHAnsi" w:cstheme="minorBidi"/>
          <w:color w:val="auto"/>
          <w:sz w:val="22"/>
          <w:szCs w:val="22"/>
          <w:lang w:val="en-AU"/>
        </w:rPr>
      </w:pPr>
    </w:p>
    <w:p w14:paraId="734810D6" w14:textId="77777777" w:rsidR="00F84664"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The Review also acknowledges the significant investment of many retailers, manufacturers and public health professionals in promoting the HSR System, educating consumers and addressing queries and concerns regarding the System. </w:t>
      </w:r>
      <w:r w:rsidRPr="00CC1ADD">
        <w:rPr>
          <w:rFonts w:asciiTheme="minorHAnsi" w:hAnsiTheme="minorHAnsi" w:cstheme="minorBidi"/>
          <w:color w:val="auto"/>
          <w:sz w:val="22"/>
          <w:szCs w:val="22"/>
          <w:u w:val="single"/>
          <w:lang w:val="en-AU"/>
        </w:rPr>
        <w:t>Appendix C</w:t>
      </w:r>
      <w:r w:rsidR="00AE2E9D" w:rsidRPr="00F37134">
        <w:rPr>
          <w:rFonts w:asciiTheme="minorHAnsi" w:hAnsiTheme="minorHAnsi" w:cstheme="minorBidi"/>
          <w:color w:val="auto"/>
          <w:sz w:val="22"/>
          <w:szCs w:val="22"/>
          <w:lang w:val="en-AU"/>
        </w:rPr>
        <w:t xml:space="preserve"> </w:t>
      </w:r>
      <w:r w:rsidR="00AE2E9D" w:rsidRPr="00AE2E9D">
        <w:rPr>
          <w:rFonts w:asciiTheme="minorHAnsi" w:hAnsiTheme="minorHAnsi" w:cstheme="minorBidi"/>
          <w:color w:val="auto"/>
          <w:sz w:val="22"/>
          <w:szCs w:val="22"/>
          <w:lang w:val="en-AU"/>
        </w:rPr>
        <w:t>demonstrates the breadth of promotion in Australia and New Zealand</w:t>
      </w:r>
      <w:r w:rsidRPr="00CC1ADD">
        <w:rPr>
          <w:rFonts w:asciiTheme="minorHAnsi" w:hAnsiTheme="minorHAnsi" w:cstheme="minorBidi"/>
          <w:color w:val="auto"/>
          <w:sz w:val="22"/>
          <w:szCs w:val="22"/>
          <w:lang w:val="en-AU"/>
        </w:rPr>
        <w:t>.</w:t>
      </w:r>
      <w:r w:rsidR="00CF0666">
        <w:rPr>
          <w:rFonts w:asciiTheme="minorHAnsi" w:hAnsiTheme="minorHAnsi" w:cstheme="minorBidi"/>
          <w:color w:val="auto"/>
          <w:sz w:val="22"/>
          <w:szCs w:val="22"/>
          <w:lang w:val="en-AU"/>
        </w:rPr>
        <w:t xml:space="preserve"> </w:t>
      </w:r>
    </w:p>
    <w:p w14:paraId="52809267" w14:textId="77777777" w:rsidR="00F84664" w:rsidRDefault="00F84664">
      <w:pPr>
        <w:pStyle w:val="Default"/>
        <w:rPr>
          <w:rFonts w:asciiTheme="minorHAnsi" w:hAnsiTheme="minorHAnsi" w:cstheme="minorBidi"/>
          <w:color w:val="auto"/>
          <w:sz w:val="22"/>
          <w:szCs w:val="22"/>
          <w:lang w:val="en-AU"/>
        </w:rPr>
      </w:pPr>
    </w:p>
    <w:p w14:paraId="169651D8" w14:textId="70ED4997" w:rsidR="00B36208" w:rsidRPr="00F84664" w:rsidRDefault="00CF0666" w:rsidP="00F84664">
      <w:pPr>
        <w:pStyle w:val="mpcNormal"/>
      </w:pPr>
      <w:r>
        <w:rPr>
          <w:rFonts w:cstheme="minorBidi"/>
        </w:rPr>
        <w:t xml:space="preserve">It is important that </w:t>
      </w:r>
      <w:r w:rsidR="00AE2E9D">
        <w:rPr>
          <w:rFonts w:cstheme="minorBidi"/>
        </w:rPr>
        <w:t>all</w:t>
      </w:r>
      <w:r>
        <w:rPr>
          <w:rFonts w:cstheme="minorBidi"/>
        </w:rPr>
        <w:t xml:space="preserve"> stakeholders continue to promote the HSR System, such that messages are communicated in a way that suits the specific needs and concerns of each stakeholder group. </w:t>
      </w:r>
      <w:r w:rsidR="00F84664" w:rsidRPr="00D81AD0">
        <w:t>This enable</w:t>
      </w:r>
      <w:r w:rsidR="00F84664">
        <w:t>s</w:t>
      </w:r>
      <w:r w:rsidR="00F84664" w:rsidRPr="00D81AD0">
        <w:t xml:space="preserve"> the benefits of the investment to date to be fully realised</w:t>
      </w:r>
      <w:r w:rsidR="00F84664">
        <w:t>.</w:t>
      </w:r>
    </w:p>
    <w:p w14:paraId="0A7DB156" w14:textId="77777777" w:rsidR="00D81AD0" w:rsidRDefault="00D81AD0">
      <w:pPr>
        <w:pStyle w:val="Default"/>
        <w:rPr>
          <w:rFonts w:asciiTheme="minorHAnsi" w:hAnsiTheme="minorHAnsi" w:cstheme="minorBidi"/>
          <w:color w:val="auto"/>
          <w:sz w:val="22"/>
          <w:szCs w:val="22"/>
          <w:lang w:val="en-AU"/>
        </w:rPr>
      </w:pPr>
    </w:p>
    <w:tbl>
      <w:tblPr>
        <w:tblStyle w:val="TableGrid"/>
        <w:tblW w:w="0" w:type="auto"/>
        <w:tblLook w:val="04A0" w:firstRow="1" w:lastRow="0" w:firstColumn="1" w:lastColumn="0" w:noHBand="0" w:noVBand="1"/>
        <w:tblCaption w:val="Rec 3"/>
        <w:tblDescription w:val="Recommendation 3:  Governments, industry, public health and consumer bodies continue to promote the HSR System. "/>
      </w:tblPr>
      <w:tblGrid>
        <w:gridCol w:w="9736"/>
      </w:tblGrid>
      <w:tr w:rsidR="00B36208" w:rsidRPr="00CC1ADD" w14:paraId="343C4161" w14:textId="77777777" w:rsidTr="00372E4A">
        <w:trPr>
          <w:trHeight w:val="2201"/>
        </w:trPr>
        <w:tc>
          <w:tcPr>
            <w:tcW w:w="9736" w:type="dxa"/>
            <w:shd w:val="clear" w:color="auto" w:fill="D9E2F3" w:themeFill="accent1" w:themeFillTint="33"/>
            <w:vAlign w:val="center"/>
          </w:tcPr>
          <w:p w14:paraId="3048760C" w14:textId="5A95C426" w:rsidR="00C626CB" w:rsidRDefault="00C626CB" w:rsidP="00C626CB">
            <w:pPr>
              <w:pStyle w:val="mpcNormal"/>
              <w:ind w:left="2160" w:hanging="2160"/>
            </w:pPr>
            <w:r w:rsidRPr="00672C60">
              <w:rPr>
                <w:b/>
              </w:rPr>
              <w:t xml:space="preserve">Recommendation 3: </w:t>
            </w:r>
            <w:r w:rsidRPr="00672C60">
              <w:rPr>
                <w:b/>
              </w:rPr>
              <w:tab/>
            </w:r>
            <w:r w:rsidRPr="00C626CB">
              <w:rPr>
                <w:b/>
              </w:rPr>
              <w:t xml:space="preserve">Governments, industry, public health and consumer bodies continue to promote the HSR System. Government </w:t>
            </w:r>
            <w:r w:rsidR="00372E4A">
              <w:rPr>
                <w:b/>
              </w:rPr>
              <w:t>promotion</w:t>
            </w:r>
            <w:r w:rsidRPr="00C626CB">
              <w:rPr>
                <w:b/>
              </w:rPr>
              <w:t xml:space="preserve"> over the next two years </w:t>
            </w:r>
            <w:r w:rsidR="00372E4A">
              <w:rPr>
                <w:b/>
              </w:rPr>
              <w:t>should</w:t>
            </w:r>
            <w:r w:rsidRPr="00C626CB">
              <w:rPr>
                <w:b/>
              </w:rPr>
              <w:t>:</w:t>
            </w:r>
          </w:p>
          <w:p w14:paraId="66E589F7" w14:textId="77777777" w:rsidR="00C626CB" w:rsidRPr="00C626CB" w:rsidRDefault="00C626CB" w:rsidP="00C626CB">
            <w:pPr>
              <w:rPr>
                <w:sz w:val="22"/>
                <w:szCs w:val="22"/>
              </w:rPr>
            </w:pPr>
          </w:p>
          <w:p w14:paraId="32AD6B0D" w14:textId="77777777" w:rsidR="00372E4A" w:rsidRPr="00372E4A" w:rsidRDefault="00372E4A" w:rsidP="007E0D2C">
            <w:pPr>
              <w:pStyle w:val="mpcbullets1"/>
              <w:rPr>
                <w:i/>
              </w:rPr>
            </w:pPr>
            <w:r w:rsidRPr="00372E4A">
              <w:t xml:space="preserve">communicate the reason for changes to the HSR System </w:t>
            </w:r>
          </w:p>
          <w:p w14:paraId="41F0A14C" w14:textId="77777777" w:rsidR="00372E4A" w:rsidRPr="00372E4A" w:rsidRDefault="00372E4A" w:rsidP="007E0D2C">
            <w:pPr>
              <w:pStyle w:val="mpcbullets1"/>
              <w:rPr>
                <w:i/>
              </w:rPr>
            </w:pPr>
            <w:r w:rsidRPr="00372E4A">
              <w:t xml:space="preserve">target specific areas of consumer misunderstanding or gaps in awareness </w:t>
            </w:r>
          </w:p>
          <w:p w14:paraId="4768B6B4" w14:textId="77777777" w:rsidR="00372E4A" w:rsidRPr="00372E4A" w:rsidRDefault="00372E4A" w:rsidP="007E0D2C">
            <w:pPr>
              <w:pStyle w:val="mpcbullets1"/>
              <w:rPr>
                <w:i/>
              </w:rPr>
            </w:pPr>
            <w:r w:rsidRPr="00372E4A">
              <w:t>highlight government endorsement of the HSR System</w:t>
            </w:r>
          </w:p>
          <w:p w14:paraId="7904479D" w14:textId="1735E5EB" w:rsidR="00C626CB" w:rsidRPr="00D81AD0" w:rsidRDefault="00372E4A" w:rsidP="007E0D2C">
            <w:pPr>
              <w:pStyle w:val="mpcbullets1"/>
              <w:rPr>
                <w:rFonts w:cstheme="minorBidi"/>
                <w:color w:val="auto"/>
              </w:rPr>
            </w:pPr>
            <w:r w:rsidRPr="00372E4A">
              <w:t>position the HSR System in the context of broader healthy eating messages.</w:t>
            </w:r>
          </w:p>
        </w:tc>
      </w:tr>
    </w:tbl>
    <w:p w14:paraId="0C7CC4EC" w14:textId="77777777" w:rsidR="00D81AD0" w:rsidRPr="00D81AD0" w:rsidRDefault="00D81AD0" w:rsidP="00D81AD0">
      <w:pPr>
        <w:pStyle w:val="mpcNormal"/>
      </w:pPr>
    </w:p>
    <w:p w14:paraId="028DD61D" w14:textId="55E6A60B"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The above recommendation relies on effective, responsive and appropriately resourced governance arrangements </w:t>
      </w:r>
      <w:r w:rsidR="000B2F42">
        <w:rPr>
          <w:rFonts w:asciiTheme="minorHAnsi" w:hAnsiTheme="minorHAnsi" w:cstheme="minorBidi"/>
          <w:color w:val="auto"/>
          <w:sz w:val="22"/>
          <w:szCs w:val="22"/>
          <w:lang w:val="en-AU"/>
        </w:rPr>
        <w:t>(refer</w:t>
      </w:r>
      <w:r w:rsidRPr="00CC1ADD">
        <w:rPr>
          <w:rFonts w:asciiTheme="minorHAnsi" w:hAnsiTheme="minorHAnsi" w:cstheme="minorBidi"/>
          <w:color w:val="auto"/>
          <w:sz w:val="22"/>
          <w:szCs w:val="22"/>
          <w:lang w:val="en-AU"/>
        </w:rPr>
        <w:t xml:space="preserve"> Chapter </w:t>
      </w:r>
      <w:r w:rsidR="001439DA" w:rsidRPr="00CC1ADD">
        <w:rPr>
          <w:rFonts w:asciiTheme="minorHAnsi" w:hAnsiTheme="minorHAnsi" w:cstheme="minorBidi"/>
          <w:color w:val="auto"/>
          <w:sz w:val="22"/>
          <w:szCs w:val="22"/>
          <w:lang w:val="en-AU"/>
        </w:rPr>
        <w:t>6</w:t>
      </w:r>
      <w:r w:rsidR="000B2F42">
        <w:rPr>
          <w:rFonts w:asciiTheme="minorHAnsi" w:hAnsiTheme="minorHAnsi" w:cstheme="minorBidi"/>
          <w:color w:val="auto"/>
          <w:sz w:val="22"/>
          <w:szCs w:val="22"/>
          <w:lang w:val="en-AU"/>
        </w:rPr>
        <w:t>)</w:t>
      </w:r>
      <w:r w:rsidRPr="00CC1ADD">
        <w:rPr>
          <w:rFonts w:asciiTheme="minorHAnsi" w:hAnsiTheme="minorHAnsi" w:cstheme="minorBidi"/>
          <w:color w:val="auto"/>
          <w:sz w:val="22"/>
          <w:szCs w:val="22"/>
          <w:lang w:val="en-AU"/>
        </w:rPr>
        <w:t>.</w:t>
      </w:r>
    </w:p>
    <w:p w14:paraId="165BD4F4" w14:textId="77777777" w:rsidR="00B36208" w:rsidRPr="00CC1ADD" w:rsidRDefault="00B36208" w:rsidP="004C4894">
      <w:pPr>
        <w:pStyle w:val="mpcNormal"/>
        <w:keepNext w:val="0"/>
      </w:pPr>
    </w:p>
    <w:p w14:paraId="5C0553E2" w14:textId="77777777" w:rsidR="00B36208" w:rsidRPr="00CC1ADD" w:rsidRDefault="00B36208" w:rsidP="00672C60">
      <w:pPr>
        <w:pStyle w:val="mpcheading2"/>
        <w:keepNext/>
        <w:spacing w:after="0"/>
      </w:pPr>
      <w:bookmarkStart w:id="86" w:name="Campaigns"/>
      <w:bookmarkStart w:id="87" w:name="_Toc9955051"/>
      <w:bookmarkEnd w:id="86"/>
      <w:r w:rsidRPr="00CC1ADD">
        <w:t>HSR System campaigns</w:t>
      </w:r>
      <w:bookmarkEnd w:id="87"/>
    </w:p>
    <w:p w14:paraId="536FDB45" w14:textId="77777777" w:rsidR="00B36208" w:rsidRPr="00CC1ADD" w:rsidRDefault="00B36208" w:rsidP="00672C60">
      <w:pPr>
        <w:pStyle w:val="mpcNormal"/>
      </w:pPr>
    </w:p>
    <w:p w14:paraId="053BBB90" w14:textId="77777777" w:rsidR="00B36208" w:rsidRPr="00CC1ADD" w:rsidRDefault="00B36208" w:rsidP="005A162A">
      <w:pPr>
        <w:pStyle w:val="mpcheading3"/>
      </w:pPr>
      <w:r w:rsidRPr="00CC1ADD">
        <w:t>Australia</w:t>
      </w:r>
    </w:p>
    <w:p w14:paraId="01A344D5" w14:textId="77777777" w:rsidR="00BA0AFA" w:rsidRPr="00CC1ADD" w:rsidRDefault="00BA0AFA" w:rsidP="00C84928">
      <w:pPr>
        <w:pStyle w:val="mpcNormal"/>
        <w:keepNext w:val="0"/>
      </w:pPr>
    </w:p>
    <w:p w14:paraId="5F974074" w14:textId="1B2867D3" w:rsidR="00B36208" w:rsidRPr="00CC1ADD" w:rsidRDefault="00B36208" w:rsidP="00C84928">
      <w:pPr>
        <w:pStyle w:val="mpcNormal"/>
        <w:keepNext w:val="0"/>
      </w:pPr>
      <w:r w:rsidRPr="00CC1ADD">
        <w:t xml:space="preserve">In Australia, the </w:t>
      </w:r>
      <w:r w:rsidR="00BA0AFA" w:rsidRPr="00CC1ADD">
        <w:t xml:space="preserve">first </w:t>
      </w:r>
      <w:r w:rsidRPr="00CC1ADD">
        <w:t xml:space="preserve">HSR System campaign was launched in 2014 with online advertising. A second phase of the campaign </w:t>
      </w:r>
      <w:r w:rsidRPr="003A051A">
        <w:t>was</w:t>
      </w:r>
      <w:r w:rsidRPr="00CC1ADD">
        <w:t xml:space="preserve"> delivered from </w:t>
      </w:r>
      <w:r w:rsidR="0022792E" w:rsidRPr="00CC1ADD">
        <w:t>June to August</w:t>
      </w:r>
      <w:r w:rsidRPr="00CC1ADD">
        <w:t xml:space="preserve"> 2015 and a third phase occurred from April to </w:t>
      </w:r>
      <w:r w:rsidR="0022792E" w:rsidRPr="00CC1ADD">
        <w:t>June</w:t>
      </w:r>
      <w:r w:rsidRPr="00CC1ADD">
        <w:t xml:space="preserve"> 2016. The fourth phase of the campaign took place from February to </w:t>
      </w:r>
      <w:r w:rsidR="0022792E" w:rsidRPr="00CC1ADD">
        <w:t>June</w:t>
      </w:r>
      <w:r w:rsidRPr="00CC1ADD">
        <w:t xml:space="preserve"> 2017. A further phase </w:t>
      </w:r>
      <w:r w:rsidR="00830C60">
        <w:t>(launched on 6 February 2019) includes</w:t>
      </w:r>
      <w:r w:rsidRPr="00CC1ADD">
        <w:t xml:space="preserve"> television</w:t>
      </w:r>
      <w:r w:rsidR="00C8700B" w:rsidRPr="00CC1ADD">
        <w:t>, digital/online and in-store</w:t>
      </w:r>
      <w:r w:rsidRPr="00CC1ADD">
        <w:t xml:space="preserve"> advertisements</w:t>
      </w:r>
      <w:r w:rsidR="00C8700B" w:rsidRPr="00CC1ADD">
        <w:t xml:space="preserve"> and stakeholder</w:t>
      </w:r>
      <w:r w:rsidRPr="00CC1ADD">
        <w:t xml:space="preserve"> kits.</w:t>
      </w:r>
    </w:p>
    <w:p w14:paraId="4890845F" w14:textId="77777777" w:rsidR="00B36208" w:rsidRPr="00CC1ADD" w:rsidRDefault="00B36208" w:rsidP="00C84928">
      <w:pPr>
        <w:pStyle w:val="mpcNormal"/>
        <w:keepNext w:val="0"/>
      </w:pPr>
    </w:p>
    <w:p w14:paraId="6B330F5E" w14:textId="10B8E8FE" w:rsidR="00B36208" w:rsidRPr="004C4894" w:rsidRDefault="00B36208" w:rsidP="00C84928">
      <w:pPr>
        <w:pStyle w:val="mpcNormal"/>
        <w:keepNext w:val="0"/>
      </w:pPr>
      <w:r w:rsidRPr="00CC1ADD">
        <w:t xml:space="preserve">The initial phase of the campaign aimed to support the implementation of the HSR System through activities designed to educate consumers and encourage increased industry participation. More specifically, the primary objectives of the </w:t>
      </w:r>
      <w:r w:rsidR="00DD0E98">
        <w:t xml:space="preserve">initial </w:t>
      </w:r>
      <w:r w:rsidR="004C4894" w:rsidRPr="004C4894">
        <w:t xml:space="preserve">phases of the </w:t>
      </w:r>
      <w:r w:rsidRPr="004C4894">
        <w:t xml:space="preserve">campaign </w:t>
      </w:r>
      <w:r w:rsidR="0030513A">
        <w:t>were</w:t>
      </w:r>
      <w:r w:rsidRPr="004C4894">
        <w:t xml:space="preserve"> to:</w:t>
      </w:r>
    </w:p>
    <w:p w14:paraId="20E187B4" w14:textId="77777777" w:rsidR="00B36208" w:rsidRPr="004C4894" w:rsidRDefault="00B36208" w:rsidP="00C84928">
      <w:pPr>
        <w:pStyle w:val="mpcNormal"/>
        <w:keepNext w:val="0"/>
      </w:pPr>
    </w:p>
    <w:p w14:paraId="071FD64B" w14:textId="77777777" w:rsidR="00B36208" w:rsidRPr="004C4894" w:rsidRDefault="00B36208" w:rsidP="007E0D2C">
      <w:pPr>
        <w:pStyle w:val="mpcbullets1"/>
      </w:pPr>
      <w:r w:rsidRPr="004C4894">
        <w:t>raise awareness of the HSR System’s implementation</w:t>
      </w:r>
    </w:p>
    <w:p w14:paraId="6B6C9CD0" w14:textId="77777777" w:rsidR="00B36208" w:rsidRPr="004C4894" w:rsidRDefault="00B36208" w:rsidP="007E0D2C">
      <w:pPr>
        <w:pStyle w:val="mpcbullets1"/>
      </w:pPr>
      <w:r w:rsidRPr="004C4894">
        <w:t>develop an understanding of how to interpret the HSR</w:t>
      </w:r>
    </w:p>
    <w:p w14:paraId="0EB93BE5" w14:textId="4CD9B98F" w:rsidR="00DD0E98" w:rsidRPr="004C4894" w:rsidRDefault="00B36208" w:rsidP="007E0D2C">
      <w:pPr>
        <w:pStyle w:val="mpcbullets1"/>
      </w:pPr>
      <w:r w:rsidRPr="004C4894">
        <w:t xml:space="preserve">prompt consideration of </w:t>
      </w:r>
      <w:r w:rsidR="00DD0E98" w:rsidRPr="004C4894">
        <w:t>nutrition and how the HSR System can support decision making in this area</w:t>
      </w:r>
    </w:p>
    <w:p w14:paraId="70727555" w14:textId="77777777" w:rsidR="00B36208" w:rsidRPr="004C4894" w:rsidRDefault="00B36208" w:rsidP="007E0D2C">
      <w:pPr>
        <w:pStyle w:val="mpcbullets1"/>
      </w:pPr>
      <w:r w:rsidRPr="004C4894">
        <w:t>develop consumer confidence in the HSR System as an independent, informative and easy to use nutritional guide.</w:t>
      </w:r>
      <w:r w:rsidRPr="004C4894">
        <w:rPr>
          <w:rStyle w:val="FootnoteReference"/>
          <w:sz w:val="22"/>
        </w:rPr>
        <w:footnoteReference w:id="45"/>
      </w:r>
    </w:p>
    <w:p w14:paraId="720C2C9F" w14:textId="77777777" w:rsidR="00B36208" w:rsidRPr="004C4894" w:rsidRDefault="00B36208" w:rsidP="00C84928">
      <w:pPr>
        <w:pStyle w:val="mpcNormal"/>
        <w:keepNext w:val="0"/>
      </w:pPr>
    </w:p>
    <w:p w14:paraId="24548E6B" w14:textId="655ABD40" w:rsidR="00B36208" w:rsidRPr="004C4894" w:rsidRDefault="00BA0AFA" w:rsidP="00C84928">
      <w:pPr>
        <w:pStyle w:val="mpcNormal"/>
        <w:keepNext w:val="0"/>
      </w:pPr>
      <w:r w:rsidRPr="004C4894">
        <w:t>C</w:t>
      </w:r>
      <w:r w:rsidR="00B36208" w:rsidRPr="004C4894">
        <w:t xml:space="preserve">ampaign </w:t>
      </w:r>
      <w:r w:rsidRPr="004C4894">
        <w:t xml:space="preserve">development is informed </w:t>
      </w:r>
      <w:r w:rsidR="00B36208" w:rsidRPr="004C4894">
        <w:t xml:space="preserve">by </w:t>
      </w:r>
      <w:r w:rsidR="00063F3C" w:rsidRPr="004C4894">
        <w:t xml:space="preserve">the </w:t>
      </w:r>
      <w:r w:rsidR="00B36208" w:rsidRPr="004C4894">
        <w:t>SMAG</w:t>
      </w:r>
      <w:r w:rsidR="00063F3C" w:rsidRPr="004C4894">
        <w:t>, while t</w:t>
      </w:r>
      <w:r w:rsidR="00B36208" w:rsidRPr="004C4894">
        <w:t xml:space="preserve">he messaging and delivery </w:t>
      </w:r>
      <w:r w:rsidR="00DD0E98" w:rsidRPr="004C4894">
        <w:t>a</w:t>
      </w:r>
      <w:r w:rsidRPr="004C4894">
        <w:t>re</w:t>
      </w:r>
      <w:r w:rsidR="00B36208" w:rsidRPr="004C4894">
        <w:t xml:space="preserve"> informed by market research and testing, including to ensure that communication materials appeal to, and </w:t>
      </w:r>
      <w:r w:rsidR="00DD0E98" w:rsidRPr="004C4894">
        <w:t xml:space="preserve">can </w:t>
      </w:r>
      <w:r w:rsidR="00B36208" w:rsidRPr="004C4894">
        <w:t>be readily understood by</w:t>
      </w:r>
      <w:r w:rsidR="00C8700B" w:rsidRPr="004C4894">
        <w:t xml:space="preserve"> key target groups</w:t>
      </w:r>
      <w:r w:rsidR="00063F3C" w:rsidRPr="004C4894">
        <w:t>. Target groups</w:t>
      </w:r>
      <w:r w:rsidR="00C8700B" w:rsidRPr="004C4894">
        <w:t xml:space="preserve"> included</w:t>
      </w:r>
      <w:r w:rsidR="00B36208" w:rsidRPr="004C4894">
        <w:t xml:space="preserve"> groups experiencing</w:t>
      </w:r>
      <w:r w:rsidR="00DD0E98" w:rsidRPr="004C4894">
        <w:t>,</w:t>
      </w:r>
      <w:r w:rsidR="00B36208" w:rsidRPr="004C4894">
        <w:t xml:space="preserve"> </w:t>
      </w:r>
      <w:r w:rsidRPr="004C4894">
        <w:t>or at risk of</w:t>
      </w:r>
      <w:r w:rsidR="00DD0E98" w:rsidRPr="004C4894">
        <w:t>,</w:t>
      </w:r>
      <w:r w:rsidRPr="004C4894">
        <w:t xml:space="preserve"> </w:t>
      </w:r>
      <w:r w:rsidR="00B36208" w:rsidRPr="004C4894">
        <w:t>higher rates of obesity or nutrition-related chronic illness</w:t>
      </w:r>
      <w:r w:rsidR="00DD0E98" w:rsidRPr="004C4894">
        <w:t xml:space="preserve">. This included </w:t>
      </w:r>
      <w:r w:rsidR="00B36208" w:rsidRPr="004C4894">
        <w:t xml:space="preserve">lower socio-economic consumers, Indigenous people, </w:t>
      </w:r>
      <w:r w:rsidRPr="004C4894">
        <w:t>culturally and linguistically diverse</w:t>
      </w:r>
      <w:r w:rsidR="00B36208" w:rsidRPr="004C4894">
        <w:t xml:space="preserve"> groups</w:t>
      </w:r>
      <w:r w:rsidR="00C8700B" w:rsidRPr="004C4894">
        <w:t xml:space="preserve"> and</w:t>
      </w:r>
      <w:r w:rsidRPr="004C4894">
        <w:t xml:space="preserve"> rural and remote populations</w:t>
      </w:r>
      <w:r w:rsidR="00B36208" w:rsidRPr="004C4894">
        <w:t>.</w:t>
      </w:r>
    </w:p>
    <w:p w14:paraId="5AE87629" w14:textId="77777777" w:rsidR="00B36208" w:rsidRPr="004C4894" w:rsidRDefault="00B36208" w:rsidP="005A3631">
      <w:pPr>
        <w:pStyle w:val="mpcNormal"/>
        <w:keepNext w:val="0"/>
      </w:pPr>
    </w:p>
    <w:p w14:paraId="2309F430" w14:textId="46911BC3" w:rsidR="00B36208" w:rsidRPr="00CC1ADD" w:rsidRDefault="00B36208" w:rsidP="005A3631">
      <w:pPr>
        <w:pStyle w:val="mpcNormal"/>
        <w:keepNext w:val="0"/>
      </w:pPr>
      <w:r w:rsidRPr="004C4894">
        <w:t xml:space="preserve">While the focus of the messaging </w:t>
      </w:r>
      <w:r w:rsidR="00DD0E98" w:rsidRPr="004C4894">
        <w:t>differ</w:t>
      </w:r>
      <w:r w:rsidR="00F84664">
        <w:t>ed</w:t>
      </w:r>
      <w:r w:rsidRPr="004C4894">
        <w:t xml:space="preserve"> depending on the phase of the campaign</w:t>
      </w:r>
      <w:r w:rsidRPr="00CC1ADD">
        <w:t xml:space="preserve">, the key messages communicated through the </w:t>
      </w:r>
      <w:r w:rsidR="00DD0E98">
        <w:t xml:space="preserve">initial </w:t>
      </w:r>
      <w:r w:rsidR="004C4894">
        <w:t xml:space="preserve">phases of </w:t>
      </w:r>
      <w:r w:rsidR="004C4894" w:rsidRPr="004C4894">
        <w:t>the campaign</w:t>
      </w:r>
      <w:r w:rsidRPr="004C4894">
        <w:t xml:space="preserve"> include</w:t>
      </w:r>
      <w:r w:rsidR="00DD0E98" w:rsidRPr="004C4894">
        <w:t>d</w:t>
      </w:r>
      <w:r w:rsidRPr="00CC1ADD">
        <w:t>:</w:t>
      </w:r>
    </w:p>
    <w:p w14:paraId="7230266F" w14:textId="3C3F6BBB" w:rsidR="00CF0CDF" w:rsidRPr="00CC1ADD" w:rsidRDefault="00CF0CDF" w:rsidP="00C84928">
      <w:pPr>
        <w:pStyle w:val="mpcNormal"/>
        <w:keepNext w:val="0"/>
      </w:pPr>
    </w:p>
    <w:tbl>
      <w:tblPr>
        <w:tblStyle w:val="TableGrid"/>
        <w:tblW w:w="0" w:type="auto"/>
        <w:tblLook w:val="04A0" w:firstRow="1" w:lastRow="0" w:firstColumn="1" w:lastColumn="0" w:noHBand="0" w:noVBand="1"/>
        <w:tblCaption w:val="Campaign messages Aus"/>
        <w:tblDescription w:val="Some of the Australian campaign messages."/>
      </w:tblPr>
      <w:tblGrid>
        <w:gridCol w:w="9736"/>
      </w:tblGrid>
      <w:tr w:rsidR="00CF0CDF" w:rsidRPr="00CC1ADD" w14:paraId="2DDBF693" w14:textId="77777777" w:rsidTr="00D81AD0">
        <w:trPr>
          <w:trHeight w:val="2965"/>
        </w:trPr>
        <w:tc>
          <w:tcPr>
            <w:tcW w:w="9736" w:type="dxa"/>
            <w:tcBorders>
              <w:top w:val="nil"/>
              <w:left w:val="nil"/>
              <w:bottom w:val="nil"/>
              <w:right w:val="nil"/>
            </w:tcBorders>
            <w:shd w:val="clear" w:color="auto" w:fill="D9E2F3" w:themeFill="accent1" w:themeFillTint="33"/>
            <w:vAlign w:val="center"/>
          </w:tcPr>
          <w:p w14:paraId="71253072" w14:textId="77777777" w:rsidR="00CF0CDF" w:rsidRPr="00C84928" w:rsidRDefault="00CF0CDF" w:rsidP="00D81AD0">
            <w:pPr>
              <w:pStyle w:val="mpcNormal"/>
              <w:keepNext w:val="0"/>
              <w:spacing w:line="360" w:lineRule="auto"/>
              <w:ind w:left="720"/>
              <w:rPr>
                <w:i/>
              </w:rPr>
            </w:pPr>
            <w:r w:rsidRPr="00C84928">
              <w:rPr>
                <w:i/>
              </w:rPr>
              <w:t>The more stars, the healthier the choice.</w:t>
            </w:r>
          </w:p>
          <w:p w14:paraId="07BE858B" w14:textId="77777777" w:rsidR="00CF0CDF" w:rsidRPr="00C84928" w:rsidRDefault="00CF0CDF" w:rsidP="00D81AD0">
            <w:pPr>
              <w:pStyle w:val="mpcNormal"/>
              <w:keepNext w:val="0"/>
              <w:spacing w:line="360" w:lineRule="auto"/>
              <w:ind w:left="720"/>
              <w:rPr>
                <w:i/>
              </w:rPr>
            </w:pPr>
            <w:r w:rsidRPr="00C84928">
              <w:rPr>
                <w:i/>
              </w:rPr>
              <w:t>Choosing healthier food is getting easier with the introduction of Health Star Ratings on the front of many packaged foods.</w:t>
            </w:r>
          </w:p>
          <w:p w14:paraId="6A456234" w14:textId="77777777" w:rsidR="00CF0CDF" w:rsidRPr="00C84928" w:rsidRDefault="00CF0CDF" w:rsidP="00D81AD0">
            <w:pPr>
              <w:pStyle w:val="mpcNormal"/>
              <w:keepNext w:val="0"/>
              <w:spacing w:line="360" w:lineRule="auto"/>
              <w:ind w:left="720"/>
              <w:rPr>
                <w:i/>
              </w:rPr>
            </w:pPr>
            <w:r w:rsidRPr="00C84928">
              <w:rPr>
                <w:i/>
              </w:rPr>
              <w:t>Ranging from ½ to 5 stars, Health Stars help you make healthier choices at a glance.</w:t>
            </w:r>
          </w:p>
          <w:p w14:paraId="4A7DF5FA" w14:textId="13615D05" w:rsidR="00CF0CDF" w:rsidRPr="00C84928" w:rsidRDefault="00CF0CDF" w:rsidP="00D81AD0">
            <w:pPr>
              <w:pStyle w:val="mpcNormal"/>
              <w:keepNext w:val="0"/>
              <w:spacing w:line="360" w:lineRule="auto"/>
              <w:ind w:left="720"/>
              <w:rPr>
                <w:i/>
              </w:rPr>
            </w:pPr>
            <w:r w:rsidRPr="00C84928">
              <w:rPr>
                <w:i/>
              </w:rPr>
              <w:t>The number of stars is based on energy, nutrients such as saturated fat, sugars, sodium and protein and the fruit and vegetable content.</w:t>
            </w:r>
          </w:p>
          <w:p w14:paraId="41CB4327" w14:textId="22F4C40B" w:rsidR="00CF0CDF" w:rsidRPr="00CC1ADD" w:rsidRDefault="00CF0CDF" w:rsidP="00D81AD0">
            <w:pPr>
              <w:pStyle w:val="mpcNormal"/>
              <w:keepNext w:val="0"/>
              <w:spacing w:line="360" w:lineRule="auto"/>
              <w:ind w:left="720"/>
            </w:pPr>
            <w:r w:rsidRPr="00C84928">
              <w:rPr>
                <w:i/>
              </w:rPr>
              <w:t>To find out more, visit the Health Star Rating website.</w:t>
            </w:r>
          </w:p>
        </w:tc>
      </w:tr>
    </w:tbl>
    <w:p w14:paraId="603A9783" w14:textId="77777777" w:rsidR="00B36208" w:rsidRPr="00CC1ADD" w:rsidRDefault="00B36208" w:rsidP="00C84928">
      <w:pPr>
        <w:pStyle w:val="mpcNormal"/>
        <w:keepNext w:val="0"/>
      </w:pPr>
    </w:p>
    <w:p w14:paraId="42D36304" w14:textId="6D0D798D" w:rsidR="00B36208" w:rsidRPr="00CC1ADD" w:rsidRDefault="00B36208" w:rsidP="00C84928">
      <w:pPr>
        <w:pStyle w:val="mpcNormal"/>
        <w:keepNext w:val="0"/>
      </w:pPr>
      <w:r w:rsidRPr="00CC1ADD">
        <w:t>In more recent years, the campaign has focused on messages about how best to use the HSR and on addressing areas of confusion such as how the stars are calculated. In 2019, the messaging continue</w:t>
      </w:r>
      <w:r w:rsidR="00C84928">
        <w:t>s</w:t>
      </w:r>
      <w:r w:rsidRPr="00CC1ADD">
        <w:t xml:space="preserve"> to focus on how to use the HSR</w:t>
      </w:r>
      <w:r w:rsidR="00340091" w:rsidRPr="00CC1ADD">
        <w:t xml:space="preserve"> to compare similar products</w:t>
      </w:r>
      <w:r w:rsidRPr="00CC1ADD">
        <w:t xml:space="preserve"> in the </w:t>
      </w:r>
      <w:r w:rsidR="00340091" w:rsidRPr="00CC1ADD">
        <w:t>c</w:t>
      </w:r>
      <w:r w:rsidRPr="00CC1ADD">
        <w:t xml:space="preserve">ontext of a </w:t>
      </w:r>
      <w:r w:rsidR="00340091" w:rsidRPr="00CC1ADD">
        <w:t xml:space="preserve">broader </w:t>
      </w:r>
      <w:r w:rsidRPr="00CC1ADD">
        <w:t>healthy diet.</w:t>
      </w:r>
    </w:p>
    <w:p w14:paraId="428A75E8" w14:textId="77777777" w:rsidR="00B36208" w:rsidRPr="00CC1ADD" w:rsidRDefault="00B36208" w:rsidP="00C84928">
      <w:pPr>
        <w:pStyle w:val="mpcNormal"/>
        <w:keepNext w:val="0"/>
      </w:pPr>
    </w:p>
    <w:p w14:paraId="54DA1CDF" w14:textId="195A3373" w:rsidR="00B36208" w:rsidRPr="00CC1ADD" w:rsidRDefault="00B36208" w:rsidP="00C84928">
      <w:pPr>
        <w:pStyle w:val="mpcNormal"/>
        <w:keepNext w:val="0"/>
      </w:pPr>
      <w:r w:rsidRPr="00CC1ADD">
        <w:t xml:space="preserve">Over the first four phases </w:t>
      </w:r>
      <w:r w:rsidRPr="004C4894">
        <w:t>of the campaign</w:t>
      </w:r>
      <w:r w:rsidRPr="00CC1ADD">
        <w:t xml:space="preserve"> (</w:t>
      </w:r>
      <w:r w:rsidR="00063F3C">
        <w:t xml:space="preserve">from </w:t>
      </w:r>
      <w:r w:rsidRPr="00CC1ADD">
        <w:t>2013</w:t>
      </w:r>
      <w:r w:rsidR="00357932">
        <w:t>-14</w:t>
      </w:r>
      <w:r w:rsidR="00063F3C">
        <w:t xml:space="preserve"> to </w:t>
      </w:r>
      <w:r w:rsidRPr="00CC1ADD">
        <w:t>2018</w:t>
      </w:r>
      <w:r w:rsidR="00357932">
        <w:t>-19</w:t>
      </w:r>
      <w:r w:rsidRPr="00CC1ADD">
        <w:t xml:space="preserve">) </w:t>
      </w:r>
      <w:r w:rsidRPr="00357932">
        <w:t>approximately $7.6 million</w:t>
      </w:r>
      <w:r w:rsidR="00357932" w:rsidRPr="00357932">
        <w:rPr>
          <w:rStyle w:val="FootnoteReference"/>
        </w:rPr>
        <w:footnoteReference w:id="46"/>
      </w:r>
      <w:r w:rsidRPr="00357932">
        <w:t xml:space="preserve"> has been</w:t>
      </w:r>
      <w:r w:rsidRPr="00CC1ADD">
        <w:t xml:space="preserve"> expended on the development and delivery of the social marketing including through:</w:t>
      </w:r>
    </w:p>
    <w:p w14:paraId="4E927DD0" w14:textId="77777777" w:rsidR="00B36208" w:rsidRPr="00CC1ADD" w:rsidRDefault="00B36208" w:rsidP="00C84928">
      <w:pPr>
        <w:pStyle w:val="mpcNormal"/>
        <w:keepNext w:val="0"/>
      </w:pPr>
    </w:p>
    <w:p w14:paraId="64F1767E" w14:textId="77777777" w:rsidR="00B36208" w:rsidRPr="00CC1ADD" w:rsidRDefault="00B36208" w:rsidP="00C84928">
      <w:pPr>
        <w:pStyle w:val="mpcNormal"/>
        <w:keepNext w:val="0"/>
        <w:numPr>
          <w:ilvl w:val="0"/>
          <w:numId w:val="13"/>
        </w:numPr>
      </w:pPr>
      <w:r w:rsidRPr="00CC1ADD">
        <w:t>print advertisements</w:t>
      </w:r>
    </w:p>
    <w:p w14:paraId="1E5BA920" w14:textId="77777777" w:rsidR="00B36208" w:rsidRPr="00CC1ADD" w:rsidRDefault="00B36208" w:rsidP="00C84928">
      <w:pPr>
        <w:pStyle w:val="mpcNormal"/>
        <w:keepNext w:val="0"/>
        <w:numPr>
          <w:ilvl w:val="0"/>
          <w:numId w:val="13"/>
        </w:numPr>
      </w:pPr>
      <w:r w:rsidRPr="00CC1ADD">
        <w:t>out of home advertisements</w:t>
      </w:r>
    </w:p>
    <w:p w14:paraId="3D73F2F0" w14:textId="77777777" w:rsidR="00B36208" w:rsidRPr="00CC1ADD" w:rsidRDefault="00B36208" w:rsidP="00C84928">
      <w:pPr>
        <w:pStyle w:val="mpcNormal"/>
        <w:keepNext w:val="0"/>
        <w:numPr>
          <w:ilvl w:val="0"/>
          <w:numId w:val="13"/>
        </w:numPr>
      </w:pPr>
      <w:r w:rsidRPr="00CC1ADD">
        <w:t>online advertisements (square and ‘sky-scraper’ formats)</w:t>
      </w:r>
    </w:p>
    <w:p w14:paraId="243BB183" w14:textId="77777777" w:rsidR="00B36208" w:rsidRPr="00CC1ADD" w:rsidRDefault="00B36208" w:rsidP="00C84928">
      <w:pPr>
        <w:pStyle w:val="mpcNormal"/>
        <w:keepNext w:val="0"/>
        <w:numPr>
          <w:ilvl w:val="0"/>
          <w:numId w:val="13"/>
        </w:numPr>
      </w:pPr>
      <w:r w:rsidRPr="00CC1ADD">
        <w:t>mobile specific advertisements</w:t>
      </w:r>
    </w:p>
    <w:p w14:paraId="2115BDA4" w14:textId="77777777" w:rsidR="00B36208" w:rsidRPr="00CC1ADD" w:rsidRDefault="00B36208" w:rsidP="00C84928">
      <w:pPr>
        <w:pStyle w:val="mpcNormal"/>
        <w:keepNext w:val="0"/>
        <w:numPr>
          <w:ilvl w:val="0"/>
          <w:numId w:val="13"/>
        </w:numPr>
      </w:pPr>
      <w:r w:rsidRPr="00CC1ADD">
        <w:t>online pre-roll videos (played in full before YouTube videos, within catch-up TV etc.)</w:t>
      </w:r>
    </w:p>
    <w:p w14:paraId="5A190841" w14:textId="77777777" w:rsidR="00B36208" w:rsidRPr="00CC1ADD" w:rsidRDefault="00B36208" w:rsidP="00C84928">
      <w:pPr>
        <w:pStyle w:val="mpcNormal"/>
        <w:keepNext w:val="0"/>
        <w:numPr>
          <w:ilvl w:val="0"/>
          <w:numId w:val="13"/>
        </w:numPr>
      </w:pPr>
      <w:r w:rsidRPr="00CC1ADD">
        <w:t>a taste.com.au Taste Health Hotline</w:t>
      </w:r>
    </w:p>
    <w:p w14:paraId="7FECF88C" w14:textId="6C01B2A7" w:rsidR="00B36208" w:rsidRPr="00CC1ADD" w:rsidRDefault="00B36208" w:rsidP="00C84928">
      <w:pPr>
        <w:pStyle w:val="mpcNormal"/>
        <w:keepNext w:val="0"/>
        <w:numPr>
          <w:ilvl w:val="0"/>
          <w:numId w:val="13"/>
        </w:numPr>
      </w:pPr>
      <w:r w:rsidRPr="00CC1ADD">
        <w:t xml:space="preserve">in-store </w:t>
      </w:r>
      <w:r w:rsidR="00955189">
        <w:t xml:space="preserve">shelf </w:t>
      </w:r>
      <w:r w:rsidRPr="00CC1ADD">
        <w:t>and trolley advertisements</w:t>
      </w:r>
    </w:p>
    <w:p w14:paraId="41080D5E" w14:textId="77777777" w:rsidR="00B36208" w:rsidRPr="00CC1ADD" w:rsidRDefault="00B36208" w:rsidP="00C84928">
      <w:pPr>
        <w:pStyle w:val="mpcNormal"/>
        <w:keepNext w:val="0"/>
        <w:numPr>
          <w:ilvl w:val="0"/>
          <w:numId w:val="13"/>
        </w:numPr>
      </w:pPr>
      <w:r w:rsidRPr="00CC1ADD">
        <w:t>Twitter and Pinterest communications (including tips and links to Dietary Guidelines messaging).</w:t>
      </w:r>
    </w:p>
    <w:p w14:paraId="6CF5A863" w14:textId="77777777" w:rsidR="00B36208" w:rsidRPr="00CC1ADD" w:rsidRDefault="00B36208" w:rsidP="004C4894">
      <w:pPr>
        <w:pStyle w:val="mpcNormal"/>
        <w:keepNext w:val="0"/>
      </w:pPr>
    </w:p>
    <w:p w14:paraId="2749C49E" w14:textId="4E44750B" w:rsidR="00B36208" w:rsidRPr="00CC1ADD" w:rsidRDefault="00B36208" w:rsidP="00357932">
      <w:pPr>
        <w:jc w:val="center"/>
        <w:rPr>
          <w:rFonts w:ascii="Times New Roman" w:hAnsi="Times New Roman"/>
        </w:rPr>
      </w:pPr>
      <w:r w:rsidRPr="00CC1ADD">
        <w:rPr>
          <w:rFonts w:ascii="Times New Roman" w:hAnsi="Times New Roman"/>
          <w:noProof/>
          <w:lang w:eastAsia="en-AU"/>
        </w:rPr>
        <w:drawing>
          <wp:inline distT="0" distB="0" distL="0" distR="0" wp14:anchorId="456257FF" wp14:editId="5830A23D">
            <wp:extent cx="3094942" cy="2856066"/>
            <wp:effectExtent l="0" t="0" r="1905" b="0"/>
            <wp:docPr id="22" name="Picture 22" descr="Figure 5: Image from the HSR System Twitter feed providing a healthy eating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3094942" cy="2856066"/>
                    </a:xfrm>
                    <a:prstGeom prst="rect">
                      <a:avLst/>
                    </a:prstGeom>
                    <a:ln>
                      <a:noFill/>
                    </a:ln>
                    <a:extLst>
                      <a:ext uri="{53640926-AAD7-44D8-BBD7-CCE9431645EC}">
                        <a14:shadowObscured xmlns:a14="http://schemas.microsoft.com/office/drawing/2010/main"/>
                      </a:ext>
                    </a:extLst>
                  </pic:spPr>
                </pic:pic>
              </a:graphicData>
            </a:graphic>
          </wp:inline>
        </w:drawing>
      </w:r>
      <w:r w:rsidRPr="00CC1ADD">
        <w:rPr>
          <w:rFonts w:ascii="Times New Roman" w:hAnsi="Times New Roman"/>
          <w:noProof/>
          <w:lang w:eastAsia="en-AU"/>
        </w:rPr>
        <w:drawing>
          <wp:inline distT="0" distB="0" distL="0" distR="0" wp14:anchorId="0D2168A5" wp14:editId="5CCCD586">
            <wp:extent cx="2933198" cy="2863450"/>
            <wp:effectExtent l="0" t="0" r="0" b="0"/>
            <wp:docPr id="24" name="Picture 24" descr="Figure 5: Image from the HSR System Twitter feed providing a healthy eat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933198" cy="2863450"/>
                    </a:xfrm>
                    <a:prstGeom prst="rect">
                      <a:avLst/>
                    </a:prstGeom>
                    <a:ln>
                      <a:noFill/>
                    </a:ln>
                    <a:extLst>
                      <a:ext uri="{53640926-AAD7-44D8-BBD7-CCE9431645EC}">
                        <a14:shadowObscured xmlns:a14="http://schemas.microsoft.com/office/drawing/2010/main"/>
                      </a:ext>
                    </a:extLst>
                  </pic:spPr>
                </pic:pic>
              </a:graphicData>
            </a:graphic>
          </wp:inline>
        </w:drawing>
      </w:r>
      <w:r w:rsidRPr="00CC1ADD">
        <w:rPr>
          <w:rFonts w:ascii="Times New Roman" w:hAnsi="Times New Roman"/>
        </w:rPr>
        <w:fldChar w:fldCharType="begin"/>
      </w:r>
      <w:r w:rsidRPr="00CC1ADD">
        <w:rPr>
          <w:rFonts w:ascii="Times New Roman" w:hAnsi="Times New Roman"/>
        </w:rPr>
        <w:instrText xml:space="preserve"> INCLUDEPICTURE "cid:4FAEB610-6B22-41DD-8147-AE87D63EF470" \* MERGEFORMATINET </w:instrText>
      </w:r>
      <w:r w:rsidRPr="00CC1ADD">
        <w:rPr>
          <w:rFonts w:ascii="Times New Roman" w:hAnsi="Times New Roman"/>
        </w:rPr>
        <w:fldChar w:fldCharType="end"/>
      </w:r>
    </w:p>
    <w:p w14:paraId="5408B58B" w14:textId="5F3136CA" w:rsidR="00B36208" w:rsidRPr="00C84928" w:rsidRDefault="00B36208" w:rsidP="0051716A">
      <w:pPr>
        <w:pStyle w:val="mpcNormal"/>
        <w:keepNext w:val="0"/>
        <w:spacing w:before="120"/>
        <w:rPr>
          <w:sz w:val="20"/>
        </w:rPr>
      </w:pPr>
      <w:r w:rsidRPr="00C84928">
        <w:rPr>
          <w:b/>
          <w:sz w:val="20"/>
        </w:rPr>
        <w:t xml:space="preserve">Figure </w:t>
      </w:r>
      <w:r w:rsidR="00D82678">
        <w:rPr>
          <w:b/>
          <w:sz w:val="20"/>
        </w:rPr>
        <w:t>6</w:t>
      </w:r>
      <w:r w:rsidRPr="00C84928">
        <w:rPr>
          <w:b/>
          <w:sz w:val="20"/>
        </w:rPr>
        <w:t>:</w:t>
      </w:r>
      <w:r w:rsidRPr="00C84928">
        <w:rPr>
          <w:sz w:val="20"/>
        </w:rPr>
        <w:t xml:space="preserve"> Examples of Twitter communications about the HSR System</w:t>
      </w:r>
      <w:r w:rsidR="00CF0CDF" w:rsidRPr="00C84928">
        <w:rPr>
          <w:sz w:val="20"/>
        </w:rPr>
        <w:t>.</w:t>
      </w:r>
    </w:p>
    <w:p w14:paraId="6D296EA9" w14:textId="77777777" w:rsidR="00B36208" w:rsidRPr="00CC1ADD" w:rsidRDefault="00B36208" w:rsidP="00C84928">
      <w:pPr>
        <w:pStyle w:val="mpcNormal"/>
        <w:keepNext w:val="0"/>
      </w:pPr>
    </w:p>
    <w:p w14:paraId="69872913" w14:textId="38FCFA8D" w:rsidR="00B36208" w:rsidRPr="00CC1ADD" w:rsidRDefault="00B36208" w:rsidP="00C84928">
      <w:pPr>
        <w:pStyle w:val="mpcNormal"/>
        <w:keepNext w:val="0"/>
      </w:pPr>
      <w:r w:rsidRPr="00CC1ADD">
        <w:t>Throughout the campaign, monitoring and evaluations were undertaken to assess the impact of the campaign and to inform adjustments to the campaign materials. Th</w:t>
      </w:r>
      <w:r w:rsidR="00DD0E98">
        <w:t>ese</w:t>
      </w:r>
      <w:r w:rsidRPr="00CC1ADD">
        <w:t xml:space="preserve"> included a number of surveys</w:t>
      </w:r>
      <w:r w:rsidR="00DD0E98">
        <w:t>, each</w:t>
      </w:r>
      <w:r w:rsidRPr="00CC1ADD">
        <w:t xml:space="preserve"> based on a nationally representative sample of </w:t>
      </w:r>
      <w:r w:rsidR="00C8700B" w:rsidRPr="00CC1ADD">
        <w:t>approximately</w:t>
      </w:r>
      <w:r w:rsidRPr="00CC1ADD">
        <w:t xml:space="preserve"> 1</w:t>
      </w:r>
      <w:r w:rsidR="00DD0E98">
        <w:t>,</w:t>
      </w:r>
      <w:r w:rsidRPr="00CC1ADD">
        <w:t>000 main/joint grocery buyers aged 18 years and older across Australia</w:t>
      </w:r>
      <w:r w:rsidR="00955189">
        <w:t>,</w:t>
      </w:r>
      <w:r w:rsidRPr="00CC1ADD">
        <w:t xml:space="preserve"> </w:t>
      </w:r>
      <w:r w:rsidR="00C8700B" w:rsidRPr="00CC1ADD">
        <w:t>including</w:t>
      </w:r>
      <w:r w:rsidRPr="00CC1ADD">
        <w:t xml:space="preserve"> representat</w:t>
      </w:r>
      <w:r w:rsidR="00C8700B" w:rsidRPr="00CC1ADD">
        <w:t>ion from key target groups</w:t>
      </w:r>
      <w:r w:rsidRPr="00CC1ADD">
        <w:t xml:space="preserve">. </w:t>
      </w:r>
    </w:p>
    <w:p w14:paraId="013FBC76" w14:textId="77777777" w:rsidR="00B36208" w:rsidRPr="00CC1ADD" w:rsidRDefault="00B36208" w:rsidP="00C84928">
      <w:pPr>
        <w:pStyle w:val="mpcNormal"/>
        <w:keepNext w:val="0"/>
      </w:pPr>
    </w:p>
    <w:p w14:paraId="052DA654" w14:textId="7AFFB0BF" w:rsidR="00B36208" w:rsidRPr="00CC1ADD" w:rsidRDefault="00B36208" w:rsidP="00C84928">
      <w:pPr>
        <w:pStyle w:val="mpcNormal"/>
        <w:keepNext w:val="0"/>
      </w:pPr>
      <w:r w:rsidRPr="00CC1ADD">
        <w:t xml:space="preserve">The results of campaign evaluations were reported to the HSRAC and </w:t>
      </w:r>
      <w:r w:rsidR="00A84FB4">
        <w:t xml:space="preserve">the </w:t>
      </w:r>
      <w:r w:rsidRPr="00CC1ADD">
        <w:t xml:space="preserve">FRSC and were also made publicly available on the </w:t>
      </w:r>
      <w:hyperlink r:id="rId52" w:history="1">
        <w:r w:rsidRPr="00CC1ADD">
          <w:rPr>
            <w:rStyle w:val="Hyperlink"/>
          </w:rPr>
          <w:t>HSR System website</w:t>
        </w:r>
      </w:hyperlink>
      <w:r w:rsidRPr="00CC1ADD">
        <w:t>.</w:t>
      </w:r>
    </w:p>
    <w:p w14:paraId="4352A57B" w14:textId="77777777" w:rsidR="00B36208" w:rsidRPr="00CC1ADD" w:rsidRDefault="00B36208" w:rsidP="00C84928">
      <w:pPr>
        <w:pStyle w:val="mpcNormal"/>
        <w:keepNext w:val="0"/>
      </w:pPr>
    </w:p>
    <w:p w14:paraId="54A3312A" w14:textId="77777777" w:rsidR="00B36208" w:rsidRPr="00CC1ADD" w:rsidRDefault="00B36208" w:rsidP="00C84928">
      <w:pPr>
        <w:pStyle w:val="mpcNormal"/>
        <w:keepNext w:val="0"/>
      </w:pPr>
      <w:r w:rsidRPr="00CC1ADD">
        <w:t>From 2015 to 2017, the campaign evaluations found that:</w:t>
      </w:r>
    </w:p>
    <w:p w14:paraId="13A1EBCE" w14:textId="77777777" w:rsidR="00B36208" w:rsidRPr="00CC1ADD" w:rsidRDefault="00B36208" w:rsidP="00C84928">
      <w:pPr>
        <w:pStyle w:val="mpcNormal"/>
        <w:keepNext w:val="0"/>
      </w:pPr>
    </w:p>
    <w:p w14:paraId="45E0059E" w14:textId="77777777" w:rsidR="00B36208" w:rsidRPr="00CC1ADD" w:rsidRDefault="00B36208" w:rsidP="007E0D2C">
      <w:pPr>
        <w:pStyle w:val="mpcbullets1"/>
      </w:pPr>
      <w:r w:rsidRPr="00CC1ADD">
        <w:t xml:space="preserve">between 18% and 25% of respondents had seen the HSR System campaigns (with awareness levels relatively even across the population) </w:t>
      </w:r>
    </w:p>
    <w:p w14:paraId="3E4458B0" w14:textId="77777777" w:rsidR="00B36208" w:rsidRPr="00CC1ADD" w:rsidRDefault="00B36208" w:rsidP="007E0D2C">
      <w:pPr>
        <w:pStyle w:val="mpcbullets1"/>
      </w:pPr>
      <w:r w:rsidRPr="00CC1ADD">
        <w:t>respondents considered the campaign advertisements to be clear, easy to understand and informative</w:t>
      </w:r>
    </w:p>
    <w:p w14:paraId="5F0B2D0E" w14:textId="77777777" w:rsidR="00B36208" w:rsidRPr="00CC1ADD" w:rsidRDefault="00B36208" w:rsidP="007E0D2C">
      <w:pPr>
        <w:pStyle w:val="mpcbullets1"/>
      </w:pPr>
      <w:r w:rsidRPr="00CC1ADD">
        <w:t>over 73% (up to 77% in 2017) of respondents who recognised the campaign materials carried out at least one of the behavioural objectives of the campaign: using the HSR in-store and trying to eat healthier being the strongest outcomes.</w:t>
      </w:r>
    </w:p>
    <w:p w14:paraId="4ACC591D" w14:textId="77777777" w:rsidR="00B36208" w:rsidRPr="00CC1ADD" w:rsidRDefault="00B36208">
      <w:pPr>
        <w:pStyle w:val="Default"/>
        <w:rPr>
          <w:rFonts w:asciiTheme="minorHAnsi" w:hAnsiTheme="minorHAnsi" w:cstheme="minorBidi"/>
          <w:color w:val="auto"/>
          <w:sz w:val="22"/>
          <w:szCs w:val="22"/>
          <w:lang w:val="en-AU"/>
        </w:rPr>
      </w:pPr>
    </w:p>
    <w:p w14:paraId="1C837E03" w14:textId="77777777"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most recent evaluation found that messaging should no longer focus on driving awareness (with 75% of grocery shoppers aware of the campaign). Rather, future communications should focus on correct use of the HSR System and correcting areas of confusion and misconceptions, including clarification around:</w:t>
      </w:r>
    </w:p>
    <w:p w14:paraId="7B85EFB6" w14:textId="77777777" w:rsidR="00B36208" w:rsidRPr="00CC1ADD" w:rsidRDefault="00B36208">
      <w:pPr>
        <w:pStyle w:val="Default"/>
        <w:rPr>
          <w:rFonts w:asciiTheme="minorHAnsi" w:hAnsiTheme="minorHAnsi" w:cstheme="minorBidi"/>
          <w:color w:val="auto"/>
          <w:sz w:val="22"/>
          <w:szCs w:val="22"/>
          <w:lang w:val="en-AU"/>
        </w:rPr>
      </w:pPr>
    </w:p>
    <w:p w14:paraId="5C4A02EA" w14:textId="77777777" w:rsidR="00B36208" w:rsidRPr="00CC1ADD" w:rsidRDefault="00B36208" w:rsidP="007E0D2C">
      <w:pPr>
        <w:pStyle w:val="mpcbullets1"/>
      </w:pPr>
      <w:r w:rsidRPr="00CC1ADD">
        <w:t>which products can display the HSR, given 41% of respondents agreed that ‘food is healthy if it displays the HSR’ and 35% of respondents agreed that ‘you should only purchase foods with an HSR’</w:t>
      </w:r>
    </w:p>
    <w:p w14:paraId="1E5EB722" w14:textId="77777777" w:rsidR="00B36208" w:rsidRPr="00CC1ADD" w:rsidRDefault="00B36208" w:rsidP="007E0D2C">
      <w:pPr>
        <w:pStyle w:val="mpcbullets1"/>
      </w:pPr>
      <w:r w:rsidRPr="00CC1ADD">
        <w:t>how the HSR should be used to compare products within a category, given that 48% of respondents agreed that the HSR ‘makes it easier for me to compare products that are in different sections of the supermarket’.</w:t>
      </w:r>
      <w:r w:rsidRPr="00CC1ADD">
        <w:rPr>
          <w:rStyle w:val="FootnoteReference"/>
          <w:sz w:val="22"/>
        </w:rPr>
        <w:footnoteReference w:id="47"/>
      </w:r>
    </w:p>
    <w:p w14:paraId="32A44AF3" w14:textId="0F13FA31" w:rsidR="00B36208" w:rsidRPr="00CC1ADD" w:rsidRDefault="00B36208">
      <w:pPr>
        <w:pStyle w:val="Default"/>
        <w:rPr>
          <w:rFonts w:asciiTheme="minorHAnsi" w:hAnsiTheme="minorHAnsi" w:cstheme="minorBidi"/>
          <w:color w:val="auto"/>
          <w:sz w:val="22"/>
          <w:szCs w:val="22"/>
          <w:lang w:val="en-AU"/>
        </w:rPr>
      </w:pPr>
    </w:p>
    <w:p w14:paraId="6D52CEEC" w14:textId="10D7A8BA" w:rsidR="00672C60" w:rsidRPr="00672C60" w:rsidRDefault="00340091" w:rsidP="00672C60">
      <w:pPr>
        <w:pStyle w:val="Default"/>
        <w:rPr>
          <w:rFonts w:asciiTheme="minorHAnsi" w:hAnsiTheme="minorHAnsi" w:cstheme="minorBidi"/>
          <w:color w:val="auto"/>
          <w:sz w:val="22"/>
          <w:szCs w:val="22"/>
          <w:lang w:val="en-AU"/>
        </w:rPr>
      </w:pPr>
      <w:r w:rsidRPr="004C4894">
        <w:rPr>
          <w:rFonts w:asciiTheme="minorHAnsi" w:hAnsiTheme="minorHAnsi" w:cstheme="minorBidi"/>
          <w:color w:val="auto"/>
          <w:sz w:val="22"/>
          <w:szCs w:val="22"/>
          <w:lang w:val="en-AU"/>
        </w:rPr>
        <w:t xml:space="preserve">The </w:t>
      </w:r>
      <w:r w:rsidR="004C4894" w:rsidRPr="004C4894">
        <w:rPr>
          <w:rFonts w:asciiTheme="minorHAnsi" w:hAnsiTheme="minorHAnsi" w:cstheme="minorBidi"/>
          <w:color w:val="auto"/>
          <w:sz w:val="22"/>
          <w:szCs w:val="22"/>
          <w:lang w:val="en-AU"/>
        </w:rPr>
        <w:t xml:space="preserve">most </w:t>
      </w:r>
      <w:r w:rsidR="004C4894" w:rsidRPr="00672C60">
        <w:rPr>
          <w:rFonts w:asciiTheme="minorHAnsi" w:hAnsiTheme="minorHAnsi" w:cstheme="minorBidi"/>
          <w:color w:val="auto"/>
          <w:sz w:val="22"/>
          <w:szCs w:val="22"/>
          <w:lang w:val="en-AU"/>
        </w:rPr>
        <w:t xml:space="preserve">recent phase of the </w:t>
      </w:r>
      <w:r w:rsidRPr="00672C60">
        <w:rPr>
          <w:rFonts w:asciiTheme="minorHAnsi" w:hAnsiTheme="minorHAnsi" w:cstheme="minorBidi"/>
          <w:color w:val="auto"/>
          <w:sz w:val="22"/>
          <w:szCs w:val="22"/>
          <w:lang w:val="en-AU"/>
        </w:rPr>
        <w:t>campaign commenc</w:t>
      </w:r>
      <w:r w:rsidR="0097756D" w:rsidRPr="00672C60">
        <w:rPr>
          <w:rFonts w:asciiTheme="minorHAnsi" w:hAnsiTheme="minorHAnsi" w:cstheme="minorBidi"/>
          <w:color w:val="auto"/>
          <w:sz w:val="22"/>
          <w:szCs w:val="22"/>
          <w:lang w:val="en-AU"/>
        </w:rPr>
        <w:t>ed</w:t>
      </w:r>
      <w:r w:rsidRPr="00672C60">
        <w:rPr>
          <w:rFonts w:asciiTheme="minorHAnsi" w:hAnsiTheme="minorHAnsi" w:cstheme="minorBidi"/>
          <w:color w:val="auto"/>
          <w:sz w:val="22"/>
          <w:szCs w:val="22"/>
          <w:lang w:val="en-AU"/>
        </w:rPr>
        <w:t xml:space="preserve"> in </w:t>
      </w:r>
      <w:r w:rsidR="0097756D" w:rsidRPr="00672C60">
        <w:rPr>
          <w:rFonts w:asciiTheme="minorHAnsi" w:hAnsiTheme="minorHAnsi" w:cstheme="minorBidi"/>
          <w:color w:val="auto"/>
          <w:sz w:val="22"/>
          <w:szCs w:val="22"/>
          <w:lang w:val="en-AU"/>
        </w:rPr>
        <w:t xml:space="preserve">February </w:t>
      </w:r>
      <w:r w:rsidRPr="00672C60">
        <w:rPr>
          <w:rFonts w:asciiTheme="minorHAnsi" w:hAnsiTheme="minorHAnsi" w:cstheme="minorBidi"/>
          <w:color w:val="auto"/>
          <w:sz w:val="22"/>
          <w:szCs w:val="22"/>
          <w:lang w:val="en-AU"/>
        </w:rPr>
        <w:t>2019</w:t>
      </w:r>
      <w:r w:rsidR="00C8700B" w:rsidRPr="00672C60">
        <w:rPr>
          <w:rFonts w:asciiTheme="minorHAnsi" w:hAnsiTheme="minorHAnsi" w:cstheme="minorBidi"/>
          <w:color w:val="auto"/>
          <w:sz w:val="22"/>
          <w:szCs w:val="22"/>
          <w:lang w:val="en-AU"/>
        </w:rPr>
        <w:t xml:space="preserve"> </w:t>
      </w:r>
      <w:r w:rsidR="004C4894" w:rsidRPr="00672C60">
        <w:rPr>
          <w:rFonts w:asciiTheme="minorHAnsi" w:hAnsiTheme="minorHAnsi" w:cstheme="minorBidi"/>
          <w:color w:val="auto"/>
          <w:sz w:val="22"/>
          <w:szCs w:val="22"/>
          <w:lang w:val="en-AU"/>
        </w:rPr>
        <w:t xml:space="preserve">and </w:t>
      </w:r>
      <w:r w:rsidR="00C8700B" w:rsidRPr="00672C60">
        <w:rPr>
          <w:rFonts w:asciiTheme="minorHAnsi" w:hAnsiTheme="minorHAnsi" w:cstheme="minorBidi"/>
          <w:color w:val="auto"/>
          <w:sz w:val="22"/>
          <w:szCs w:val="22"/>
          <w:lang w:val="en-AU"/>
        </w:rPr>
        <w:t>aim</w:t>
      </w:r>
      <w:r w:rsidR="00A648C4" w:rsidRPr="00672C60">
        <w:rPr>
          <w:rFonts w:asciiTheme="minorHAnsi" w:hAnsiTheme="minorHAnsi" w:cstheme="minorBidi"/>
          <w:color w:val="auto"/>
          <w:sz w:val="22"/>
          <w:szCs w:val="22"/>
          <w:lang w:val="en-AU"/>
        </w:rPr>
        <w:t>s</w:t>
      </w:r>
      <w:r w:rsidRPr="00672C60">
        <w:rPr>
          <w:rFonts w:asciiTheme="minorHAnsi" w:hAnsiTheme="minorHAnsi" w:cstheme="minorBidi"/>
          <w:color w:val="auto"/>
          <w:sz w:val="22"/>
          <w:szCs w:val="22"/>
          <w:lang w:val="en-AU"/>
        </w:rPr>
        <w:t xml:space="preserve"> to address these misconceptions.</w:t>
      </w:r>
      <w:r w:rsidR="00672C60" w:rsidRPr="00672C60">
        <w:rPr>
          <w:rFonts w:asciiTheme="minorHAnsi" w:hAnsiTheme="minorHAnsi" w:cstheme="minorBidi"/>
          <w:color w:val="auto"/>
          <w:sz w:val="22"/>
          <w:szCs w:val="22"/>
          <w:lang w:val="en-AU"/>
        </w:rPr>
        <w:t xml:space="preserve"> The advertisements </w:t>
      </w:r>
      <w:r w:rsidR="00CE2BD6">
        <w:rPr>
          <w:rFonts w:asciiTheme="minorHAnsi" w:hAnsiTheme="minorHAnsi" w:cstheme="minorBidi"/>
          <w:color w:val="auto"/>
          <w:sz w:val="22"/>
          <w:szCs w:val="22"/>
          <w:lang w:val="en-AU"/>
        </w:rPr>
        <w:t xml:space="preserve">were </w:t>
      </w:r>
      <w:r w:rsidR="00672C60" w:rsidRPr="00672C60">
        <w:rPr>
          <w:rFonts w:asciiTheme="minorHAnsi" w:hAnsiTheme="minorHAnsi" w:cstheme="minorBidi"/>
          <w:color w:val="auto"/>
          <w:sz w:val="22"/>
          <w:szCs w:val="22"/>
          <w:lang w:val="en-AU"/>
        </w:rPr>
        <w:t>accompanied by media kits available to industry, public health and consumer groups so that the key messages c</w:t>
      </w:r>
      <w:r w:rsidR="00CE2BD6">
        <w:rPr>
          <w:rFonts w:asciiTheme="minorHAnsi" w:hAnsiTheme="minorHAnsi" w:cstheme="minorBidi"/>
          <w:color w:val="auto"/>
          <w:sz w:val="22"/>
          <w:szCs w:val="22"/>
          <w:lang w:val="en-AU"/>
        </w:rPr>
        <w:t>ould</w:t>
      </w:r>
      <w:r w:rsidR="00672C60" w:rsidRPr="00672C60">
        <w:rPr>
          <w:rFonts w:asciiTheme="minorHAnsi" w:hAnsiTheme="minorHAnsi" w:cstheme="minorBidi"/>
          <w:color w:val="auto"/>
          <w:sz w:val="22"/>
          <w:szCs w:val="22"/>
          <w:lang w:val="en-AU"/>
        </w:rPr>
        <w:t xml:space="preserve"> be reinforced by these groups. </w:t>
      </w:r>
    </w:p>
    <w:p w14:paraId="69AA44ED" w14:textId="77777777" w:rsidR="00340091" w:rsidRPr="00CC1ADD" w:rsidRDefault="00340091">
      <w:pPr>
        <w:pStyle w:val="Default"/>
        <w:rPr>
          <w:rFonts w:asciiTheme="minorHAnsi" w:hAnsiTheme="minorHAnsi" w:cstheme="minorBidi"/>
          <w:color w:val="auto"/>
          <w:sz w:val="22"/>
          <w:szCs w:val="22"/>
          <w:lang w:val="en-AU"/>
        </w:rPr>
      </w:pPr>
    </w:p>
    <w:p w14:paraId="63DC1D93" w14:textId="77777777" w:rsidR="00B36208" w:rsidRPr="00CC1ADD" w:rsidRDefault="00B36208" w:rsidP="005A162A">
      <w:pPr>
        <w:pStyle w:val="mpcheading3"/>
      </w:pPr>
      <w:r w:rsidRPr="00CC1ADD">
        <w:t xml:space="preserve">New Zealand </w:t>
      </w:r>
    </w:p>
    <w:p w14:paraId="3E32F2A9" w14:textId="77777777" w:rsidR="007F7F96" w:rsidRPr="00CC1ADD" w:rsidRDefault="007F7F96" w:rsidP="00C84928">
      <w:pPr>
        <w:pStyle w:val="mpcNormal"/>
        <w:keepNext w:val="0"/>
      </w:pPr>
    </w:p>
    <w:p w14:paraId="0E676D51" w14:textId="346C201C" w:rsidR="00B36208" w:rsidRPr="00CC1ADD" w:rsidRDefault="00B36208" w:rsidP="00C84928">
      <w:pPr>
        <w:pStyle w:val="mpcNormal"/>
        <w:keepNext w:val="0"/>
      </w:pPr>
      <w:r w:rsidRPr="00CC1ADD">
        <w:t xml:space="preserve">In New Zealand, a separate HSR System campaign was developed by the </w:t>
      </w:r>
      <w:r w:rsidR="00656682" w:rsidRPr="00CC1ADD">
        <w:t>HPA</w:t>
      </w:r>
      <w:r w:rsidRPr="00CC1ADD">
        <w:t>, commencing in March 2016</w:t>
      </w:r>
      <w:r w:rsidR="00B21062">
        <w:t xml:space="preserve">. </w:t>
      </w:r>
      <w:r w:rsidRPr="00CC1ADD">
        <w:t xml:space="preserve">The </w:t>
      </w:r>
      <w:r w:rsidR="00656682" w:rsidRPr="00CC1ADD">
        <w:t>first phase</w:t>
      </w:r>
      <w:r w:rsidRPr="00CC1ADD">
        <w:t xml:space="preserve"> of the campaign </w:t>
      </w:r>
      <w:r w:rsidR="00656682" w:rsidRPr="00CC1ADD">
        <w:t>featured</w:t>
      </w:r>
      <w:r w:rsidRPr="00CC1ADD">
        <w:t xml:space="preserve"> a series of videos </w:t>
      </w:r>
      <w:r w:rsidR="00DD0E98" w:rsidRPr="00CC1ADD">
        <w:t xml:space="preserve">playing as advertisements on TV-on-demand web channels and </w:t>
      </w:r>
      <w:hyperlink r:id="rId53" w:history="1">
        <w:r w:rsidR="00DD0E98" w:rsidRPr="00CC1ADD">
          <w:rPr>
            <w:rStyle w:val="Hyperlink"/>
          </w:rPr>
          <w:t>YouTube</w:t>
        </w:r>
      </w:hyperlink>
      <w:r w:rsidR="00DD0E98">
        <w:rPr>
          <w:rStyle w:val="Hyperlink"/>
        </w:rPr>
        <w:t xml:space="preserve"> </w:t>
      </w:r>
      <w:r w:rsidRPr="00CC1ADD">
        <w:t>depicting animated breakfast cereal boxes.</w:t>
      </w:r>
      <w:r w:rsidRPr="00CC1ADD">
        <w:rPr>
          <w:rStyle w:val="FootnoteReference"/>
          <w:sz w:val="22"/>
        </w:rPr>
        <w:footnoteReference w:id="48"/>
      </w:r>
      <w:r w:rsidR="00656682" w:rsidRPr="00CC1ADD">
        <w:t xml:space="preserve"> The final phase </w:t>
      </w:r>
      <w:r w:rsidR="00141A52">
        <w:t>from</w:t>
      </w:r>
      <w:r w:rsidR="00656682" w:rsidRPr="00CC1ADD">
        <w:t xml:space="preserve"> late 2017</w:t>
      </w:r>
      <w:r w:rsidR="00141A52">
        <w:t xml:space="preserve"> to </w:t>
      </w:r>
      <w:r w:rsidR="00656682" w:rsidRPr="00CC1ADD">
        <w:t xml:space="preserve">early 2018 </w:t>
      </w:r>
      <w:r w:rsidR="00DD0E98">
        <w:t>included</w:t>
      </w:r>
      <w:r w:rsidR="00DD0E98" w:rsidRPr="00CC1ADD">
        <w:t xml:space="preserve"> </w:t>
      </w:r>
      <w:r w:rsidR="00656682" w:rsidRPr="00CC1ADD">
        <w:t xml:space="preserve">television advertisements </w:t>
      </w:r>
      <w:r w:rsidR="00DD0E98">
        <w:t>featuring</w:t>
      </w:r>
      <w:r w:rsidR="00656682" w:rsidRPr="00CC1ADD">
        <w:t xml:space="preserve"> the animated breakfast cereal boxes from the online clips in the earlier phases. The early phases of the campaign aimed to set the scene, engage key stakeholders and initiate public awareness, whilst the later phase aimed to increase trust in the System.</w:t>
      </w:r>
    </w:p>
    <w:p w14:paraId="30D978E5" w14:textId="77777777" w:rsidR="00B36208" w:rsidRPr="00CC1ADD" w:rsidRDefault="00B36208" w:rsidP="00C84928">
      <w:pPr>
        <w:pStyle w:val="mpcNormal"/>
        <w:keepNext w:val="0"/>
      </w:pPr>
    </w:p>
    <w:p w14:paraId="21FFB313" w14:textId="77777777" w:rsidR="00B36208" w:rsidRPr="00CC1ADD" w:rsidRDefault="00B36208" w:rsidP="00C84928">
      <w:pPr>
        <w:pStyle w:val="mpcNormal"/>
        <w:keepNext w:val="0"/>
      </w:pPr>
      <w:r w:rsidRPr="00CC1ADD">
        <w:t>The campaign also included:</w:t>
      </w:r>
    </w:p>
    <w:p w14:paraId="6985971F" w14:textId="77777777" w:rsidR="00B36208" w:rsidRPr="00CC1ADD" w:rsidRDefault="00B36208" w:rsidP="00C84928">
      <w:pPr>
        <w:pStyle w:val="mpcNormal"/>
        <w:keepNext w:val="0"/>
      </w:pPr>
    </w:p>
    <w:p w14:paraId="45037B72" w14:textId="77777777" w:rsidR="00B36208" w:rsidRPr="00CC1ADD" w:rsidRDefault="00B36208" w:rsidP="007E0D2C">
      <w:pPr>
        <w:pStyle w:val="mpcbullets1"/>
      </w:pPr>
      <w:r w:rsidRPr="00CC1ADD">
        <w:t>posters in bus shelters in Auckland, Wellington and Christchurch</w:t>
      </w:r>
    </w:p>
    <w:p w14:paraId="31A38F91" w14:textId="7AEB627D" w:rsidR="00B36208" w:rsidRPr="00CC1ADD" w:rsidRDefault="00B36208" w:rsidP="007E0D2C">
      <w:pPr>
        <w:pStyle w:val="mpcbullets1"/>
      </w:pPr>
      <w:r w:rsidRPr="00CC1ADD">
        <w:t xml:space="preserve">vertical fins and floor banners in the cereal aisle of </w:t>
      </w:r>
      <w:r w:rsidR="00CE2BD6">
        <w:t xml:space="preserve">174 </w:t>
      </w:r>
      <w:r w:rsidRPr="00CC1ADD">
        <w:t>Countdown stores for one month and in 50 stores for approximately three months</w:t>
      </w:r>
    </w:p>
    <w:p w14:paraId="6AC78EA1" w14:textId="77777777" w:rsidR="00B36208" w:rsidRPr="00CC1ADD" w:rsidRDefault="00B36208" w:rsidP="007E0D2C">
      <w:pPr>
        <w:pStyle w:val="mpcbullets1"/>
      </w:pPr>
      <w:r w:rsidRPr="00CC1ADD">
        <w:t>a targeted digital mailer to New World shoppers</w:t>
      </w:r>
    </w:p>
    <w:p w14:paraId="04B7B858" w14:textId="77777777" w:rsidR="00B36208" w:rsidRPr="00CC1ADD" w:rsidRDefault="00B36208" w:rsidP="007E0D2C">
      <w:pPr>
        <w:pStyle w:val="mpcbullets1"/>
      </w:pPr>
      <w:r w:rsidRPr="00CC1ADD">
        <w:t>advertisements in Countdown’s household grocery mailers (over three months)</w:t>
      </w:r>
    </w:p>
    <w:p w14:paraId="1727B335" w14:textId="77777777" w:rsidR="00B36208" w:rsidRPr="00CC1ADD" w:rsidRDefault="00B36208" w:rsidP="007E0D2C">
      <w:pPr>
        <w:pStyle w:val="mpcbullets1"/>
      </w:pPr>
      <w:r w:rsidRPr="00CC1ADD">
        <w:t>cinema advertising through Val Morgan for three weeks</w:t>
      </w:r>
    </w:p>
    <w:p w14:paraId="6912A44F" w14:textId="77777777" w:rsidR="00B36208" w:rsidRPr="00CC1ADD" w:rsidRDefault="00B36208" w:rsidP="007E0D2C">
      <w:pPr>
        <w:pStyle w:val="mpcbullets1"/>
      </w:pPr>
      <w:r w:rsidRPr="00CC1ADD">
        <w:t>in-store radio advertisements</w:t>
      </w:r>
    </w:p>
    <w:p w14:paraId="0B36636A" w14:textId="77777777" w:rsidR="00B36208" w:rsidRPr="00CC1ADD" w:rsidRDefault="00B36208" w:rsidP="007E0D2C">
      <w:pPr>
        <w:pStyle w:val="mpcbullets1"/>
      </w:pPr>
      <w:r w:rsidRPr="00CC1ADD">
        <w:t>online shopping web banners and bag inserts.</w:t>
      </w:r>
    </w:p>
    <w:p w14:paraId="40907E86" w14:textId="77777777" w:rsidR="00B36208" w:rsidRPr="00CC1ADD" w:rsidRDefault="00B36208" w:rsidP="00C84928">
      <w:pPr>
        <w:pStyle w:val="mpcNormal"/>
        <w:keepNext w:val="0"/>
      </w:pPr>
    </w:p>
    <w:p w14:paraId="0252AA2F" w14:textId="6632828B" w:rsidR="00B36208" w:rsidRPr="00CC1ADD" w:rsidRDefault="00B36208" w:rsidP="00C84928">
      <w:pPr>
        <w:pStyle w:val="mpcNormal"/>
        <w:keepNext w:val="0"/>
      </w:pPr>
      <w:r w:rsidRPr="00CC1ADD">
        <w:t>Key messages from the New Zealand campaigns were:</w:t>
      </w:r>
    </w:p>
    <w:p w14:paraId="3AC6EEEE" w14:textId="77777777" w:rsidR="00CF0CDF" w:rsidRPr="00CC1ADD" w:rsidRDefault="00CF0CDF" w:rsidP="00C84928">
      <w:pPr>
        <w:pStyle w:val="mpcNormal"/>
        <w:keepNext w:val="0"/>
      </w:pPr>
    </w:p>
    <w:tbl>
      <w:tblPr>
        <w:tblStyle w:val="TableGrid"/>
        <w:tblW w:w="0" w:type="auto"/>
        <w:tblLook w:val="04A0" w:firstRow="1" w:lastRow="0" w:firstColumn="1" w:lastColumn="0" w:noHBand="0" w:noVBand="1"/>
        <w:tblCaption w:val="Campaign messages NZ"/>
        <w:tblDescription w:val="Some of the New Zealand campaign messages&#10;"/>
      </w:tblPr>
      <w:tblGrid>
        <w:gridCol w:w="9736"/>
      </w:tblGrid>
      <w:tr w:rsidR="00CF0CDF" w:rsidRPr="00CC1ADD" w14:paraId="0B0BDCDD" w14:textId="77777777" w:rsidTr="00D81AD0">
        <w:trPr>
          <w:trHeight w:val="1698"/>
        </w:trPr>
        <w:tc>
          <w:tcPr>
            <w:tcW w:w="9736" w:type="dxa"/>
            <w:tcBorders>
              <w:top w:val="nil"/>
              <w:left w:val="nil"/>
              <w:bottom w:val="nil"/>
              <w:right w:val="nil"/>
            </w:tcBorders>
            <w:shd w:val="clear" w:color="auto" w:fill="D9E2F3" w:themeFill="accent1" w:themeFillTint="33"/>
            <w:vAlign w:val="center"/>
          </w:tcPr>
          <w:p w14:paraId="233ADF0B" w14:textId="77777777" w:rsidR="00CF0CDF" w:rsidRPr="00C84928" w:rsidRDefault="00CF0CDF" w:rsidP="00D81AD0">
            <w:pPr>
              <w:pStyle w:val="mpcNormal"/>
              <w:keepNext w:val="0"/>
              <w:spacing w:line="360" w:lineRule="auto"/>
              <w:ind w:left="720"/>
              <w:rPr>
                <w:i/>
              </w:rPr>
            </w:pPr>
            <w:r w:rsidRPr="00C84928">
              <w:rPr>
                <w:i/>
              </w:rPr>
              <w:t>The more stars the healthier the food.</w:t>
            </w:r>
          </w:p>
          <w:p w14:paraId="1558523D" w14:textId="77777777" w:rsidR="00CF0CDF" w:rsidRPr="00C84928" w:rsidRDefault="00CF0CDF" w:rsidP="00D81AD0">
            <w:pPr>
              <w:pStyle w:val="mpcNormal"/>
              <w:keepNext w:val="0"/>
              <w:spacing w:line="360" w:lineRule="auto"/>
              <w:ind w:left="720"/>
              <w:rPr>
                <w:i/>
              </w:rPr>
            </w:pPr>
            <w:r w:rsidRPr="00C84928">
              <w:rPr>
                <w:i/>
              </w:rPr>
              <w:t>The stars come from independent food experts.</w:t>
            </w:r>
          </w:p>
          <w:p w14:paraId="56818922" w14:textId="77777777" w:rsidR="00CF0CDF" w:rsidRPr="00C84928" w:rsidRDefault="00CF0CDF" w:rsidP="00D81AD0">
            <w:pPr>
              <w:pStyle w:val="mpcNormal"/>
              <w:keepNext w:val="0"/>
              <w:spacing w:line="360" w:lineRule="auto"/>
              <w:ind w:left="720"/>
              <w:rPr>
                <w:i/>
              </w:rPr>
            </w:pPr>
            <w:r w:rsidRPr="00C84928">
              <w:rPr>
                <w:i/>
              </w:rPr>
              <w:t>Stars give an indication of how healthy the ingredients of the food are.</w:t>
            </w:r>
          </w:p>
          <w:p w14:paraId="3DDAB984" w14:textId="7CC8F188" w:rsidR="00CF0CDF" w:rsidRPr="00CC1ADD" w:rsidRDefault="00CF0CDF" w:rsidP="00D81AD0">
            <w:pPr>
              <w:pStyle w:val="mpcNormal"/>
              <w:keepNext w:val="0"/>
              <w:spacing w:line="360" w:lineRule="auto"/>
              <w:ind w:left="720"/>
            </w:pPr>
            <w:r w:rsidRPr="00C84928">
              <w:rPr>
                <w:i/>
              </w:rPr>
              <w:t>Healthier is easy when you look for the stars.</w:t>
            </w:r>
          </w:p>
        </w:tc>
      </w:tr>
    </w:tbl>
    <w:p w14:paraId="6F35AB7A" w14:textId="77777777" w:rsidR="00B36208" w:rsidRPr="00CC1ADD" w:rsidRDefault="00B36208" w:rsidP="00C84928">
      <w:pPr>
        <w:pStyle w:val="mpcNormal"/>
        <w:keepNext w:val="0"/>
      </w:pPr>
    </w:p>
    <w:p w14:paraId="616F2E69" w14:textId="5E57EFD4" w:rsidR="00123A09" w:rsidRPr="00CC1ADD" w:rsidRDefault="00123A09" w:rsidP="00357932">
      <w:pPr>
        <w:pStyle w:val="mpcNormal"/>
        <w:keepNext w:val="0"/>
        <w:jc w:val="center"/>
      </w:pPr>
      <w:r w:rsidRPr="00CC1ADD">
        <w:rPr>
          <w:rFonts w:ascii="Times New Roman" w:hAnsi="Times New Roman" w:cs="Times New Roman"/>
          <w:b/>
          <w:noProof/>
          <w:lang w:eastAsia="en-AU"/>
        </w:rPr>
        <w:drawing>
          <wp:inline distT="0" distB="0" distL="0" distR="0" wp14:anchorId="0154567A" wp14:editId="39286DF1">
            <wp:extent cx="1923608" cy="2510472"/>
            <wp:effectExtent l="0" t="0" r="0" b="4445"/>
            <wp:docPr id="5" name="Picture 5" descr="Figure 6: Example of campaign print to promote Health Star Rating system in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rettj\AppData\Local\Microsoft\Windows\Temporary Internet Files\Content.Outlook\C1WBBPYO\Health Promo Agency - Healfy Bits - Metrolite - QTY 6-LR.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980034" cy="2584112"/>
                    </a:xfrm>
                    <a:prstGeom prst="rect">
                      <a:avLst/>
                    </a:prstGeom>
                    <a:noFill/>
                    <a:ln>
                      <a:noFill/>
                    </a:ln>
                  </pic:spPr>
                </pic:pic>
              </a:graphicData>
            </a:graphic>
          </wp:inline>
        </w:drawing>
      </w:r>
      <w:r w:rsidRPr="00CC1ADD">
        <w:rPr>
          <w:rFonts w:ascii="Times New Roman" w:hAnsi="Times New Roman" w:cs="Times New Roman"/>
          <w:b/>
          <w:noProof/>
          <w:lang w:eastAsia="en-AU"/>
        </w:rPr>
        <w:drawing>
          <wp:inline distT="0" distB="0" distL="0" distR="0" wp14:anchorId="08A32A6E" wp14:editId="5F0E7E7B">
            <wp:extent cx="2168012" cy="2484409"/>
            <wp:effectExtent l="0" t="0" r="3810" b="5080"/>
            <wp:docPr id="7" name="Picture 7" descr="Figure 6: Web tile used to promote the Health Star Rating system in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rettj\AppData\Local\Microsoft\Windows\Temporary Internet Files\Content.Outlook\EOIFCQU1\web tile 1.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187233" cy="2506435"/>
                    </a:xfrm>
                    <a:prstGeom prst="rect">
                      <a:avLst/>
                    </a:prstGeom>
                    <a:noFill/>
                    <a:ln>
                      <a:noFill/>
                    </a:ln>
                  </pic:spPr>
                </pic:pic>
              </a:graphicData>
            </a:graphic>
          </wp:inline>
        </w:drawing>
      </w:r>
      <w:r w:rsidRPr="00CC1ADD">
        <w:rPr>
          <w:noProof/>
          <w:lang w:eastAsia="en-AU"/>
        </w:rPr>
        <w:drawing>
          <wp:inline distT="0" distB="0" distL="0" distR="0" wp14:anchorId="5FE7BF3D" wp14:editId="4A171CE9">
            <wp:extent cx="2510909" cy="2016465"/>
            <wp:effectExtent l="6032" t="0" r="0" b="0"/>
            <wp:docPr id="10" name="Picture 10" descr="Figure 6: Picture of vertical fin and floor banner in the cereal aisle of a Countdown store in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brettj\AppData\Local\Microsoft\Windows\Temporary Internet Files\Content.Outlook\C1WBBPYO\HSR floor decal in store.jpg"/>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l="5357"/>
                    <a:stretch/>
                  </pic:blipFill>
                  <pic:spPr bwMode="auto">
                    <a:xfrm rot="5400000">
                      <a:off x="0" y="0"/>
                      <a:ext cx="2511307" cy="2016785"/>
                    </a:xfrm>
                    <a:prstGeom prst="rect">
                      <a:avLst/>
                    </a:prstGeom>
                    <a:noFill/>
                    <a:ln>
                      <a:noFill/>
                    </a:ln>
                    <a:extLst>
                      <a:ext uri="{53640926-AAD7-44D8-BBD7-CCE9431645EC}">
                        <a14:shadowObscured xmlns:a14="http://schemas.microsoft.com/office/drawing/2010/main"/>
                      </a:ext>
                    </a:extLst>
                  </pic:spPr>
                </pic:pic>
              </a:graphicData>
            </a:graphic>
          </wp:inline>
        </w:drawing>
      </w:r>
    </w:p>
    <w:p w14:paraId="7F7903AC" w14:textId="3CFD83D4" w:rsidR="00F904AA" w:rsidRPr="000A22C3" w:rsidRDefault="00F904AA" w:rsidP="0051716A">
      <w:pPr>
        <w:pStyle w:val="mpcNormal"/>
        <w:keepNext w:val="0"/>
        <w:spacing w:before="120"/>
        <w:rPr>
          <w:sz w:val="20"/>
        </w:rPr>
      </w:pPr>
      <w:r w:rsidRPr="000A22C3">
        <w:rPr>
          <w:b/>
          <w:sz w:val="20"/>
        </w:rPr>
        <w:t xml:space="preserve">Figure </w:t>
      </w:r>
      <w:r w:rsidR="00D82678">
        <w:rPr>
          <w:b/>
          <w:sz w:val="20"/>
        </w:rPr>
        <w:t>7</w:t>
      </w:r>
      <w:r w:rsidRPr="000A22C3">
        <w:rPr>
          <w:b/>
          <w:sz w:val="20"/>
        </w:rPr>
        <w:t>:</w:t>
      </w:r>
      <w:r w:rsidRPr="000A22C3">
        <w:rPr>
          <w:sz w:val="20"/>
        </w:rPr>
        <w:t xml:space="preserve"> Examples of campaign print, web tiles and out of home advertising in New Zealand.</w:t>
      </w:r>
    </w:p>
    <w:p w14:paraId="14298483" w14:textId="77777777" w:rsidR="00F904AA" w:rsidRPr="00CC1ADD" w:rsidRDefault="00F904AA" w:rsidP="000A22C3">
      <w:pPr>
        <w:pStyle w:val="mpcNormal"/>
        <w:keepNext w:val="0"/>
      </w:pPr>
    </w:p>
    <w:p w14:paraId="08033579" w14:textId="010018B6" w:rsidR="00B36208" w:rsidRPr="00CC1ADD" w:rsidRDefault="00B36208" w:rsidP="00C84928">
      <w:pPr>
        <w:pStyle w:val="mpcNormal"/>
        <w:keepNext w:val="0"/>
      </w:pPr>
      <w:r w:rsidRPr="00CC1ADD">
        <w:t xml:space="preserve">Ongoing evaluations of the campaigns were undertaken, relying on surveys </w:t>
      </w:r>
      <w:r w:rsidR="00DD0E98">
        <w:t xml:space="preserve">each </w:t>
      </w:r>
      <w:r w:rsidRPr="00CC1ADD">
        <w:t>representing a cross section of over 1</w:t>
      </w:r>
      <w:r w:rsidR="00DD0E98">
        <w:t>,</w:t>
      </w:r>
      <w:r w:rsidRPr="00CC1ADD">
        <w:t>600 New Zealand consumers. A baseline survey was conducted in 2015 with two follow up waves in 2016 and 2018. All three waves monitored awareness, recognition, understanding and correct use of the HSR System. The 2016 and 2018 survey waves also measured perceptions and possible impacts of the HSR System campaign.</w:t>
      </w:r>
      <w:r w:rsidR="00A84FB4">
        <w:t xml:space="preserve"> Evaluations are available on the </w:t>
      </w:r>
      <w:hyperlink r:id="rId57" w:history="1">
        <w:r w:rsidR="00A84FB4" w:rsidRPr="00A84FB4">
          <w:rPr>
            <w:rStyle w:val="Hyperlink"/>
          </w:rPr>
          <w:t>MPI website</w:t>
        </w:r>
      </w:hyperlink>
      <w:r w:rsidR="00A84FB4">
        <w:t>.</w:t>
      </w:r>
    </w:p>
    <w:p w14:paraId="7E2705DF" w14:textId="77777777" w:rsidR="00B36208" w:rsidRPr="00CC1ADD" w:rsidRDefault="00B36208" w:rsidP="00C84928">
      <w:pPr>
        <w:pStyle w:val="mpcNormal"/>
        <w:keepNext w:val="0"/>
      </w:pPr>
    </w:p>
    <w:p w14:paraId="3A192E94" w14:textId="77777777" w:rsidR="00B36208" w:rsidRPr="00CC1ADD" w:rsidRDefault="00B36208" w:rsidP="00C84928">
      <w:pPr>
        <w:pStyle w:val="mpcNormal"/>
        <w:keepNext w:val="0"/>
      </w:pPr>
      <w:r w:rsidRPr="00CC1ADD">
        <w:t>Some of the key findings from the most recent evaluation of the campaign impacts include:</w:t>
      </w:r>
    </w:p>
    <w:p w14:paraId="731CB343" w14:textId="77777777" w:rsidR="00B36208" w:rsidRPr="00CC1ADD" w:rsidRDefault="00B36208" w:rsidP="00C84928">
      <w:pPr>
        <w:pStyle w:val="mpcNormal"/>
        <w:keepNext w:val="0"/>
      </w:pPr>
    </w:p>
    <w:p w14:paraId="2F1606D4" w14:textId="77777777" w:rsidR="00B36208" w:rsidRPr="00CC1ADD" w:rsidRDefault="00B36208" w:rsidP="00C84928">
      <w:pPr>
        <w:pStyle w:val="mpcNormal"/>
        <w:keepNext w:val="0"/>
        <w:numPr>
          <w:ilvl w:val="0"/>
          <w:numId w:val="13"/>
        </w:numPr>
      </w:pPr>
      <w:r w:rsidRPr="00CC1ADD">
        <w:t>respondents who had seen the 2018 campaign had higher levels of awareness, use, trust and understanding of the HSR System and generally found the System easier to use than respondents who had not seen the campaign</w:t>
      </w:r>
    </w:p>
    <w:p w14:paraId="7B10C5A9" w14:textId="77777777" w:rsidR="00B36208" w:rsidRPr="00CC1ADD" w:rsidRDefault="00B36208" w:rsidP="00C84928">
      <w:pPr>
        <w:pStyle w:val="mpcNormal"/>
        <w:keepNext w:val="0"/>
        <w:numPr>
          <w:ilvl w:val="0"/>
          <w:numId w:val="13"/>
        </w:numPr>
      </w:pPr>
      <w:r w:rsidRPr="00CC1ADD">
        <w:t>when asked what the campaign advertising was trying to tell them, responses indicated that the majority of respondents broadly understood the key messages about the System (noting some specific areas of confusion highlighted below)</w:t>
      </w:r>
    </w:p>
    <w:p w14:paraId="4D7BCBA5" w14:textId="61B16ABC" w:rsidR="00B36208" w:rsidRPr="00CC1ADD" w:rsidRDefault="00B36208" w:rsidP="00C84928">
      <w:pPr>
        <w:pStyle w:val="mpcNormal"/>
        <w:keepNext w:val="0"/>
        <w:numPr>
          <w:ilvl w:val="0"/>
          <w:numId w:val="13"/>
        </w:numPr>
      </w:pPr>
      <w:r w:rsidRPr="00CC1ADD">
        <w:t>amongst low income shoppers, those who ha</w:t>
      </w:r>
      <w:r w:rsidR="0097756D">
        <w:t>d</w:t>
      </w:r>
      <w:r w:rsidRPr="00CC1ADD">
        <w:t xml:space="preserve"> seen the campaign advertising </w:t>
      </w:r>
      <w:r w:rsidR="0097756D">
        <w:t>were</w:t>
      </w:r>
      <w:r w:rsidR="0097756D" w:rsidRPr="00CC1ADD">
        <w:t xml:space="preserve"> </w:t>
      </w:r>
      <w:r w:rsidRPr="00CC1ADD">
        <w:t>more likely to check whether packaged food is healthy compared with those who ha</w:t>
      </w:r>
      <w:r w:rsidR="0097756D">
        <w:t>d</w:t>
      </w:r>
      <w:r w:rsidRPr="00CC1ADD">
        <w:t xml:space="preserve"> not seen the campaign. </w:t>
      </w:r>
    </w:p>
    <w:p w14:paraId="21405E79" w14:textId="77777777" w:rsidR="00B36208" w:rsidRPr="00CC1ADD" w:rsidRDefault="00B36208" w:rsidP="00C84928">
      <w:pPr>
        <w:pStyle w:val="mpcNormal"/>
        <w:keepNext w:val="0"/>
      </w:pPr>
    </w:p>
    <w:p w14:paraId="3D750027" w14:textId="77777777" w:rsidR="00B36208" w:rsidRPr="00CC1ADD" w:rsidRDefault="00B36208" w:rsidP="005A3631">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evaluation further highlighted some areas of confusion that could be clarified by future communication around the HSR System, including:</w:t>
      </w:r>
    </w:p>
    <w:p w14:paraId="4C93BAD9" w14:textId="77777777" w:rsidR="00B36208" w:rsidRPr="00CC1ADD" w:rsidRDefault="00B36208">
      <w:pPr>
        <w:pStyle w:val="Default"/>
        <w:rPr>
          <w:rFonts w:asciiTheme="minorHAnsi" w:hAnsiTheme="minorHAnsi" w:cstheme="minorBidi"/>
          <w:color w:val="auto"/>
          <w:sz w:val="22"/>
          <w:szCs w:val="22"/>
          <w:lang w:val="en-AU"/>
        </w:rPr>
      </w:pPr>
    </w:p>
    <w:p w14:paraId="5A73F923" w14:textId="55433A32" w:rsidR="00B36208" w:rsidRPr="00CC1ADD" w:rsidRDefault="00B36208" w:rsidP="007E0D2C">
      <w:pPr>
        <w:pStyle w:val="mpcbullets1"/>
      </w:pPr>
      <w:r w:rsidRPr="00CC1ADD">
        <w:t xml:space="preserve">reinforcing that the HSR System was developed by government with industry and public health, given that only </w:t>
      </w:r>
      <w:r w:rsidR="004F6651" w:rsidRPr="00CC1ADD">
        <w:t>2</w:t>
      </w:r>
      <w:r w:rsidRPr="00CC1ADD">
        <w:t xml:space="preserve">9% of respondents agreed that ‘the HSR System is backed by government’ and </w:t>
      </w:r>
      <w:r w:rsidR="004F6651" w:rsidRPr="00CC1ADD">
        <w:t>close to half (4</w:t>
      </w:r>
      <w:r w:rsidR="00963D76">
        <w:t>4</w:t>
      </w:r>
      <w:r w:rsidR="004F6651" w:rsidRPr="00CC1ADD">
        <w:t>%) o</w:t>
      </w:r>
      <w:r w:rsidRPr="00CC1ADD">
        <w:t>f respondents agreed that the HSR is ‘just something companies use to sell more products’</w:t>
      </w:r>
    </w:p>
    <w:p w14:paraId="2E29998B" w14:textId="0F1C7CE3" w:rsidR="00B36208" w:rsidRPr="00CC1ADD" w:rsidRDefault="00B36208" w:rsidP="007E0D2C">
      <w:pPr>
        <w:pStyle w:val="mpcbullets1"/>
      </w:pPr>
      <w:r w:rsidRPr="00CC1ADD">
        <w:t xml:space="preserve">how the HSR should be used to compare products within a category, given that </w:t>
      </w:r>
      <w:r w:rsidR="004F6651" w:rsidRPr="00CC1ADD">
        <w:t>33</w:t>
      </w:r>
      <w:r w:rsidRPr="00CC1ADD">
        <w:t>% of respondents understood that the HSR couldn’t be used to compare dissimilar products.</w:t>
      </w:r>
      <w:r w:rsidRPr="00CC1ADD">
        <w:rPr>
          <w:rStyle w:val="FootnoteReference"/>
          <w:sz w:val="22"/>
        </w:rPr>
        <w:footnoteReference w:id="49"/>
      </w:r>
    </w:p>
    <w:p w14:paraId="0CF43D92" w14:textId="0228BA7C" w:rsidR="00B36208" w:rsidRDefault="00B36208" w:rsidP="00C84928">
      <w:pPr>
        <w:pStyle w:val="mpcNormal"/>
        <w:keepNext w:val="0"/>
      </w:pPr>
    </w:p>
    <w:p w14:paraId="21CEF564" w14:textId="77777777" w:rsidR="00672C60" w:rsidRPr="00672C60" w:rsidRDefault="00672C60" w:rsidP="00672C60">
      <w:pPr>
        <w:pStyle w:val="Default"/>
        <w:rPr>
          <w:rFonts w:asciiTheme="minorHAnsi" w:hAnsiTheme="minorHAnsi" w:cstheme="minorBidi"/>
          <w:color w:val="auto"/>
          <w:sz w:val="22"/>
          <w:szCs w:val="22"/>
          <w:lang w:val="en-AU"/>
        </w:rPr>
      </w:pPr>
      <w:r w:rsidRPr="00672C60">
        <w:rPr>
          <w:rFonts w:asciiTheme="minorHAnsi" w:hAnsiTheme="minorHAnsi" w:cstheme="minorBidi"/>
          <w:color w:val="auto"/>
          <w:sz w:val="22"/>
          <w:szCs w:val="22"/>
          <w:lang w:val="en-AU"/>
        </w:rPr>
        <w:t>There are no further HSR campaign activities funded for New Zealand.</w:t>
      </w:r>
    </w:p>
    <w:p w14:paraId="68F77FF0" w14:textId="77777777" w:rsidR="00672C60" w:rsidRPr="00CC1ADD" w:rsidRDefault="00672C60" w:rsidP="00C84928">
      <w:pPr>
        <w:pStyle w:val="mpcNormal"/>
        <w:keepNext w:val="0"/>
      </w:pPr>
    </w:p>
    <w:p w14:paraId="10EAB5E0" w14:textId="77777777" w:rsidR="00B36208" w:rsidRPr="00CC1ADD" w:rsidRDefault="00B36208" w:rsidP="0030513A">
      <w:pPr>
        <w:pStyle w:val="mpcheading2"/>
        <w:keepNext/>
      </w:pPr>
      <w:bookmarkStart w:id="88" w:name="Other_promotion"/>
      <w:bookmarkStart w:id="89" w:name="_Toc9955052"/>
      <w:bookmarkEnd w:id="88"/>
      <w:r w:rsidRPr="00CC1ADD">
        <w:t>Other promotion of the HSR System</w:t>
      </w:r>
      <w:bookmarkEnd w:id="89"/>
      <w:r w:rsidRPr="00CC1ADD">
        <w:t xml:space="preserve"> </w:t>
      </w:r>
    </w:p>
    <w:p w14:paraId="10A353FB" w14:textId="11D005F3" w:rsidR="00B36208" w:rsidRPr="00CC1ADD" w:rsidRDefault="00B36208" w:rsidP="0030513A">
      <w:pPr>
        <w:pStyle w:val="mpcNormal"/>
      </w:pPr>
      <w:r w:rsidRPr="00CC1ADD">
        <w:t>In addition to the campaigns, a wide range of resources ha</w:t>
      </w:r>
      <w:r w:rsidR="00CE2BD6">
        <w:t>ve</w:t>
      </w:r>
      <w:r w:rsidRPr="00CC1ADD">
        <w:t xml:space="preserve"> been developed </w:t>
      </w:r>
      <w:r w:rsidR="00CE2BD6">
        <w:t xml:space="preserve">by governments </w:t>
      </w:r>
      <w:r w:rsidRPr="00CC1ADD">
        <w:t xml:space="preserve">to support industry to implement the </w:t>
      </w:r>
      <w:r w:rsidR="00A84FB4">
        <w:t xml:space="preserve">HSR </w:t>
      </w:r>
      <w:r w:rsidRPr="00CC1ADD">
        <w:t>System and to assist consumers to understand and use the HSR.</w:t>
      </w:r>
      <w:r w:rsidR="00CE2BD6">
        <w:t xml:space="preserve"> </w:t>
      </w:r>
      <w:r w:rsidRPr="00CC1ADD">
        <w:t>The development and dissemination of th</w:t>
      </w:r>
      <w:r w:rsidR="00CE2BD6">
        <w:t xml:space="preserve">ese resources </w:t>
      </w:r>
      <w:r w:rsidRPr="00CC1ADD">
        <w:t xml:space="preserve">is largely managed by the </w:t>
      </w:r>
      <w:r w:rsidR="00C8700B" w:rsidRPr="00CC1ADD">
        <w:t>HSR</w:t>
      </w:r>
      <w:r w:rsidRPr="00CC1ADD">
        <w:t xml:space="preserve"> Secretariat in Australia and </w:t>
      </w:r>
      <w:r w:rsidR="00141A52">
        <w:t xml:space="preserve">the </w:t>
      </w:r>
      <w:r w:rsidRPr="00CC1ADD">
        <w:t>MPI in New Zealand.</w:t>
      </w:r>
      <w:r w:rsidR="00141A52">
        <w:t xml:space="preserve"> </w:t>
      </w:r>
    </w:p>
    <w:p w14:paraId="64D96F7D" w14:textId="77777777" w:rsidR="00B36208" w:rsidRPr="00CC1ADD" w:rsidRDefault="00B36208" w:rsidP="00C84928">
      <w:pPr>
        <w:pStyle w:val="mpcNormal"/>
        <w:keepNext w:val="0"/>
      </w:pPr>
    </w:p>
    <w:p w14:paraId="04970E2B" w14:textId="77777777" w:rsidR="00B36208" w:rsidRPr="00CC1ADD" w:rsidRDefault="00B36208" w:rsidP="00C84928">
      <w:pPr>
        <w:pStyle w:val="mpcNormal"/>
        <w:keepNext w:val="0"/>
      </w:pPr>
      <w:r w:rsidRPr="00CC1ADD">
        <w:t>Some of the activities and resources include:</w:t>
      </w:r>
    </w:p>
    <w:p w14:paraId="32072F7C" w14:textId="77777777" w:rsidR="00B36208" w:rsidRPr="00CC1ADD" w:rsidRDefault="00B36208" w:rsidP="005A3631">
      <w:pPr>
        <w:pStyle w:val="Default"/>
        <w:rPr>
          <w:sz w:val="22"/>
          <w:szCs w:val="22"/>
          <w:lang w:val="en-AU"/>
        </w:rPr>
      </w:pPr>
    </w:p>
    <w:p w14:paraId="58B573CC" w14:textId="77777777" w:rsidR="00B36208" w:rsidRPr="00CC1ADD" w:rsidRDefault="00B36208" w:rsidP="00C84928">
      <w:pPr>
        <w:pStyle w:val="mpcNormal"/>
        <w:keepNext w:val="0"/>
        <w:numPr>
          <w:ilvl w:val="0"/>
          <w:numId w:val="13"/>
        </w:numPr>
      </w:pPr>
      <w:r w:rsidRPr="00CC1ADD">
        <w:t>a consumer and industry information/enquiry service</w:t>
      </w:r>
    </w:p>
    <w:p w14:paraId="44284B73" w14:textId="45B98B6B" w:rsidR="00B36208" w:rsidRPr="00CC1ADD" w:rsidRDefault="00B36208" w:rsidP="00173A82">
      <w:pPr>
        <w:pStyle w:val="mpcbullets2"/>
      </w:pPr>
      <w:r w:rsidRPr="00CC1ADD">
        <w:t xml:space="preserve">Each year the service receives approximately </w:t>
      </w:r>
      <w:r w:rsidR="00340091" w:rsidRPr="00CC1ADD">
        <w:t>500</w:t>
      </w:r>
      <w:r w:rsidRPr="00CC1ADD">
        <w:t xml:space="preserve"> calls and </w:t>
      </w:r>
      <w:r w:rsidR="00340091" w:rsidRPr="00CC1ADD">
        <w:t>500</w:t>
      </w:r>
      <w:r w:rsidRPr="00CC1ADD">
        <w:t xml:space="preserve"> emails from industry</w:t>
      </w:r>
      <w:r w:rsidR="00340091" w:rsidRPr="00CC1ADD">
        <w:t>, public health, consumer organisations</w:t>
      </w:r>
      <w:r w:rsidRPr="00CC1ADD">
        <w:t xml:space="preserve"> and members of the public seeking information about the HSR</w:t>
      </w:r>
      <w:r w:rsidR="00340091" w:rsidRPr="00CC1ADD">
        <w:t xml:space="preserve"> System</w:t>
      </w:r>
      <w:r w:rsidRPr="00CC1ADD">
        <w:t>.</w:t>
      </w:r>
    </w:p>
    <w:p w14:paraId="58E35BA9" w14:textId="52EFD972" w:rsidR="00B36208" w:rsidRPr="00CC1ADD" w:rsidRDefault="00B36208" w:rsidP="00C84928">
      <w:pPr>
        <w:pStyle w:val="mpcNormal"/>
        <w:keepNext w:val="0"/>
        <w:numPr>
          <w:ilvl w:val="0"/>
          <w:numId w:val="13"/>
        </w:numPr>
      </w:pPr>
      <w:r w:rsidRPr="00CC1ADD">
        <w:t xml:space="preserve">HSR </w:t>
      </w:r>
      <w:r w:rsidR="00A84FB4">
        <w:t xml:space="preserve">System </w:t>
      </w:r>
      <w:r w:rsidR="00C8700B" w:rsidRPr="00CC1ADD">
        <w:t>stakeholder</w:t>
      </w:r>
      <w:r w:rsidR="00340091" w:rsidRPr="00CC1ADD">
        <w:t xml:space="preserve"> kits</w:t>
      </w:r>
      <w:r w:rsidRPr="00CC1ADD">
        <w:t xml:space="preserve"> (</w:t>
      </w:r>
      <w:r w:rsidR="00340091" w:rsidRPr="00CC1ADD">
        <w:t>for use in both Australia and New Zealand</w:t>
      </w:r>
      <w:r w:rsidRPr="00CC1ADD">
        <w:t xml:space="preserve">) that </w:t>
      </w:r>
      <w:r w:rsidR="00A84FB4">
        <w:t>include</w:t>
      </w:r>
      <w:r w:rsidRPr="00CC1ADD">
        <w:t xml:space="preserve">: </w:t>
      </w:r>
    </w:p>
    <w:p w14:paraId="254036EA" w14:textId="77777777" w:rsidR="00B36208" w:rsidRPr="00CC1ADD" w:rsidRDefault="00B36208" w:rsidP="00173A82">
      <w:pPr>
        <w:pStyle w:val="mpcbullets2"/>
      </w:pPr>
      <w:r w:rsidRPr="00CC1ADD">
        <w:t xml:space="preserve">media fact sheets and key HSR messages </w:t>
      </w:r>
    </w:p>
    <w:p w14:paraId="2B8784A7" w14:textId="77777777" w:rsidR="00B36208" w:rsidRPr="00CC1ADD" w:rsidRDefault="00B36208" w:rsidP="00173A82">
      <w:pPr>
        <w:pStyle w:val="mpcbullets2"/>
      </w:pPr>
      <w:r w:rsidRPr="00CC1ADD">
        <w:t>industry and consumer frequently asked questions</w:t>
      </w:r>
    </w:p>
    <w:p w14:paraId="08F8C5C0" w14:textId="77777777" w:rsidR="00B36208" w:rsidRPr="00CC1ADD" w:rsidRDefault="00B36208" w:rsidP="00173A82">
      <w:pPr>
        <w:pStyle w:val="mpcbullets2"/>
      </w:pPr>
      <w:r w:rsidRPr="00CC1ADD">
        <w:t>example tweets and posts</w:t>
      </w:r>
    </w:p>
    <w:p w14:paraId="4AC70A60" w14:textId="77777777" w:rsidR="00B36208" w:rsidRPr="00CC1ADD" w:rsidRDefault="00B36208" w:rsidP="00173A82">
      <w:pPr>
        <w:pStyle w:val="mpcbullets2"/>
      </w:pPr>
      <w:r w:rsidRPr="00CC1ADD">
        <w:t>infographics describing how to use the HSR System</w:t>
      </w:r>
    </w:p>
    <w:p w14:paraId="50E5E47C" w14:textId="77777777" w:rsidR="00B36208" w:rsidRPr="00CC1ADD" w:rsidRDefault="00B36208" w:rsidP="00C84928">
      <w:pPr>
        <w:pStyle w:val="mpcNormal"/>
        <w:keepNext w:val="0"/>
        <w:numPr>
          <w:ilvl w:val="0"/>
          <w:numId w:val="13"/>
        </w:numPr>
      </w:pPr>
      <w:r w:rsidRPr="00CC1ADD">
        <w:t>a range of fact sheets available on both the HSR System website and the MPI website</w:t>
      </w:r>
    </w:p>
    <w:p w14:paraId="1E7B3A32" w14:textId="4376FB3B" w:rsidR="00B36208" w:rsidRPr="00CC1ADD" w:rsidRDefault="00B36208" w:rsidP="00C84928">
      <w:pPr>
        <w:pStyle w:val="mpcNormal"/>
        <w:keepNext w:val="0"/>
        <w:numPr>
          <w:ilvl w:val="0"/>
          <w:numId w:val="13"/>
        </w:numPr>
      </w:pPr>
      <w:r w:rsidRPr="00CC1ADD">
        <w:t xml:space="preserve">a Nutrition and Activity Hub (through the </w:t>
      </w:r>
      <w:hyperlink r:id="rId58" w:history="1">
        <w:r w:rsidRPr="00A84FB4">
          <w:rPr>
            <w:rStyle w:val="Hyperlink"/>
          </w:rPr>
          <w:t>H</w:t>
        </w:r>
        <w:r w:rsidR="0030513A">
          <w:rPr>
            <w:rStyle w:val="Hyperlink"/>
          </w:rPr>
          <w:t>PA</w:t>
        </w:r>
        <w:r w:rsidRPr="00A84FB4">
          <w:rPr>
            <w:rStyle w:val="Hyperlink"/>
          </w:rPr>
          <w:t xml:space="preserve"> website</w:t>
        </w:r>
      </w:hyperlink>
      <w:r w:rsidRPr="00CC1ADD">
        <w:t>) that includes campaign materials (videos, web tiles, articles for newsletters, webinar</w:t>
      </w:r>
      <w:r w:rsidR="00E506E7">
        <w:t>s</w:t>
      </w:r>
      <w:r w:rsidRPr="00CC1ADD">
        <w:t xml:space="preserve"> and other information about the System)</w:t>
      </w:r>
    </w:p>
    <w:p w14:paraId="78745F23" w14:textId="77777777" w:rsidR="00B36208" w:rsidRPr="00CC1ADD" w:rsidRDefault="00B36208" w:rsidP="00C84928">
      <w:pPr>
        <w:pStyle w:val="mpcNormal"/>
        <w:keepNext w:val="0"/>
        <w:numPr>
          <w:ilvl w:val="0"/>
          <w:numId w:val="13"/>
        </w:numPr>
      </w:pPr>
      <w:r w:rsidRPr="00CC1ADD">
        <w:t>regular workshops and public forums on the HSR System</w:t>
      </w:r>
    </w:p>
    <w:p w14:paraId="3ADA2AAA" w14:textId="1173A176" w:rsidR="00340091" w:rsidRPr="00CC1ADD" w:rsidRDefault="00B36208" w:rsidP="00173A82">
      <w:pPr>
        <w:pStyle w:val="mpcbullets2"/>
      </w:pPr>
      <w:r w:rsidRPr="00CC1ADD">
        <w:t>In 2014 and 2015 these largely focused on disseminating information about the HSR System and obtaining feedback from stakeholders about their experiences or issues with the System. In 2016, 2017 and 2018 many of these workshops have focused on opportunities to improve the System, including in relation to the rules relating to the form of the food (‘as prepared’)</w:t>
      </w:r>
      <w:r w:rsidR="00A84FB4">
        <w:t>.</w:t>
      </w:r>
    </w:p>
    <w:p w14:paraId="061C0FE2" w14:textId="77777777" w:rsidR="00340091" w:rsidRPr="00CC1ADD" w:rsidRDefault="00340091" w:rsidP="00C84928">
      <w:pPr>
        <w:pStyle w:val="mpcNormal"/>
        <w:keepNext w:val="0"/>
        <w:numPr>
          <w:ilvl w:val="0"/>
          <w:numId w:val="4"/>
        </w:numPr>
      </w:pPr>
      <w:r w:rsidRPr="00CC1ADD">
        <w:t>presentations and posters at public health and industry conferences and forums</w:t>
      </w:r>
    </w:p>
    <w:p w14:paraId="2372ACCA" w14:textId="2F78D7A0" w:rsidR="00B36208" w:rsidRPr="00CC1ADD" w:rsidRDefault="00340091" w:rsidP="00C84928">
      <w:pPr>
        <w:pStyle w:val="mpcNormal"/>
        <w:keepNext w:val="0"/>
        <w:numPr>
          <w:ilvl w:val="0"/>
          <w:numId w:val="4"/>
        </w:numPr>
      </w:pPr>
      <w:r w:rsidRPr="00CC1ADD">
        <w:t>a peer-reviewed paper on the development and implementation of the system to be published in an Australian and New Zealand journal on public health practice</w:t>
      </w:r>
      <w:r w:rsidR="00B36208" w:rsidRPr="00CC1ADD">
        <w:t>.</w:t>
      </w:r>
    </w:p>
    <w:p w14:paraId="015B8A98" w14:textId="77777777" w:rsidR="00B36208" w:rsidRPr="00CC1ADD" w:rsidRDefault="00B36208" w:rsidP="00C84928">
      <w:pPr>
        <w:pStyle w:val="mpcNormal"/>
        <w:keepNext w:val="0"/>
      </w:pPr>
    </w:p>
    <w:p w14:paraId="2FE08817" w14:textId="22FB17CD" w:rsidR="00B36208" w:rsidRPr="00CC1ADD" w:rsidRDefault="00B36208" w:rsidP="00C84928">
      <w:pPr>
        <w:pStyle w:val="mpcNormal"/>
        <w:keepNext w:val="0"/>
      </w:pPr>
      <w:r w:rsidRPr="00CC1ADD">
        <w:t xml:space="preserve">Over the course of the Review, </w:t>
      </w:r>
      <w:r w:rsidR="00CE2BD6">
        <w:t xml:space="preserve">non-government </w:t>
      </w:r>
      <w:r w:rsidRPr="00CC1ADD">
        <w:t xml:space="preserve">stakeholders have </w:t>
      </w:r>
      <w:r w:rsidR="00CE2BD6">
        <w:t xml:space="preserve">also </w:t>
      </w:r>
      <w:r w:rsidRPr="00CC1ADD">
        <w:t>provided numerous examples of how they promote the HSR. Th</w:t>
      </w:r>
      <w:r w:rsidR="00E506E7">
        <w:t>ese have</w:t>
      </w:r>
      <w:r w:rsidRPr="00CC1ADD">
        <w:t xml:space="preserve"> included:</w:t>
      </w:r>
    </w:p>
    <w:p w14:paraId="53D1ADE7" w14:textId="77777777" w:rsidR="00B36208" w:rsidRPr="00CC1ADD" w:rsidRDefault="00B36208" w:rsidP="00C84928">
      <w:pPr>
        <w:pStyle w:val="mpcNormal"/>
        <w:keepNext w:val="0"/>
      </w:pPr>
    </w:p>
    <w:p w14:paraId="2E094A34" w14:textId="77777777" w:rsidR="00B36208" w:rsidRPr="00CC1ADD" w:rsidRDefault="00B36208" w:rsidP="007E0D2C">
      <w:pPr>
        <w:pStyle w:val="mpcbullets1"/>
      </w:pPr>
      <w:r w:rsidRPr="00CC1ADD">
        <w:t xml:space="preserve">large retailers educating consumers about the HSR though in-store radio </w:t>
      </w:r>
    </w:p>
    <w:p w14:paraId="559A93F4" w14:textId="262AD8D3" w:rsidR="00235D47" w:rsidRDefault="00235D47" w:rsidP="007E0D2C">
      <w:pPr>
        <w:pStyle w:val="mpcbullets1"/>
      </w:pPr>
      <w:r>
        <w:t>industry sponsored print materials, product inserts and packaging information about the HSR</w:t>
      </w:r>
    </w:p>
    <w:p w14:paraId="54CCE0AE" w14:textId="1E57A17E" w:rsidR="00235D47" w:rsidRDefault="00235D47" w:rsidP="007E0D2C">
      <w:pPr>
        <w:pStyle w:val="mpcbullets1"/>
      </w:pPr>
      <w:r>
        <w:t xml:space="preserve">industry peak body support for manufacturers wanting to use the HSR </w:t>
      </w:r>
    </w:p>
    <w:p w14:paraId="35706F6E" w14:textId="4CB4F7FD" w:rsidR="00B36208" w:rsidRPr="00CC1ADD" w:rsidRDefault="00B36208" w:rsidP="007E0D2C">
      <w:pPr>
        <w:pStyle w:val="mpcbullets1"/>
      </w:pPr>
      <w:r w:rsidRPr="00CC1ADD">
        <w:t>HSR System related promotions in-store including on-shelf promotions</w:t>
      </w:r>
    </w:p>
    <w:p w14:paraId="52D6DE8B" w14:textId="5AD894A4" w:rsidR="00340091" w:rsidRPr="00CC1ADD" w:rsidRDefault="00B36208" w:rsidP="007E0D2C">
      <w:pPr>
        <w:pStyle w:val="mpcbullets1"/>
      </w:pPr>
      <w:r w:rsidRPr="00CC1ADD">
        <w:t xml:space="preserve">information </w:t>
      </w:r>
      <w:r w:rsidR="00CE2BD6">
        <w:t xml:space="preserve">about the HSR </w:t>
      </w:r>
      <w:r w:rsidRPr="00CC1ADD">
        <w:t>on the websites of manufacturers</w:t>
      </w:r>
      <w:r w:rsidR="00CE2BD6">
        <w:t xml:space="preserve"> and </w:t>
      </w:r>
      <w:r w:rsidRPr="00CC1ADD">
        <w:t>peak bodies</w:t>
      </w:r>
      <w:r w:rsidR="00CE2BD6">
        <w:t xml:space="preserve"> (industry and public health)</w:t>
      </w:r>
    </w:p>
    <w:p w14:paraId="45781A3B" w14:textId="77777777" w:rsidR="00340091" w:rsidRPr="00CC1ADD" w:rsidRDefault="00340091" w:rsidP="007E0D2C">
      <w:pPr>
        <w:pStyle w:val="mpcbullets1"/>
      </w:pPr>
      <w:r w:rsidRPr="00CC1ADD">
        <w:t>more than 35 peer-reviewed journal articles investigating various aspects of the HSR System</w:t>
      </w:r>
    </w:p>
    <w:p w14:paraId="356F8DD4" w14:textId="57377810" w:rsidR="00B36208" w:rsidRPr="00CC1ADD" w:rsidRDefault="00340091" w:rsidP="007E0D2C">
      <w:pPr>
        <w:pStyle w:val="mpcbullets1"/>
      </w:pPr>
      <w:r w:rsidRPr="00CC1ADD">
        <w:t>presentations on the HSR System by public health experts and nutritionists at conferences</w:t>
      </w:r>
      <w:r w:rsidR="00B36208" w:rsidRPr="00CC1ADD">
        <w:t>.</w:t>
      </w:r>
    </w:p>
    <w:p w14:paraId="13A0C0B4" w14:textId="77777777" w:rsidR="00B36208" w:rsidRPr="00CC1ADD" w:rsidRDefault="00B36208" w:rsidP="00C84928">
      <w:pPr>
        <w:pStyle w:val="mpcNormal"/>
        <w:keepNext w:val="0"/>
      </w:pPr>
      <w:r w:rsidRPr="00CC1ADD">
        <w:br/>
      </w:r>
      <w:r w:rsidRPr="00CC1ADD">
        <w:rPr>
          <w:u w:val="single"/>
        </w:rPr>
        <w:t>Appendix C</w:t>
      </w:r>
      <w:r w:rsidRPr="00CC1ADD">
        <w:t xml:space="preserve"> includes examples of the different ways stakeholders promote the HSR System.</w:t>
      </w:r>
    </w:p>
    <w:p w14:paraId="190D8632" w14:textId="77777777" w:rsidR="00B36208" w:rsidRPr="00CC1ADD" w:rsidRDefault="00B36208" w:rsidP="004C4894">
      <w:pPr>
        <w:pStyle w:val="mpcNormal"/>
        <w:keepNext w:val="0"/>
      </w:pPr>
    </w:p>
    <w:p w14:paraId="36E1E69C" w14:textId="77777777" w:rsidR="00B36208" w:rsidRPr="00CC1ADD" w:rsidRDefault="00B36208" w:rsidP="005A3631">
      <w:pPr>
        <w:pStyle w:val="mpcheading2"/>
      </w:pPr>
      <w:bookmarkStart w:id="90" w:name="Initiatives"/>
      <w:bookmarkStart w:id="91" w:name="_Toc9955053"/>
      <w:bookmarkEnd w:id="90"/>
      <w:r w:rsidRPr="00CC1ADD">
        <w:t>Complementary initiatives</w:t>
      </w:r>
      <w:bookmarkEnd w:id="91"/>
    </w:p>
    <w:p w14:paraId="5EA51CE7" w14:textId="2FB173D0" w:rsidR="00B36208" w:rsidRPr="00CC1ADD" w:rsidRDefault="00B36208" w:rsidP="00CE2BD6">
      <w:pPr>
        <w:pStyle w:val="mpcNormal"/>
        <w:keepNext w:val="0"/>
      </w:pPr>
      <w:r w:rsidRPr="00CC1ADD">
        <w:t>In the first round of submissions to the Review (2017)</w:t>
      </w:r>
      <w:r w:rsidR="00A84FB4">
        <w:t>,</w:t>
      </w:r>
      <w:r w:rsidRPr="00CC1ADD">
        <w:t xml:space="preserve"> a number of stakeholders expressed concern about the lack of broader healthy eating initiatives. </w:t>
      </w:r>
      <w:r w:rsidR="008B6118">
        <w:t>A</w:t>
      </w:r>
      <w:r w:rsidRPr="00CC1ADD">
        <w:t xml:space="preserve"> range of initiatives </w:t>
      </w:r>
      <w:r w:rsidR="008B6118">
        <w:t>now exist</w:t>
      </w:r>
      <w:r w:rsidRPr="00CC1ADD">
        <w:t xml:space="preserve"> that promote healthier eating and drinking.</w:t>
      </w:r>
      <w:r w:rsidR="00CE2BD6">
        <w:t xml:space="preserve"> </w:t>
      </w:r>
      <w:r w:rsidR="00E506E7">
        <w:t>This include</w:t>
      </w:r>
      <w:r w:rsidR="00C84928">
        <w:t>s</w:t>
      </w:r>
      <w:r w:rsidRPr="00CC1ADD">
        <w:t>:</w:t>
      </w:r>
    </w:p>
    <w:p w14:paraId="7F52BE21" w14:textId="77777777" w:rsidR="00B36208" w:rsidRPr="00CC1ADD" w:rsidRDefault="00B36208" w:rsidP="00090135">
      <w:pPr>
        <w:pStyle w:val="mpcNormal"/>
      </w:pPr>
    </w:p>
    <w:p w14:paraId="2454EDA1" w14:textId="77777777" w:rsidR="00B36208" w:rsidRPr="00CC1ADD" w:rsidRDefault="00B36208" w:rsidP="007E0D2C">
      <w:pPr>
        <w:pStyle w:val="mpcbullets1"/>
      </w:pPr>
      <w:r w:rsidRPr="00CC1ADD">
        <w:t xml:space="preserve">joint initiatives between government, food industry bodies and public health groups focusing on increased health knowledge, healthier choices and better health outcomes. In both Australia and New Zealand this has included initiatives aimed at: </w:t>
      </w:r>
    </w:p>
    <w:p w14:paraId="692CF3DB" w14:textId="77777777" w:rsidR="00B36208" w:rsidRPr="00CC1ADD" w:rsidRDefault="00B36208" w:rsidP="00173A82">
      <w:pPr>
        <w:pStyle w:val="mpcbullets2"/>
      </w:pPr>
      <w:r w:rsidRPr="00CC1ADD">
        <w:t xml:space="preserve">portion control </w:t>
      </w:r>
    </w:p>
    <w:p w14:paraId="7C940580" w14:textId="77777777" w:rsidR="00B36208" w:rsidRPr="00CC1ADD" w:rsidRDefault="00B36208" w:rsidP="00173A82">
      <w:pPr>
        <w:pStyle w:val="mpcbullets2"/>
      </w:pPr>
      <w:r w:rsidRPr="00CC1ADD">
        <w:t>communication, education and meal planning on whole foods and total diet – based on Dietary Guidelines (including limiting intakes of added sugar, salt and saturated fat)</w:t>
      </w:r>
    </w:p>
    <w:p w14:paraId="55A403BF" w14:textId="50C19B2D" w:rsidR="00B36208" w:rsidRPr="00CC1ADD" w:rsidRDefault="00B36208" w:rsidP="00173A82">
      <w:pPr>
        <w:pStyle w:val="mpcbullets2"/>
      </w:pPr>
      <w:r w:rsidRPr="00CC1ADD">
        <w:t xml:space="preserve">reformulation to optimise the appropriate balance of nutrients and ingredients in foods, including </w:t>
      </w:r>
      <w:r w:rsidR="00E506E7">
        <w:t xml:space="preserve">to reduce </w:t>
      </w:r>
      <w:r w:rsidRPr="00CC1ADD">
        <w:t>added sugar</w:t>
      </w:r>
      <w:r w:rsidR="00E506E7">
        <w:t>s</w:t>
      </w:r>
    </w:p>
    <w:p w14:paraId="1030A728" w14:textId="5B091F90" w:rsidR="00B36208" w:rsidRPr="00CC1ADD" w:rsidRDefault="00B36208" w:rsidP="007E0D2C">
      <w:pPr>
        <w:pStyle w:val="mpcbullets1"/>
      </w:pPr>
      <w:r w:rsidRPr="00CC1ADD">
        <w:t>a dedicated Australian Government website (</w:t>
      </w:r>
      <w:hyperlink r:id="rId59" w:history="1">
        <w:r w:rsidRPr="00CC1ADD">
          <w:rPr>
            <w:rStyle w:val="Hyperlink"/>
          </w:rPr>
          <w:t>Eat for Health</w:t>
        </w:r>
      </w:hyperlink>
      <w:r w:rsidRPr="00CC1ADD">
        <w:t>) promot</w:t>
      </w:r>
      <w:r w:rsidR="00141A52">
        <w:t>ing</w:t>
      </w:r>
      <w:r w:rsidRPr="00CC1ADD">
        <w:t xml:space="preserve"> the </w:t>
      </w:r>
      <w:r w:rsidR="00141A52">
        <w:t>ADG</w:t>
      </w:r>
      <w:r w:rsidRPr="00CC1ADD">
        <w:t>, includ</w:t>
      </w:r>
      <w:r w:rsidR="00141A52">
        <w:t>ing</w:t>
      </w:r>
      <w:r w:rsidRPr="00CC1ADD">
        <w:t xml:space="preserve"> downloadable posters and brochures for use in different settings and tips for eating well</w:t>
      </w:r>
    </w:p>
    <w:p w14:paraId="35896B2B" w14:textId="5C1EBD2E" w:rsidR="00B36208" w:rsidRPr="00CC1ADD" w:rsidRDefault="00880923" w:rsidP="007E0D2C">
      <w:pPr>
        <w:pStyle w:val="mpcbullets1"/>
      </w:pPr>
      <w:r>
        <w:t xml:space="preserve">a </w:t>
      </w:r>
      <w:r w:rsidR="00B36208" w:rsidRPr="00CC1ADD">
        <w:t>wide range of initiatives aimed at encouraging consumption of water and reducing consumption of sugary drinks. For example, the Australian Government ‘</w:t>
      </w:r>
      <w:r w:rsidR="00B36208" w:rsidRPr="00141A52">
        <w:t>Healthy Bodies Need Healthy Drinks</w:t>
      </w:r>
      <w:r w:rsidR="00B36208" w:rsidRPr="00CC1ADD">
        <w:t>’ initiative, the Northern Territory ‘Swap Soft Drinks for Water’, the New Zealand Government ‘100% water’ resources health promotion and the Tasmanian ‘Think before you drink’ campaign.</w:t>
      </w:r>
    </w:p>
    <w:p w14:paraId="73E12EF4" w14:textId="77777777" w:rsidR="00B36208" w:rsidRPr="00CC1ADD" w:rsidRDefault="00B36208" w:rsidP="00C84928">
      <w:pPr>
        <w:pStyle w:val="mpcNormal"/>
        <w:keepNext w:val="0"/>
      </w:pPr>
    </w:p>
    <w:p w14:paraId="20D33AC8" w14:textId="1C32B291" w:rsidR="00B36208" w:rsidRPr="00CC1ADD" w:rsidRDefault="00B36208" w:rsidP="00C84928">
      <w:pPr>
        <w:pStyle w:val="mpcNormal"/>
        <w:keepNext w:val="0"/>
      </w:pPr>
      <w:r w:rsidRPr="00CC1ADD">
        <w:t xml:space="preserve">Further details about some of the initiatives </w:t>
      </w:r>
      <w:r w:rsidR="00E506E7">
        <w:t>are</w:t>
      </w:r>
      <w:r w:rsidRPr="00CC1ADD">
        <w:t xml:space="preserve"> included at </w:t>
      </w:r>
      <w:r w:rsidRPr="00CC1ADD">
        <w:rPr>
          <w:u w:val="single"/>
        </w:rPr>
        <w:t>Appendix C</w:t>
      </w:r>
      <w:r w:rsidRPr="00CC1ADD">
        <w:t>.</w:t>
      </w:r>
    </w:p>
    <w:p w14:paraId="6282D31C" w14:textId="77777777" w:rsidR="00B36208" w:rsidRPr="00CC1ADD" w:rsidRDefault="00B36208" w:rsidP="005A3631">
      <w:pPr>
        <w:pStyle w:val="Default"/>
        <w:rPr>
          <w:rFonts w:asciiTheme="minorHAnsi" w:hAnsiTheme="minorHAnsi" w:cstheme="minorBidi"/>
          <w:color w:val="auto"/>
          <w:sz w:val="22"/>
          <w:szCs w:val="22"/>
          <w:lang w:val="en-AU"/>
        </w:rPr>
      </w:pPr>
    </w:p>
    <w:p w14:paraId="4FE9CBD0" w14:textId="77777777" w:rsidR="00B36208" w:rsidRPr="00CC1ADD" w:rsidRDefault="00B36208">
      <w:pPr>
        <w:pStyle w:val="mpcheading2"/>
      </w:pPr>
      <w:bookmarkStart w:id="92" w:name="Future_promotion"/>
      <w:bookmarkStart w:id="93" w:name="_Toc9955054"/>
      <w:bookmarkEnd w:id="92"/>
      <w:r w:rsidRPr="00CC1ADD">
        <w:t>Future promotion</w:t>
      </w:r>
      <w:bookmarkEnd w:id="93"/>
      <w:r w:rsidRPr="00CC1ADD">
        <w:t xml:space="preserve"> </w:t>
      </w:r>
    </w:p>
    <w:p w14:paraId="50C33B0A" w14:textId="5FF926D6"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Significant resources have been invested by governments, </w:t>
      </w:r>
      <w:r w:rsidR="00633485">
        <w:rPr>
          <w:rFonts w:asciiTheme="minorHAnsi" w:hAnsiTheme="minorHAnsi" w:cstheme="minorBidi"/>
          <w:color w:val="auto"/>
          <w:sz w:val="22"/>
          <w:szCs w:val="22"/>
          <w:lang w:val="en-AU"/>
        </w:rPr>
        <w:t xml:space="preserve">industry, </w:t>
      </w:r>
      <w:r w:rsidRPr="00CC1ADD">
        <w:rPr>
          <w:rFonts w:asciiTheme="minorHAnsi" w:hAnsiTheme="minorHAnsi" w:cstheme="minorBidi"/>
          <w:color w:val="auto"/>
          <w:sz w:val="22"/>
          <w:szCs w:val="22"/>
          <w:lang w:val="en-AU"/>
        </w:rPr>
        <w:t xml:space="preserve">public health professionals and others promoting healthy eating and the HSR System. </w:t>
      </w:r>
    </w:p>
    <w:p w14:paraId="6CBCC5C6" w14:textId="77777777" w:rsidR="00B36208" w:rsidRPr="00CC1ADD" w:rsidRDefault="00B36208">
      <w:pPr>
        <w:pStyle w:val="Default"/>
        <w:rPr>
          <w:rFonts w:asciiTheme="minorHAnsi" w:hAnsiTheme="minorHAnsi" w:cstheme="minorBidi"/>
          <w:color w:val="auto"/>
          <w:sz w:val="22"/>
          <w:szCs w:val="22"/>
          <w:lang w:val="en-AU"/>
        </w:rPr>
      </w:pPr>
    </w:p>
    <w:p w14:paraId="20FC2049" w14:textId="7453C87D" w:rsidR="00B36208" w:rsidRPr="00CC1ADD"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The Review recognises that many stakeholders consider this investment to be inadequate relative to the impact of diet on health and the burden of disease due to poor nutrition</w:t>
      </w:r>
      <w:r w:rsidR="00E506E7">
        <w:rPr>
          <w:rFonts w:asciiTheme="minorHAnsi" w:hAnsiTheme="minorHAnsi" w:cstheme="minorBidi"/>
          <w:color w:val="auto"/>
          <w:sz w:val="22"/>
          <w:szCs w:val="22"/>
          <w:lang w:val="en-AU"/>
        </w:rPr>
        <w:t>, w</w:t>
      </w:r>
      <w:r w:rsidRPr="00CC1ADD">
        <w:rPr>
          <w:rFonts w:asciiTheme="minorHAnsi" w:hAnsiTheme="minorHAnsi" w:cstheme="minorBidi"/>
          <w:color w:val="auto"/>
          <w:sz w:val="22"/>
          <w:szCs w:val="22"/>
          <w:lang w:val="en-AU"/>
        </w:rPr>
        <w:t>hereas other stakeholders seek a wind-back of government investment in the HSR System and a redirection of resources to the promotion of healthy eating more broadly.</w:t>
      </w:r>
    </w:p>
    <w:p w14:paraId="036F64F8" w14:textId="77777777" w:rsidR="00B36208" w:rsidRPr="00CC1ADD" w:rsidRDefault="00B36208">
      <w:pPr>
        <w:pStyle w:val="Default"/>
        <w:rPr>
          <w:rFonts w:asciiTheme="minorHAnsi" w:hAnsiTheme="minorHAnsi" w:cstheme="minorBidi"/>
          <w:color w:val="auto"/>
          <w:sz w:val="22"/>
          <w:szCs w:val="22"/>
          <w:lang w:val="en-AU"/>
        </w:rPr>
      </w:pPr>
    </w:p>
    <w:p w14:paraId="63812667" w14:textId="7939F650" w:rsidR="00B36208" w:rsidRPr="00672C60" w:rsidRDefault="00B36208">
      <w:pPr>
        <w:pStyle w:val="Default"/>
        <w:rPr>
          <w:rFonts w:asciiTheme="minorHAnsi" w:hAnsiTheme="minorHAnsi" w:cstheme="minorBidi"/>
          <w:color w:val="auto"/>
          <w:sz w:val="22"/>
          <w:szCs w:val="22"/>
          <w:lang w:val="en-AU"/>
        </w:rPr>
      </w:pPr>
      <w:r w:rsidRPr="00CC1ADD">
        <w:rPr>
          <w:rFonts w:asciiTheme="minorHAnsi" w:hAnsiTheme="minorHAnsi" w:cstheme="minorBidi"/>
          <w:color w:val="auto"/>
          <w:sz w:val="22"/>
          <w:szCs w:val="22"/>
          <w:lang w:val="en-AU"/>
        </w:rPr>
        <w:t xml:space="preserve">Like most stakeholders, the Review considers that with some changes (to better align the HSR System with </w:t>
      </w:r>
      <w:r w:rsidRPr="00672C60">
        <w:rPr>
          <w:rFonts w:asciiTheme="minorHAnsi" w:hAnsiTheme="minorHAnsi" w:cstheme="minorBidi"/>
          <w:color w:val="auto"/>
          <w:sz w:val="22"/>
          <w:szCs w:val="22"/>
          <w:lang w:val="en-AU"/>
        </w:rPr>
        <w:t xml:space="preserve">Dietary Guidelines, </w:t>
      </w:r>
      <w:r w:rsidR="00E506E7" w:rsidRPr="00672C60">
        <w:rPr>
          <w:rFonts w:asciiTheme="minorHAnsi" w:hAnsiTheme="minorHAnsi" w:cstheme="minorBidi"/>
          <w:color w:val="auto"/>
          <w:sz w:val="22"/>
          <w:szCs w:val="22"/>
          <w:lang w:val="en-AU"/>
        </w:rPr>
        <w:t xml:space="preserve">improve </w:t>
      </w:r>
      <w:r w:rsidRPr="00672C60">
        <w:rPr>
          <w:rFonts w:asciiTheme="minorHAnsi" w:hAnsiTheme="minorHAnsi" w:cstheme="minorBidi"/>
          <w:color w:val="auto"/>
          <w:sz w:val="22"/>
          <w:szCs w:val="22"/>
          <w:lang w:val="en-AU"/>
        </w:rPr>
        <w:t>public confidence and drive increased uptake), the System has significant potential as an ongoing, effective public health intervention.</w:t>
      </w:r>
    </w:p>
    <w:p w14:paraId="3FAB4C0E" w14:textId="29918BA1" w:rsidR="00672C60" w:rsidRPr="00672C60" w:rsidRDefault="00672C60">
      <w:pPr>
        <w:pStyle w:val="Default"/>
        <w:rPr>
          <w:rFonts w:asciiTheme="minorHAnsi" w:hAnsiTheme="minorHAnsi" w:cstheme="minorBidi"/>
          <w:color w:val="auto"/>
          <w:sz w:val="22"/>
          <w:szCs w:val="22"/>
          <w:lang w:val="en-AU"/>
        </w:rPr>
      </w:pPr>
    </w:p>
    <w:p w14:paraId="3F5B8AC4" w14:textId="00502CF9" w:rsidR="00672C60" w:rsidRPr="00672C60" w:rsidRDefault="008D2A83" w:rsidP="00672C60">
      <w:pPr>
        <w:pStyle w:val="Default"/>
        <w:rPr>
          <w:rFonts w:asciiTheme="minorHAnsi" w:hAnsiTheme="minorHAnsi" w:cstheme="minorBidi"/>
          <w:color w:val="auto"/>
          <w:sz w:val="22"/>
          <w:szCs w:val="22"/>
          <w:lang w:val="en-AU"/>
        </w:rPr>
      </w:pPr>
      <w:r>
        <w:rPr>
          <w:rFonts w:asciiTheme="minorHAnsi" w:hAnsiTheme="minorHAnsi" w:cstheme="minorBidi"/>
          <w:color w:val="auto"/>
          <w:sz w:val="22"/>
          <w:szCs w:val="22"/>
          <w:lang w:val="en-AU"/>
        </w:rPr>
        <w:t>The implementation of Review recommendations</w:t>
      </w:r>
      <w:r w:rsidR="00672C60" w:rsidRPr="00672C60">
        <w:rPr>
          <w:rFonts w:asciiTheme="minorHAnsi" w:hAnsiTheme="minorHAnsi" w:cstheme="minorBidi"/>
          <w:color w:val="auto"/>
          <w:sz w:val="22"/>
          <w:szCs w:val="22"/>
          <w:lang w:val="en-AU"/>
        </w:rPr>
        <w:t xml:space="preserve"> </w:t>
      </w:r>
      <w:r>
        <w:rPr>
          <w:rFonts w:asciiTheme="minorHAnsi" w:hAnsiTheme="minorHAnsi" w:cstheme="minorBidi"/>
          <w:color w:val="auto"/>
          <w:sz w:val="22"/>
          <w:szCs w:val="22"/>
          <w:lang w:val="en-AU"/>
        </w:rPr>
        <w:t>w</w:t>
      </w:r>
      <w:r w:rsidR="00CE2BD6">
        <w:rPr>
          <w:rFonts w:asciiTheme="minorHAnsi" w:hAnsiTheme="minorHAnsi" w:cstheme="minorBidi"/>
          <w:color w:val="auto"/>
          <w:sz w:val="22"/>
          <w:szCs w:val="22"/>
          <w:lang w:val="en-AU"/>
        </w:rPr>
        <w:t>ill</w:t>
      </w:r>
      <w:r w:rsidR="00672C60" w:rsidRPr="00672C60">
        <w:rPr>
          <w:rFonts w:asciiTheme="minorHAnsi" w:hAnsiTheme="minorHAnsi" w:cstheme="minorBidi"/>
          <w:color w:val="auto"/>
          <w:sz w:val="22"/>
          <w:szCs w:val="22"/>
          <w:lang w:val="en-AU"/>
        </w:rPr>
        <w:t xml:space="preserve"> result in changes to the HSR System and the graphics that consumers see on some products. This </w:t>
      </w:r>
      <w:r w:rsidR="00CE2BD6">
        <w:rPr>
          <w:rFonts w:asciiTheme="minorHAnsi" w:hAnsiTheme="minorHAnsi" w:cstheme="minorBidi"/>
          <w:color w:val="auto"/>
          <w:sz w:val="22"/>
          <w:szCs w:val="22"/>
          <w:lang w:val="en-AU"/>
        </w:rPr>
        <w:t>has the</w:t>
      </w:r>
      <w:r w:rsidR="00672C60" w:rsidRPr="00672C60">
        <w:rPr>
          <w:rFonts w:asciiTheme="minorHAnsi" w:hAnsiTheme="minorHAnsi" w:cstheme="minorBidi"/>
          <w:color w:val="auto"/>
          <w:sz w:val="22"/>
          <w:szCs w:val="22"/>
          <w:lang w:val="en-AU"/>
        </w:rPr>
        <w:t xml:space="preserve"> potential</w:t>
      </w:r>
      <w:r w:rsidR="00CE2BD6">
        <w:rPr>
          <w:rFonts w:asciiTheme="minorHAnsi" w:hAnsiTheme="minorHAnsi" w:cstheme="minorBidi"/>
          <w:color w:val="auto"/>
          <w:sz w:val="22"/>
          <w:szCs w:val="22"/>
          <w:lang w:val="en-AU"/>
        </w:rPr>
        <w:t xml:space="preserve"> to</w:t>
      </w:r>
      <w:r w:rsidR="00672C60" w:rsidRPr="00672C60">
        <w:rPr>
          <w:rFonts w:asciiTheme="minorHAnsi" w:hAnsiTheme="minorHAnsi" w:cstheme="minorBidi"/>
          <w:color w:val="auto"/>
          <w:sz w:val="22"/>
          <w:szCs w:val="22"/>
          <w:lang w:val="en-AU"/>
        </w:rPr>
        <w:t xml:space="preserve"> generate confusion during the transition period, which must be addressed by clear messaging advising consumers that changes are being made to </w:t>
      </w:r>
      <w:r w:rsidR="00C626CB">
        <w:rPr>
          <w:rFonts w:asciiTheme="minorHAnsi" w:hAnsiTheme="minorHAnsi" w:cstheme="minorBidi"/>
          <w:color w:val="auto"/>
          <w:sz w:val="22"/>
          <w:szCs w:val="22"/>
          <w:lang w:val="en-AU"/>
        </w:rPr>
        <w:t xml:space="preserve">improve </w:t>
      </w:r>
      <w:r w:rsidR="00672C60" w:rsidRPr="00672C60">
        <w:rPr>
          <w:rFonts w:asciiTheme="minorHAnsi" w:hAnsiTheme="minorHAnsi" w:cstheme="minorBidi"/>
          <w:color w:val="auto"/>
          <w:sz w:val="22"/>
          <w:szCs w:val="22"/>
          <w:lang w:val="en-AU"/>
        </w:rPr>
        <w:t xml:space="preserve">the System </w:t>
      </w:r>
      <w:r w:rsidR="00C626CB">
        <w:rPr>
          <w:rFonts w:asciiTheme="minorHAnsi" w:hAnsiTheme="minorHAnsi" w:cstheme="minorBidi"/>
          <w:color w:val="auto"/>
          <w:sz w:val="22"/>
          <w:szCs w:val="22"/>
          <w:lang w:val="en-AU"/>
        </w:rPr>
        <w:t xml:space="preserve">and make it easier for </w:t>
      </w:r>
      <w:r w:rsidR="00CE2BD6">
        <w:rPr>
          <w:rFonts w:asciiTheme="minorHAnsi" w:hAnsiTheme="minorHAnsi" w:cstheme="minorBidi"/>
          <w:color w:val="auto"/>
          <w:sz w:val="22"/>
          <w:szCs w:val="22"/>
          <w:lang w:val="en-AU"/>
        </w:rPr>
        <w:t>them</w:t>
      </w:r>
      <w:r w:rsidR="00C626CB">
        <w:rPr>
          <w:rFonts w:asciiTheme="minorHAnsi" w:hAnsiTheme="minorHAnsi" w:cstheme="minorBidi"/>
          <w:color w:val="auto"/>
          <w:sz w:val="22"/>
          <w:szCs w:val="22"/>
          <w:lang w:val="en-AU"/>
        </w:rPr>
        <w:t xml:space="preserve"> to make healthier choices.</w:t>
      </w:r>
    </w:p>
    <w:p w14:paraId="35E7654F" w14:textId="77777777" w:rsidR="00672C60" w:rsidRPr="00672C60" w:rsidRDefault="00672C60" w:rsidP="00672C60">
      <w:pPr>
        <w:pStyle w:val="Default"/>
        <w:rPr>
          <w:rFonts w:asciiTheme="minorHAnsi" w:hAnsiTheme="minorHAnsi" w:cstheme="minorBidi"/>
          <w:color w:val="auto"/>
          <w:sz w:val="22"/>
          <w:szCs w:val="22"/>
          <w:lang w:val="en-AU"/>
        </w:rPr>
      </w:pPr>
    </w:p>
    <w:p w14:paraId="092654F4" w14:textId="00770E3C" w:rsidR="00672C60" w:rsidRPr="00CC1ADD" w:rsidRDefault="00672C60" w:rsidP="00672C60">
      <w:pPr>
        <w:pStyle w:val="Default"/>
        <w:rPr>
          <w:rFonts w:asciiTheme="minorHAnsi" w:hAnsiTheme="minorHAnsi" w:cstheme="minorBidi"/>
          <w:color w:val="auto"/>
          <w:sz w:val="22"/>
          <w:szCs w:val="22"/>
          <w:lang w:val="en-AU"/>
        </w:rPr>
      </w:pPr>
      <w:r w:rsidRPr="00672C60">
        <w:rPr>
          <w:rFonts w:asciiTheme="minorHAnsi" w:hAnsiTheme="minorHAnsi" w:cstheme="minorBidi"/>
          <w:color w:val="auto"/>
          <w:sz w:val="22"/>
          <w:szCs w:val="22"/>
          <w:lang w:val="en-AU"/>
        </w:rPr>
        <w:t xml:space="preserve">The Review recommends that the HSRAC and the SMAG in Australia and the MPI and HPA in New Zealand work with creative agencies to identify simple messages to explain to consumers that they may see changes to </w:t>
      </w:r>
      <w:r w:rsidR="00C626CB">
        <w:rPr>
          <w:rFonts w:asciiTheme="minorHAnsi" w:hAnsiTheme="minorHAnsi" w:cstheme="minorBidi"/>
          <w:color w:val="auto"/>
          <w:sz w:val="22"/>
          <w:szCs w:val="22"/>
          <w:lang w:val="en-AU"/>
        </w:rPr>
        <w:t>HSRs,</w:t>
      </w:r>
      <w:r w:rsidRPr="00672C60">
        <w:rPr>
          <w:rFonts w:asciiTheme="minorHAnsi" w:hAnsiTheme="minorHAnsi" w:cstheme="minorBidi"/>
          <w:color w:val="auto"/>
          <w:sz w:val="22"/>
          <w:szCs w:val="22"/>
          <w:lang w:val="en-AU"/>
        </w:rPr>
        <w:t xml:space="preserve"> and this reflects the fact that improvements have been made to the System to better meet their needs.</w:t>
      </w:r>
    </w:p>
    <w:p w14:paraId="2B631CD5" w14:textId="1455D31A" w:rsidR="00227857" w:rsidRDefault="00227857">
      <w:pPr>
        <w:pStyle w:val="Default"/>
        <w:rPr>
          <w:rFonts w:asciiTheme="minorHAnsi" w:hAnsiTheme="minorHAnsi" w:cstheme="minorBidi"/>
          <w:color w:val="auto"/>
          <w:sz w:val="22"/>
          <w:szCs w:val="22"/>
          <w:lang w:val="en-AU"/>
        </w:rPr>
      </w:pPr>
    </w:p>
    <w:p w14:paraId="3B903701" w14:textId="64D3DF40" w:rsidR="00227857" w:rsidRDefault="004501A1">
      <w:pPr>
        <w:pStyle w:val="Default"/>
        <w:rPr>
          <w:rFonts w:asciiTheme="minorHAnsi" w:hAnsiTheme="minorHAnsi" w:cstheme="minorBidi"/>
          <w:color w:val="auto"/>
          <w:sz w:val="22"/>
          <w:szCs w:val="22"/>
          <w:lang w:val="en-AU"/>
        </w:rPr>
      </w:pPr>
      <w:r>
        <w:rPr>
          <w:rFonts w:asciiTheme="minorHAnsi" w:hAnsiTheme="minorHAnsi" w:cstheme="minorBidi"/>
          <w:color w:val="auto"/>
          <w:sz w:val="22"/>
          <w:szCs w:val="22"/>
          <w:lang w:val="en-AU"/>
        </w:rPr>
        <w:t>T</w:t>
      </w:r>
      <w:r w:rsidR="00227857">
        <w:rPr>
          <w:rFonts w:asciiTheme="minorHAnsi" w:hAnsiTheme="minorHAnsi" w:cstheme="minorBidi"/>
          <w:color w:val="auto"/>
          <w:sz w:val="22"/>
          <w:szCs w:val="22"/>
          <w:lang w:val="en-AU"/>
        </w:rPr>
        <w:t>he Review recommends that governments, industry, public health and consumer bodies continue to promote the HSR System</w:t>
      </w:r>
      <w:r w:rsidR="00090904">
        <w:rPr>
          <w:rFonts w:asciiTheme="minorHAnsi" w:hAnsiTheme="minorHAnsi" w:cstheme="minorBidi"/>
          <w:color w:val="auto"/>
          <w:sz w:val="22"/>
          <w:szCs w:val="22"/>
          <w:lang w:val="en-AU"/>
        </w:rPr>
        <w:t xml:space="preserve">. </w:t>
      </w:r>
      <w:r>
        <w:rPr>
          <w:rFonts w:asciiTheme="minorHAnsi" w:hAnsiTheme="minorHAnsi" w:cstheme="minorBidi"/>
          <w:color w:val="auto"/>
          <w:sz w:val="22"/>
          <w:szCs w:val="22"/>
          <w:lang w:val="en-AU"/>
        </w:rPr>
        <w:t xml:space="preserve">To realise the benefits of investment to-date (and to support the system through the upcoming period of change) </w:t>
      </w:r>
      <w:r w:rsidR="00090904">
        <w:rPr>
          <w:rFonts w:asciiTheme="minorHAnsi" w:hAnsiTheme="minorHAnsi" w:cstheme="minorBidi"/>
          <w:color w:val="auto"/>
          <w:sz w:val="22"/>
          <w:szCs w:val="22"/>
          <w:lang w:val="en-AU"/>
        </w:rPr>
        <w:t>Government investment should be targeted over the next two years to</w:t>
      </w:r>
      <w:r w:rsidR="00C626CB">
        <w:rPr>
          <w:rFonts w:asciiTheme="minorHAnsi" w:hAnsiTheme="minorHAnsi" w:cstheme="minorBidi"/>
          <w:color w:val="auto"/>
          <w:sz w:val="22"/>
          <w:szCs w:val="22"/>
          <w:lang w:val="en-AU"/>
        </w:rPr>
        <w:t>:</w:t>
      </w:r>
    </w:p>
    <w:p w14:paraId="77D121AA" w14:textId="77777777" w:rsidR="00227857" w:rsidRPr="00C626CB" w:rsidRDefault="00227857" w:rsidP="00227857">
      <w:pPr>
        <w:rPr>
          <w:sz w:val="22"/>
          <w:szCs w:val="22"/>
        </w:rPr>
      </w:pPr>
    </w:p>
    <w:p w14:paraId="2D056AF9" w14:textId="77777777" w:rsidR="00227857" w:rsidRPr="00090904" w:rsidRDefault="00227857" w:rsidP="0051716A">
      <w:pPr>
        <w:pStyle w:val="mpcbullets1"/>
        <w:keepNext w:val="0"/>
      </w:pPr>
      <w:r w:rsidRPr="00090904">
        <w:t xml:space="preserve">communicate simply the reason why changes are being made to improve the HSR System </w:t>
      </w:r>
    </w:p>
    <w:p w14:paraId="43E5A1CE" w14:textId="77777777" w:rsidR="00227857" w:rsidRPr="00090904" w:rsidRDefault="00227857" w:rsidP="0051716A">
      <w:pPr>
        <w:pStyle w:val="mpcbullets1"/>
        <w:keepNext w:val="0"/>
      </w:pPr>
      <w:r w:rsidRPr="00090904">
        <w:t>target specific areas of consumer misunderstanding or gaps in awareness and highlight government endorsement of the HSR System</w:t>
      </w:r>
    </w:p>
    <w:p w14:paraId="5B7D4363" w14:textId="77777777" w:rsidR="00227857" w:rsidRPr="00090904" w:rsidRDefault="00227857" w:rsidP="0051716A">
      <w:pPr>
        <w:pStyle w:val="mpcbullets1"/>
        <w:keepNext w:val="0"/>
      </w:pPr>
      <w:r w:rsidRPr="00090904">
        <w:t xml:space="preserve">be responsive to the outcomes of monitoring and public criticism of the HSR System </w:t>
      </w:r>
    </w:p>
    <w:p w14:paraId="28F00251" w14:textId="2721C81E" w:rsidR="00672C60" w:rsidRDefault="00672C60" w:rsidP="0051716A">
      <w:pPr>
        <w:pStyle w:val="mpcbullets1"/>
        <w:rPr>
          <w:rFonts w:cstheme="minorBidi"/>
          <w:color w:val="auto"/>
        </w:rPr>
      </w:pPr>
      <w:r w:rsidRPr="00672C60">
        <w:t>highlight government endorsement of the HSR System</w:t>
      </w:r>
      <w:r w:rsidRPr="00672C60">
        <w:rPr>
          <w:rFonts w:cstheme="minorBidi"/>
          <w:color w:val="auto"/>
        </w:rPr>
        <w:t xml:space="preserve"> </w:t>
      </w:r>
    </w:p>
    <w:p w14:paraId="5606E9E2" w14:textId="5998BE87" w:rsidR="008D2A83" w:rsidRPr="00672C60" w:rsidRDefault="008D2A83" w:rsidP="00173A82">
      <w:pPr>
        <w:pStyle w:val="mpcbullets2"/>
      </w:pPr>
      <w:r>
        <w:t>Based on international practice, visible government endorsement of the HSR System has the potential to significantly improve consumer confidence in the System.</w:t>
      </w:r>
      <w:r w:rsidRPr="002D0DD5">
        <w:rPr>
          <w:rFonts w:cs="Calibri (Body)"/>
          <w:vertAlign w:val="superscript"/>
        </w:rPr>
        <w:footnoteReference w:id="50"/>
      </w:r>
    </w:p>
    <w:p w14:paraId="7A209A57" w14:textId="77777777" w:rsidR="00672C60" w:rsidRPr="00672C60" w:rsidRDefault="00090904" w:rsidP="0051716A">
      <w:pPr>
        <w:pStyle w:val="mpcbullets1"/>
        <w:keepNext w:val="0"/>
      </w:pPr>
      <w:r w:rsidRPr="00090904">
        <w:t xml:space="preserve">be positioned in the context of broader healthy eating messages </w:t>
      </w:r>
    </w:p>
    <w:p w14:paraId="04EAF915" w14:textId="7CB48B23" w:rsidR="00B36208" w:rsidRPr="00CC1ADD" w:rsidRDefault="00227857" w:rsidP="0051716A">
      <w:pPr>
        <w:pStyle w:val="mpcbullets1"/>
        <w:keepNext w:val="0"/>
      </w:pPr>
      <w:r w:rsidRPr="00090904">
        <w:t xml:space="preserve">continue to </w:t>
      </w:r>
      <w:r w:rsidR="00090904" w:rsidRPr="00090904">
        <w:t>include a range o</w:t>
      </w:r>
      <w:r w:rsidR="00CE2BD6">
        <w:t>f</w:t>
      </w:r>
      <w:r w:rsidR="00090904" w:rsidRPr="00090904">
        <w:t xml:space="preserve"> readily accessible, reliable resources that stakeholders can use to inform their own promotion of the HSR System</w:t>
      </w:r>
      <w:r w:rsidR="00CE2BD6">
        <w:t>.</w:t>
      </w:r>
      <w:r w:rsidR="00090904" w:rsidRPr="00090904">
        <w:t xml:space="preserve"> </w:t>
      </w:r>
    </w:p>
    <w:p w14:paraId="0CDEBA90" w14:textId="366B6707" w:rsidR="000A3464" w:rsidRPr="00CC1ADD" w:rsidRDefault="00B36208">
      <w:pPr>
        <w:pStyle w:val="mpcheading1"/>
        <w:spacing w:after="0"/>
      </w:pPr>
      <w:r w:rsidRPr="00CC1ADD">
        <w:br w:type="column"/>
      </w:r>
      <w:bookmarkStart w:id="94" w:name="Chapter5"/>
      <w:bookmarkStart w:id="95" w:name="_Toc9955055"/>
      <w:bookmarkEnd w:id="94"/>
      <w:r w:rsidR="000A3464" w:rsidRPr="00CC1ADD">
        <w:t>Chapter 5 – The Health Star Rating Calculator</w:t>
      </w:r>
      <w:bookmarkEnd w:id="95"/>
    </w:p>
    <w:p w14:paraId="57A7D105" w14:textId="77777777" w:rsidR="000A3464" w:rsidRPr="00CC1ADD" w:rsidRDefault="000A3464" w:rsidP="005711B7">
      <w:pPr>
        <w:pStyle w:val="mpcNormal"/>
        <w:keepNext w:val="0"/>
      </w:pPr>
    </w:p>
    <w:p w14:paraId="5C0A9B2F" w14:textId="77777777" w:rsidR="000A3464" w:rsidRPr="00CC1ADD" w:rsidRDefault="000A3464" w:rsidP="005A3631">
      <w:pPr>
        <w:pStyle w:val="mpcheading2"/>
        <w:spacing w:after="0"/>
        <w:rPr>
          <w:szCs w:val="22"/>
        </w:rPr>
      </w:pPr>
      <w:bookmarkStart w:id="96" w:name="Summary5"/>
      <w:bookmarkStart w:id="97" w:name="_Toc9955056"/>
      <w:bookmarkEnd w:id="96"/>
      <w:r w:rsidRPr="00CC1ADD">
        <w:rPr>
          <w:szCs w:val="22"/>
        </w:rPr>
        <w:t>Summary</w:t>
      </w:r>
      <w:bookmarkEnd w:id="97"/>
    </w:p>
    <w:p w14:paraId="1DF04945" w14:textId="77777777" w:rsidR="000A3464" w:rsidRPr="00CC1ADD" w:rsidRDefault="000A3464" w:rsidP="005711B7">
      <w:pPr>
        <w:pStyle w:val="mpcNormal"/>
        <w:keepNext w:val="0"/>
      </w:pPr>
    </w:p>
    <w:p w14:paraId="2637A4D3" w14:textId="77777777" w:rsidR="000A3464" w:rsidRPr="00CC1ADD" w:rsidRDefault="000A3464" w:rsidP="002D01CF">
      <w:pPr>
        <w:pStyle w:val="mpcNormal"/>
        <w:keepNext w:val="0"/>
      </w:pPr>
      <w:r w:rsidRPr="00CC1ADD">
        <w:t>As discussed in Chapter 3, the HSR System is generally performing well in terms of uptake, consumer awareness and use, and driving positive reformulation. TAG modelling and other research also indicates that the HSR System broadly aligns with Dietary Guidelines in terms of calculating HSRs in line with scientific evidence regarding nutrition. There are, however, some areas where:</w:t>
      </w:r>
    </w:p>
    <w:p w14:paraId="3FBAF471" w14:textId="77777777" w:rsidR="000A3464" w:rsidRPr="00CC1ADD" w:rsidRDefault="000A3464" w:rsidP="002D01CF">
      <w:pPr>
        <w:pStyle w:val="mpcNormal"/>
        <w:keepNext w:val="0"/>
      </w:pPr>
    </w:p>
    <w:p w14:paraId="024058F7" w14:textId="77777777" w:rsidR="000A3464" w:rsidRPr="00CC1ADD" w:rsidRDefault="000A3464" w:rsidP="007E0D2C">
      <w:pPr>
        <w:pStyle w:val="mpcbullets1"/>
      </w:pPr>
      <w:r w:rsidRPr="00CC1ADD">
        <w:t xml:space="preserve">the HSR Calculator does not perform as expected </w:t>
      </w:r>
    </w:p>
    <w:p w14:paraId="79A19AE6" w14:textId="77777777" w:rsidR="000A3464" w:rsidRPr="00CC1ADD" w:rsidRDefault="000A3464" w:rsidP="007E0D2C">
      <w:pPr>
        <w:pStyle w:val="mpcbullets1"/>
      </w:pPr>
      <w:r w:rsidRPr="00CC1ADD">
        <w:t>Dietary Guidelines do not align with consumer expectations and consumers have expressed concerns about the HSR on certain products</w:t>
      </w:r>
    </w:p>
    <w:p w14:paraId="47C058FA" w14:textId="77777777" w:rsidR="000A3464" w:rsidRPr="00CC1ADD" w:rsidRDefault="000A3464" w:rsidP="007E0D2C">
      <w:pPr>
        <w:pStyle w:val="mpcbullets1"/>
      </w:pPr>
      <w:r w:rsidRPr="00CC1ADD">
        <w:t>changes could be made to reflect current nutrition science, address legitimate stakeholder concerns about the System and further drive uptake and positive reformulation by manufacturers.</w:t>
      </w:r>
    </w:p>
    <w:p w14:paraId="39223D1F" w14:textId="77777777" w:rsidR="000A3464" w:rsidRPr="00CC1ADD" w:rsidRDefault="000A3464" w:rsidP="005711B7">
      <w:pPr>
        <w:pStyle w:val="mpcNormal"/>
        <w:keepNext w:val="0"/>
      </w:pPr>
    </w:p>
    <w:p w14:paraId="718FA0FB" w14:textId="1285FE0A" w:rsidR="000A3464" w:rsidRPr="00CC1ADD" w:rsidRDefault="000A3464" w:rsidP="005711B7">
      <w:pPr>
        <w:pStyle w:val="mpcNormal"/>
        <w:keepNext w:val="0"/>
      </w:pPr>
      <w:r w:rsidRPr="00CC1ADD">
        <w:t xml:space="preserve">Based on the above, the Review recommends a package of </w:t>
      </w:r>
      <w:r w:rsidR="00BF11EE">
        <w:t>S</w:t>
      </w:r>
      <w:r w:rsidRPr="00CC1ADD">
        <w:t>ystem enhancements that achieve the following outcomes.</w:t>
      </w:r>
      <w:r w:rsidR="006C6A0E">
        <w:t xml:space="preserve"> </w:t>
      </w:r>
    </w:p>
    <w:p w14:paraId="2E1FAB68" w14:textId="77777777" w:rsidR="000A3464" w:rsidRPr="00CC1ADD" w:rsidRDefault="000A3464" w:rsidP="005711B7">
      <w:pPr>
        <w:pStyle w:val="mpcNormal"/>
        <w:keepNext w:val="0"/>
      </w:pPr>
    </w:p>
    <w:p w14:paraId="0FFF6FC1" w14:textId="634B7A89" w:rsidR="000A3464" w:rsidRPr="00CC1ADD" w:rsidRDefault="000A3464" w:rsidP="005A3631">
      <w:pPr>
        <w:rPr>
          <w:rFonts w:cstheme="minorHAnsi"/>
          <w:b/>
          <w:sz w:val="22"/>
          <w:szCs w:val="22"/>
        </w:rPr>
      </w:pPr>
      <w:r w:rsidRPr="00CC1ADD">
        <w:rPr>
          <w:rFonts w:cstheme="minorHAnsi"/>
          <w:b/>
          <w:sz w:val="22"/>
          <w:szCs w:val="22"/>
        </w:rPr>
        <w:t>Improve</w:t>
      </w:r>
      <w:r w:rsidR="00A84FB4">
        <w:rPr>
          <w:rFonts w:cstheme="minorHAnsi"/>
          <w:b/>
          <w:sz w:val="22"/>
          <w:szCs w:val="22"/>
        </w:rPr>
        <w:t>d</w:t>
      </w:r>
      <w:r w:rsidRPr="00CC1ADD">
        <w:rPr>
          <w:rFonts w:cstheme="minorHAnsi"/>
          <w:b/>
          <w:sz w:val="22"/>
          <w:szCs w:val="22"/>
        </w:rPr>
        <w:t xml:space="preserve"> alignment with Dietary Guidelines </w:t>
      </w:r>
    </w:p>
    <w:p w14:paraId="556EF0B7" w14:textId="77777777" w:rsidR="000A3464" w:rsidRPr="00CC1ADD" w:rsidRDefault="000A3464">
      <w:pPr>
        <w:rPr>
          <w:rFonts w:cstheme="minorHAnsi"/>
          <w:sz w:val="22"/>
          <w:szCs w:val="22"/>
        </w:rPr>
      </w:pPr>
    </w:p>
    <w:p w14:paraId="1C157FC3" w14:textId="77777777" w:rsidR="000A3464" w:rsidRPr="00CC1ADD" w:rsidRDefault="000A3464">
      <w:pPr>
        <w:rPr>
          <w:rFonts w:cstheme="minorHAnsi"/>
          <w:sz w:val="22"/>
          <w:szCs w:val="22"/>
        </w:rPr>
      </w:pPr>
      <w:r w:rsidRPr="00CC1ADD">
        <w:rPr>
          <w:rFonts w:cstheme="minorHAnsi"/>
          <w:sz w:val="22"/>
          <w:szCs w:val="22"/>
        </w:rPr>
        <w:t>The proposed changes better align with Dietary Guidelines by:</w:t>
      </w:r>
    </w:p>
    <w:p w14:paraId="7FD3292A" w14:textId="77777777" w:rsidR="000A3464" w:rsidRPr="00CC1ADD" w:rsidRDefault="000A3464">
      <w:pPr>
        <w:rPr>
          <w:rFonts w:cstheme="minorHAnsi"/>
          <w:sz w:val="22"/>
          <w:szCs w:val="22"/>
        </w:rPr>
      </w:pPr>
    </w:p>
    <w:p w14:paraId="62DF1B7A" w14:textId="77777777" w:rsidR="000A3464" w:rsidRPr="00CC1ADD" w:rsidRDefault="000A3464" w:rsidP="007C5D73">
      <w:pPr>
        <w:pStyle w:val="ListParagraph"/>
        <w:numPr>
          <w:ilvl w:val="0"/>
          <w:numId w:val="21"/>
        </w:numPr>
        <w:rPr>
          <w:rFonts w:cstheme="minorHAnsi"/>
          <w:sz w:val="22"/>
          <w:szCs w:val="22"/>
        </w:rPr>
      </w:pPr>
      <w:r w:rsidRPr="00CC1ADD">
        <w:rPr>
          <w:rFonts w:cstheme="minorHAnsi"/>
          <w:sz w:val="22"/>
          <w:szCs w:val="22"/>
        </w:rPr>
        <w:t>ensuring that fruits and vegetables that are fresh, frozen or canned without added fat, sugars or sodium receive an HSR of 5</w:t>
      </w:r>
    </w:p>
    <w:p w14:paraId="242E14D4" w14:textId="0CE29F79" w:rsidR="000A3464" w:rsidRPr="00CC1ADD" w:rsidRDefault="000A3464" w:rsidP="007C5D73">
      <w:pPr>
        <w:pStyle w:val="ListParagraph"/>
        <w:numPr>
          <w:ilvl w:val="0"/>
          <w:numId w:val="21"/>
        </w:numPr>
        <w:rPr>
          <w:rFonts w:cstheme="minorHAnsi"/>
          <w:sz w:val="22"/>
          <w:szCs w:val="22"/>
        </w:rPr>
      </w:pPr>
      <w:r w:rsidRPr="00CC1ADD">
        <w:rPr>
          <w:rFonts w:cstheme="minorHAnsi"/>
          <w:sz w:val="22"/>
          <w:szCs w:val="22"/>
        </w:rPr>
        <w:t xml:space="preserve">increasing the HSRs of FFG dairy </w:t>
      </w:r>
      <w:r w:rsidR="00E11933">
        <w:rPr>
          <w:rFonts w:cstheme="minorHAnsi"/>
          <w:sz w:val="22"/>
          <w:szCs w:val="22"/>
        </w:rPr>
        <w:t>foods</w:t>
      </w:r>
      <w:r w:rsidRPr="00CC1ADD">
        <w:rPr>
          <w:rFonts w:cstheme="minorHAnsi"/>
          <w:sz w:val="22"/>
          <w:szCs w:val="22"/>
        </w:rPr>
        <w:t xml:space="preserve"> (such as yoghurts and cheeses), while reducing the HSRs for less healthy alternatives</w:t>
      </w:r>
    </w:p>
    <w:p w14:paraId="16E1C603" w14:textId="77777777" w:rsidR="000A3464" w:rsidRPr="00CC1ADD" w:rsidRDefault="000A3464" w:rsidP="007C5D73">
      <w:pPr>
        <w:pStyle w:val="ListParagraph"/>
        <w:numPr>
          <w:ilvl w:val="0"/>
          <w:numId w:val="21"/>
        </w:numPr>
        <w:rPr>
          <w:rFonts w:cstheme="minorHAnsi"/>
          <w:sz w:val="22"/>
          <w:szCs w:val="22"/>
        </w:rPr>
      </w:pPr>
      <w:r w:rsidRPr="00CC1ADD">
        <w:rPr>
          <w:rFonts w:cstheme="minorHAnsi"/>
          <w:sz w:val="22"/>
          <w:szCs w:val="22"/>
        </w:rPr>
        <w:t>strengthening the negative impact of total sugars and high levels of sodium in the HSR Calculator, consistent with Dietary Guideline recommendations to limit intake of foods containing added salt and sugars</w:t>
      </w:r>
    </w:p>
    <w:p w14:paraId="6E760F05" w14:textId="77777777" w:rsidR="000A3464" w:rsidRPr="00CC1ADD" w:rsidRDefault="000A3464" w:rsidP="007C5D73">
      <w:pPr>
        <w:pStyle w:val="ListParagraph"/>
        <w:numPr>
          <w:ilvl w:val="0"/>
          <w:numId w:val="21"/>
        </w:numPr>
        <w:rPr>
          <w:rFonts w:cstheme="minorHAnsi"/>
          <w:sz w:val="22"/>
          <w:szCs w:val="22"/>
        </w:rPr>
      </w:pPr>
      <w:r w:rsidRPr="00CC1ADD">
        <w:rPr>
          <w:rFonts w:cstheme="minorHAnsi"/>
          <w:sz w:val="22"/>
          <w:szCs w:val="22"/>
        </w:rPr>
        <w:t>providing a more nuanced way of calculating the HSRs for non-dairy beverages, such that products high in sugars have lower HSRs than water and similar products.</w:t>
      </w:r>
    </w:p>
    <w:p w14:paraId="422B19EB" w14:textId="77777777" w:rsidR="000A3464" w:rsidRPr="00CC1ADD" w:rsidRDefault="000A3464">
      <w:pPr>
        <w:rPr>
          <w:rFonts w:cstheme="minorHAnsi"/>
          <w:sz w:val="22"/>
          <w:szCs w:val="22"/>
        </w:rPr>
      </w:pPr>
    </w:p>
    <w:p w14:paraId="0A8E23D1" w14:textId="50B488B7" w:rsidR="000A3464" w:rsidRPr="00CC1ADD" w:rsidRDefault="000A3464">
      <w:pPr>
        <w:rPr>
          <w:rFonts w:cstheme="minorHAnsi"/>
          <w:sz w:val="22"/>
          <w:szCs w:val="22"/>
        </w:rPr>
      </w:pPr>
      <w:r w:rsidRPr="00CC1ADD">
        <w:rPr>
          <w:rFonts w:cstheme="minorHAnsi"/>
          <w:sz w:val="22"/>
          <w:szCs w:val="22"/>
        </w:rPr>
        <w:t xml:space="preserve">These changes would result in a greater proportion of FFG </w:t>
      </w:r>
      <w:r w:rsidRPr="0051716A">
        <w:rPr>
          <w:rFonts w:cstheme="minorHAnsi"/>
          <w:sz w:val="22"/>
          <w:szCs w:val="22"/>
        </w:rPr>
        <w:t xml:space="preserve">foods scoring HSRs of 3.5 and above, and a greater proportion of discretionary foods scoring HSRs of 3 and below. Based on modelling in the TAG database, the number of FFG </w:t>
      </w:r>
      <w:r w:rsidR="0030513A" w:rsidRPr="0051716A">
        <w:rPr>
          <w:rFonts w:cstheme="minorHAnsi"/>
          <w:sz w:val="22"/>
          <w:szCs w:val="22"/>
        </w:rPr>
        <w:t>foods</w:t>
      </w:r>
      <w:r w:rsidRPr="0051716A">
        <w:rPr>
          <w:rFonts w:cstheme="minorHAnsi"/>
          <w:sz w:val="22"/>
          <w:szCs w:val="22"/>
        </w:rPr>
        <w:t xml:space="preserve"> scoring 3.5 </w:t>
      </w:r>
      <w:r w:rsidR="00A84FB4" w:rsidRPr="0051716A">
        <w:rPr>
          <w:rFonts w:cstheme="minorHAnsi"/>
          <w:sz w:val="22"/>
          <w:szCs w:val="22"/>
        </w:rPr>
        <w:t xml:space="preserve">and above </w:t>
      </w:r>
      <w:r w:rsidRPr="0051716A">
        <w:rPr>
          <w:rFonts w:cstheme="minorHAnsi"/>
          <w:sz w:val="22"/>
          <w:szCs w:val="22"/>
        </w:rPr>
        <w:t>would increase from 2,479 to 2,</w:t>
      </w:r>
      <w:r w:rsidR="0051716A" w:rsidRPr="0051716A">
        <w:rPr>
          <w:rFonts w:cstheme="minorHAnsi"/>
          <w:sz w:val="22"/>
          <w:szCs w:val="22"/>
        </w:rPr>
        <w:t>696</w:t>
      </w:r>
      <w:r w:rsidRPr="0051716A">
        <w:rPr>
          <w:rFonts w:cstheme="minorHAnsi"/>
          <w:sz w:val="22"/>
          <w:szCs w:val="22"/>
        </w:rPr>
        <w:t xml:space="preserve"> and the number of discretionary </w:t>
      </w:r>
      <w:r w:rsidR="0030513A" w:rsidRPr="0051716A">
        <w:rPr>
          <w:rFonts w:cstheme="minorHAnsi"/>
          <w:sz w:val="22"/>
          <w:szCs w:val="22"/>
        </w:rPr>
        <w:t>foods</w:t>
      </w:r>
      <w:r w:rsidRPr="0051716A">
        <w:rPr>
          <w:rFonts w:cstheme="minorHAnsi"/>
          <w:sz w:val="22"/>
          <w:szCs w:val="22"/>
        </w:rPr>
        <w:t xml:space="preserve"> scoring </w:t>
      </w:r>
      <w:r w:rsidR="00A84FB4" w:rsidRPr="0051716A">
        <w:rPr>
          <w:rFonts w:cstheme="minorHAnsi"/>
          <w:sz w:val="22"/>
          <w:szCs w:val="22"/>
        </w:rPr>
        <w:t>less than</w:t>
      </w:r>
      <w:r w:rsidRPr="0051716A">
        <w:rPr>
          <w:rFonts w:cstheme="minorHAnsi"/>
          <w:sz w:val="22"/>
          <w:szCs w:val="22"/>
        </w:rPr>
        <w:t xml:space="preserve"> 3.5 would increase from 1,568 to 1,5</w:t>
      </w:r>
      <w:r w:rsidR="0051716A" w:rsidRPr="0051716A">
        <w:rPr>
          <w:rFonts w:cstheme="minorHAnsi"/>
          <w:sz w:val="22"/>
          <w:szCs w:val="22"/>
        </w:rPr>
        <w:t>92</w:t>
      </w:r>
      <w:r w:rsidRPr="0051716A">
        <w:rPr>
          <w:rFonts w:cstheme="minorHAnsi"/>
          <w:sz w:val="22"/>
          <w:szCs w:val="22"/>
        </w:rPr>
        <w:t>.</w:t>
      </w:r>
    </w:p>
    <w:p w14:paraId="0A00BB6E" w14:textId="77777777" w:rsidR="000A3464" w:rsidRPr="00CC1ADD" w:rsidRDefault="000A3464">
      <w:pPr>
        <w:rPr>
          <w:rFonts w:cstheme="minorHAnsi"/>
          <w:sz w:val="22"/>
          <w:szCs w:val="22"/>
        </w:rPr>
      </w:pPr>
    </w:p>
    <w:p w14:paraId="59232EC5" w14:textId="5FACF814" w:rsidR="000A3464" w:rsidRPr="00CC1ADD" w:rsidRDefault="000A3464">
      <w:pPr>
        <w:rPr>
          <w:rFonts w:cstheme="minorHAnsi"/>
          <w:b/>
          <w:sz w:val="22"/>
          <w:szCs w:val="22"/>
        </w:rPr>
      </w:pPr>
      <w:r w:rsidRPr="00CC1ADD">
        <w:rPr>
          <w:rFonts w:cstheme="minorHAnsi"/>
          <w:b/>
          <w:sz w:val="22"/>
          <w:szCs w:val="22"/>
        </w:rPr>
        <w:t>Increase</w:t>
      </w:r>
      <w:r w:rsidR="00A84FB4">
        <w:rPr>
          <w:rFonts w:cstheme="minorHAnsi"/>
          <w:b/>
          <w:sz w:val="22"/>
          <w:szCs w:val="22"/>
        </w:rPr>
        <w:t>d</w:t>
      </w:r>
      <w:r w:rsidRPr="00CC1ADD">
        <w:rPr>
          <w:rFonts w:cstheme="minorHAnsi"/>
          <w:b/>
          <w:sz w:val="22"/>
          <w:szCs w:val="22"/>
        </w:rPr>
        <w:t xml:space="preserve"> influence of total sugars on a product’s HSR</w:t>
      </w:r>
    </w:p>
    <w:p w14:paraId="35C6242B" w14:textId="77777777" w:rsidR="000A3464" w:rsidRPr="00CC1ADD" w:rsidRDefault="000A3464">
      <w:pPr>
        <w:rPr>
          <w:rFonts w:cstheme="minorHAnsi"/>
          <w:sz w:val="22"/>
          <w:szCs w:val="22"/>
        </w:rPr>
      </w:pPr>
    </w:p>
    <w:p w14:paraId="0D664EFB" w14:textId="746EE283" w:rsidR="000A3464" w:rsidRPr="00CC1ADD" w:rsidRDefault="000A3464" w:rsidP="007E0D2C">
      <w:pPr>
        <w:pStyle w:val="mpcbullets1"/>
        <w:numPr>
          <w:ilvl w:val="0"/>
          <w:numId w:val="0"/>
        </w:numPr>
        <w:rPr>
          <w:bCs/>
        </w:rPr>
      </w:pPr>
      <w:r w:rsidRPr="00CC1ADD">
        <w:t>The most significant area of stakeholder concern with respect to the HSR Calculator relates to the treatment of sugars, with concerns raised around the perceived i</w:t>
      </w:r>
      <w:r w:rsidRPr="00CC1ADD">
        <w:rPr>
          <w:bCs/>
        </w:rPr>
        <w:t xml:space="preserve">nappropriately high HSRs of some products with relatively high levels of sugars. This issue was most commonly raised in relation to breakfast cereals and ready to eat foods particularly in relation to some breakfast cereals with over </w:t>
      </w:r>
      <w:r w:rsidR="00AC4A89">
        <w:rPr>
          <w:bCs/>
        </w:rPr>
        <w:t>25</w:t>
      </w:r>
      <w:r w:rsidRPr="00CC1ADD">
        <w:rPr>
          <w:bCs/>
        </w:rPr>
        <w:t>g of sugars per 100g and some snack bars with over 20g of sugars per 100g scoring an HSR of 4.</w:t>
      </w:r>
    </w:p>
    <w:p w14:paraId="28F09FFE" w14:textId="77777777" w:rsidR="000A3464" w:rsidRPr="00CC1ADD" w:rsidRDefault="000A3464">
      <w:pPr>
        <w:rPr>
          <w:rFonts w:cstheme="minorHAnsi"/>
          <w:sz w:val="22"/>
          <w:szCs w:val="22"/>
        </w:rPr>
      </w:pPr>
    </w:p>
    <w:p w14:paraId="32369E94" w14:textId="422EC441" w:rsidR="000A3464" w:rsidRDefault="000A3464">
      <w:pPr>
        <w:rPr>
          <w:rFonts w:cstheme="minorHAnsi"/>
          <w:sz w:val="22"/>
          <w:szCs w:val="22"/>
        </w:rPr>
      </w:pPr>
      <w:r w:rsidRPr="00CC1ADD">
        <w:rPr>
          <w:rFonts w:cstheme="minorHAnsi"/>
          <w:sz w:val="22"/>
          <w:szCs w:val="22"/>
        </w:rPr>
        <w:t>While these HSRs are accurate based on the HSR Calculator, they do not align with consumer expectations, which has impacted confidence in the System.</w:t>
      </w:r>
      <w:r w:rsidRPr="00CC1ADD">
        <w:rPr>
          <w:rStyle w:val="FootnoteReference"/>
          <w:rFonts w:cstheme="minorHAnsi"/>
          <w:sz w:val="22"/>
          <w:szCs w:val="22"/>
        </w:rPr>
        <w:footnoteReference w:id="51"/>
      </w:r>
    </w:p>
    <w:p w14:paraId="172BBECB" w14:textId="044328AC" w:rsidR="0051716A" w:rsidRDefault="0051716A">
      <w:pPr>
        <w:rPr>
          <w:rFonts w:cstheme="minorHAnsi"/>
          <w:sz w:val="22"/>
          <w:szCs w:val="22"/>
        </w:rPr>
      </w:pPr>
    </w:p>
    <w:p w14:paraId="48D7A2DB" w14:textId="0CBC8733" w:rsidR="000A3464" w:rsidRPr="00CC1ADD" w:rsidRDefault="000A3464">
      <w:pPr>
        <w:rPr>
          <w:rFonts w:cstheme="minorHAnsi"/>
          <w:sz w:val="22"/>
          <w:szCs w:val="22"/>
        </w:rPr>
      </w:pPr>
      <w:r w:rsidRPr="00CC1ADD">
        <w:rPr>
          <w:rFonts w:cstheme="minorHAnsi"/>
          <w:sz w:val="22"/>
          <w:szCs w:val="22"/>
        </w:rPr>
        <w:t xml:space="preserve">Strengthening treatment of </w:t>
      </w:r>
      <w:r w:rsidRPr="00C37FC6">
        <w:rPr>
          <w:rFonts w:cstheme="minorHAnsi"/>
          <w:sz w:val="22"/>
          <w:szCs w:val="22"/>
        </w:rPr>
        <w:t>sugars</w:t>
      </w:r>
      <w:r w:rsidR="00D03694" w:rsidRPr="00C37FC6">
        <w:rPr>
          <w:rFonts w:cstheme="minorHAnsi"/>
          <w:sz w:val="22"/>
          <w:szCs w:val="22"/>
        </w:rPr>
        <w:t>,</w:t>
      </w:r>
      <w:r w:rsidRPr="00C37FC6">
        <w:rPr>
          <w:rFonts w:cstheme="minorHAnsi"/>
          <w:sz w:val="22"/>
          <w:szCs w:val="22"/>
        </w:rPr>
        <w:t xml:space="preserve"> </w:t>
      </w:r>
      <w:r w:rsidR="00D03694" w:rsidRPr="00C37FC6">
        <w:rPr>
          <w:rFonts w:cstheme="minorHAnsi"/>
          <w:sz w:val="22"/>
          <w:szCs w:val="22"/>
        </w:rPr>
        <w:t>while improving the HSRs of some fruits and vegetables and FFG dairy products (recognising their intrinsic sugars content), effectively targets foods with added sugars. This</w:t>
      </w:r>
      <w:r w:rsidR="00D03694">
        <w:rPr>
          <w:rFonts w:cstheme="minorHAnsi"/>
          <w:sz w:val="22"/>
          <w:szCs w:val="22"/>
        </w:rPr>
        <w:t xml:space="preserve"> </w:t>
      </w:r>
      <w:r w:rsidRPr="00CC1ADD">
        <w:rPr>
          <w:rFonts w:cstheme="minorHAnsi"/>
          <w:sz w:val="22"/>
          <w:szCs w:val="22"/>
        </w:rPr>
        <w:t>is consistent with Dietary Guideline recommendations to limit intake of foods with added sugars and the worldwide effort to reduce consumption of free sugars, noting the impact on energy and obesity.</w:t>
      </w:r>
    </w:p>
    <w:p w14:paraId="246690B3" w14:textId="77777777" w:rsidR="000A3464" w:rsidRPr="00CC1ADD" w:rsidRDefault="000A3464">
      <w:pPr>
        <w:rPr>
          <w:rFonts w:cstheme="minorHAnsi"/>
          <w:sz w:val="22"/>
          <w:szCs w:val="22"/>
        </w:rPr>
      </w:pPr>
    </w:p>
    <w:p w14:paraId="0DC9E544" w14:textId="3DA75490" w:rsidR="000A3464" w:rsidRPr="00CC1ADD" w:rsidRDefault="00E11933">
      <w:pPr>
        <w:rPr>
          <w:rFonts w:cstheme="minorHAnsi"/>
          <w:b/>
          <w:sz w:val="22"/>
          <w:szCs w:val="22"/>
        </w:rPr>
      </w:pPr>
      <w:r>
        <w:rPr>
          <w:rFonts w:cstheme="minorHAnsi"/>
          <w:b/>
          <w:sz w:val="22"/>
          <w:szCs w:val="22"/>
        </w:rPr>
        <w:t>A</w:t>
      </w:r>
      <w:r w:rsidR="000A3464" w:rsidRPr="00CC1ADD">
        <w:rPr>
          <w:rFonts w:cstheme="minorHAnsi"/>
          <w:b/>
          <w:sz w:val="22"/>
          <w:szCs w:val="22"/>
        </w:rPr>
        <w:t xml:space="preserve"> more nuanced way of calculating the HSRs for non-dairy beverages to better reflect their relative nutritional value</w:t>
      </w:r>
    </w:p>
    <w:p w14:paraId="156D2B10" w14:textId="77777777" w:rsidR="000A3464" w:rsidRPr="00CC1ADD" w:rsidRDefault="000A3464">
      <w:pPr>
        <w:rPr>
          <w:rFonts w:cstheme="minorHAnsi"/>
          <w:b/>
          <w:sz w:val="22"/>
          <w:szCs w:val="22"/>
        </w:rPr>
      </w:pPr>
    </w:p>
    <w:p w14:paraId="1819B19F" w14:textId="3035954A" w:rsidR="000A3464" w:rsidRPr="00CC1ADD" w:rsidRDefault="000A3464">
      <w:pPr>
        <w:rPr>
          <w:rFonts w:cstheme="minorHAnsi"/>
          <w:sz w:val="22"/>
          <w:szCs w:val="22"/>
        </w:rPr>
      </w:pPr>
      <w:r w:rsidRPr="00CC1ADD">
        <w:rPr>
          <w:rFonts w:cstheme="minorHAnsi"/>
          <w:sz w:val="22"/>
          <w:szCs w:val="22"/>
        </w:rPr>
        <w:t>The HSR Calculator does not work effectively to support consumers to choose healthier options in the non</w:t>
      </w:r>
      <w:r w:rsidRPr="00CC1ADD">
        <w:rPr>
          <w:rFonts w:cstheme="minorHAnsi"/>
          <w:sz w:val="22"/>
          <w:szCs w:val="22"/>
        </w:rPr>
        <w:noBreakHyphen/>
        <w:t>dairy beverages category. Dietary Guidelines clearly indicate water as the healthiest beverage</w:t>
      </w:r>
      <w:r w:rsidR="00880923">
        <w:rPr>
          <w:rFonts w:cstheme="minorHAnsi"/>
          <w:sz w:val="22"/>
          <w:szCs w:val="22"/>
        </w:rPr>
        <w:t xml:space="preserve"> and, due to a policy decision made prior to implementation of the System</w:t>
      </w:r>
      <w:r w:rsidR="0030513A">
        <w:rPr>
          <w:rFonts w:cstheme="minorHAnsi"/>
          <w:sz w:val="22"/>
          <w:szCs w:val="22"/>
        </w:rPr>
        <w:t>,</w:t>
      </w:r>
      <w:r w:rsidR="00880923">
        <w:rPr>
          <w:rFonts w:cstheme="minorHAnsi"/>
          <w:sz w:val="22"/>
          <w:szCs w:val="22"/>
        </w:rPr>
        <w:t xml:space="preserve"> water has an automatic HSR of 5. H</w:t>
      </w:r>
      <w:r w:rsidRPr="00CC1ADD">
        <w:rPr>
          <w:rFonts w:cstheme="minorHAnsi"/>
          <w:sz w:val="22"/>
          <w:szCs w:val="22"/>
        </w:rPr>
        <w:t>owever, beverages closest in nutritional profile to water score HSRs of around 2, while high sugar fruit juices can score HSR</w:t>
      </w:r>
      <w:r w:rsidR="00880923">
        <w:rPr>
          <w:rFonts w:cstheme="minorHAnsi"/>
          <w:sz w:val="22"/>
          <w:szCs w:val="22"/>
        </w:rPr>
        <w:t>s</w:t>
      </w:r>
      <w:r w:rsidRPr="00CC1ADD">
        <w:rPr>
          <w:rFonts w:cstheme="minorHAnsi"/>
          <w:sz w:val="22"/>
          <w:szCs w:val="22"/>
        </w:rPr>
        <w:t xml:space="preserve"> of 5. This is of particular concern given that 52% of free sugars in Australian diets</w:t>
      </w:r>
      <w:r w:rsidRPr="00CC1ADD">
        <w:rPr>
          <w:rStyle w:val="FootnoteReference"/>
          <w:rFonts w:cstheme="minorHAnsi"/>
          <w:sz w:val="22"/>
          <w:szCs w:val="22"/>
        </w:rPr>
        <w:footnoteReference w:id="52"/>
      </w:r>
      <w:r w:rsidRPr="00CC1ADD">
        <w:rPr>
          <w:rFonts w:cstheme="minorHAnsi"/>
          <w:sz w:val="22"/>
          <w:szCs w:val="22"/>
        </w:rPr>
        <w:t xml:space="preserve"> and 17% of total sugars in New Zealand diets</w:t>
      </w:r>
      <w:r w:rsidRPr="00CC1ADD">
        <w:rPr>
          <w:rStyle w:val="FootnoteReference"/>
          <w:rFonts w:cstheme="minorHAnsi"/>
          <w:sz w:val="22"/>
          <w:szCs w:val="22"/>
        </w:rPr>
        <w:footnoteReference w:id="53"/>
      </w:r>
      <w:r w:rsidRPr="00CC1ADD">
        <w:rPr>
          <w:rFonts w:cstheme="minorHAnsi"/>
          <w:sz w:val="22"/>
          <w:szCs w:val="22"/>
        </w:rPr>
        <w:t xml:space="preserve"> comes from </w:t>
      </w:r>
      <w:r w:rsidRPr="009959A5">
        <w:rPr>
          <w:rFonts w:cstheme="minorHAnsi"/>
          <w:sz w:val="22"/>
          <w:szCs w:val="22"/>
        </w:rPr>
        <w:t>non</w:t>
      </w:r>
      <w:r w:rsidR="009959A5" w:rsidRPr="009959A5">
        <w:rPr>
          <w:rFonts w:cstheme="minorHAnsi"/>
          <w:sz w:val="22"/>
          <w:szCs w:val="22"/>
        </w:rPr>
        <w:t>-dairy/non-alcoholic</w:t>
      </w:r>
      <w:r w:rsidR="00963D76" w:rsidRPr="009959A5">
        <w:rPr>
          <w:rFonts w:cstheme="minorHAnsi"/>
          <w:sz w:val="22"/>
          <w:szCs w:val="22"/>
        </w:rPr>
        <w:t xml:space="preserve"> </w:t>
      </w:r>
      <w:r w:rsidRPr="009959A5">
        <w:rPr>
          <w:rFonts w:cstheme="minorHAnsi"/>
          <w:sz w:val="22"/>
          <w:szCs w:val="22"/>
        </w:rPr>
        <w:t>beverages.</w:t>
      </w:r>
      <w:r w:rsidRPr="00CC1ADD">
        <w:rPr>
          <w:rFonts w:cstheme="minorHAnsi"/>
          <w:i/>
          <w:sz w:val="22"/>
          <w:szCs w:val="22"/>
        </w:rPr>
        <w:t xml:space="preserve"> </w:t>
      </w:r>
      <w:r w:rsidRPr="00CC1ADD">
        <w:rPr>
          <w:rFonts w:cstheme="minorHAnsi"/>
          <w:sz w:val="22"/>
          <w:szCs w:val="22"/>
        </w:rPr>
        <w:t>In Australia, the majority comes from soft drinks, electrolyte and energy drinks (19%), fruit and vegetable juices and drinks (13%) and cordials (</w:t>
      </w:r>
      <w:r w:rsidR="00E506E7">
        <w:rPr>
          <w:rFonts w:cstheme="minorHAnsi"/>
          <w:sz w:val="22"/>
          <w:szCs w:val="22"/>
        </w:rPr>
        <w:t>5</w:t>
      </w:r>
      <w:r w:rsidRPr="00CC1ADD">
        <w:rPr>
          <w:rFonts w:cstheme="minorHAnsi"/>
          <w:sz w:val="22"/>
          <w:szCs w:val="22"/>
        </w:rPr>
        <w:t>%)</w:t>
      </w:r>
      <w:r w:rsidRPr="00CC1ADD">
        <w:rPr>
          <w:rStyle w:val="FootnoteReference"/>
          <w:rFonts w:cstheme="minorHAnsi"/>
          <w:sz w:val="22"/>
          <w:szCs w:val="22"/>
        </w:rPr>
        <w:footnoteReference w:id="54"/>
      </w:r>
      <w:r w:rsidRPr="00CC1ADD">
        <w:rPr>
          <w:rFonts w:cstheme="minorHAnsi"/>
          <w:sz w:val="22"/>
          <w:szCs w:val="22"/>
        </w:rPr>
        <w:t>.</w:t>
      </w:r>
    </w:p>
    <w:p w14:paraId="2CBFEC11" w14:textId="77777777" w:rsidR="000A3464" w:rsidRPr="00CC1ADD" w:rsidRDefault="000A3464">
      <w:pPr>
        <w:rPr>
          <w:rFonts w:cstheme="minorHAnsi"/>
          <w:sz w:val="22"/>
          <w:szCs w:val="22"/>
        </w:rPr>
      </w:pPr>
    </w:p>
    <w:p w14:paraId="59D010B5" w14:textId="495CC924" w:rsidR="000A3464" w:rsidRDefault="000A3464">
      <w:pPr>
        <w:rPr>
          <w:rFonts w:cstheme="minorHAnsi"/>
          <w:sz w:val="22"/>
          <w:szCs w:val="22"/>
        </w:rPr>
      </w:pPr>
      <w:r w:rsidRPr="00CC1ADD">
        <w:rPr>
          <w:rFonts w:cstheme="minorHAnsi"/>
          <w:sz w:val="22"/>
          <w:szCs w:val="22"/>
        </w:rPr>
        <w:t xml:space="preserve">The Review recommends that changes be made to the HSR Calculator such that those products closest in nutritional profile to water, with the same hydrating qualities and no or low </w:t>
      </w:r>
      <w:r w:rsidR="009F61D7">
        <w:rPr>
          <w:rFonts w:cstheme="minorHAnsi"/>
          <w:sz w:val="22"/>
          <w:szCs w:val="22"/>
        </w:rPr>
        <w:t>kil</w:t>
      </w:r>
      <w:r w:rsidR="007C315B">
        <w:rPr>
          <w:rFonts w:cstheme="minorHAnsi"/>
          <w:sz w:val="22"/>
          <w:szCs w:val="22"/>
        </w:rPr>
        <w:t>o</w:t>
      </w:r>
      <w:r w:rsidR="009F61D7">
        <w:rPr>
          <w:rFonts w:cstheme="minorHAnsi"/>
          <w:sz w:val="22"/>
          <w:szCs w:val="22"/>
        </w:rPr>
        <w:t>joules</w:t>
      </w:r>
      <w:r w:rsidRPr="00CC1ADD">
        <w:rPr>
          <w:rFonts w:cstheme="minorHAnsi"/>
          <w:sz w:val="22"/>
          <w:szCs w:val="22"/>
        </w:rPr>
        <w:t xml:space="preserve"> (</w:t>
      </w:r>
      <w:r w:rsidR="0030513A">
        <w:rPr>
          <w:rFonts w:cstheme="minorHAnsi"/>
          <w:sz w:val="22"/>
          <w:szCs w:val="22"/>
        </w:rPr>
        <w:t>for example,</w:t>
      </w:r>
      <w:r w:rsidRPr="00CC1ADD">
        <w:rPr>
          <w:rFonts w:cstheme="minorHAnsi"/>
          <w:sz w:val="22"/>
          <w:szCs w:val="22"/>
        </w:rPr>
        <w:t xml:space="preserve"> unsweetened flavoured waters) would score high HSRs, followed by low sugar fruit and vegetable juices </w:t>
      </w:r>
      <w:r w:rsidR="00963D76">
        <w:rPr>
          <w:rFonts w:cstheme="minorHAnsi"/>
          <w:sz w:val="22"/>
          <w:szCs w:val="22"/>
        </w:rPr>
        <w:t xml:space="preserve">(such as tomato or grapefruit juices) </w:t>
      </w:r>
      <w:r w:rsidRPr="00CC1ADD">
        <w:rPr>
          <w:rFonts w:cstheme="minorHAnsi"/>
          <w:sz w:val="22"/>
          <w:szCs w:val="22"/>
        </w:rPr>
        <w:t>and other low sugar beverages, with high sugar beverages (</w:t>
      </w:r>
      <w:r w:rsidR="0030513A">
        <w:rPr>
          <w:rFonts w:cstheme="minorHAnsi"/>
          <w:sz w:val="22"/>
          <w:szCs w:val="22"/>
        </w:rPr>
        <w:t>for example,</w:t>
      </w:r>
      <w:r w:rsidR="0030513A" w:rsidRPr="00CC1ADD">
        <w:rPr>
          <w:rFonts w:cstheme="minorHAnsi"/>
          <w:sz w:val="22"/>
          <w:szCs w:val="22"/>
        </w:rPr>
        <w:t xml:space="preserve"> </w:t>
      </w:r>
      <w:r w:rsidRPr="00CC1ADD">
        <w:rPr>
          <w:rFonts w:cstheme="minorHAnsi"/>
          <w:sz w:val="22"/>
          <w:szCs w:val="22"/>
        </w:rPr>
        <w:t>soft drinks, sports drinks and iced teas) scoring low HSRs.</w:t>
      </w:r>
    </w:p>
    <w:p w14:paraId="53602582" w14:textId="77777777" w:rsidR="00963D76" w:rsidRPr="00CC1ADD" w:rsidRDefault="00963D76">
      <w:pPr>
        <w:rPr>
          <w:rFonts w:cstheme="minorHAnsi"/>
          <w:sz w:val="22"/>
          <w:szCs w:val="22"/>
        </w:rPr>
      </w:pPr>
    </w:p>
    <w:p w14:paraId="1E1DC300" w14:textId="77777777" w:rsidR="000A3464" w:rsidRPr="00CC1ADD" w:rsidRDefault="000A3464">
      <w:pPr>
        <w:rPr>
          <w:rFonts w:cstheme="minorHAnsi"/>
          <w:sz w:val="22"/>
          <w:szCs w:val="22"/>
        </w:rPr>
      </w:pPr>
      <w:r w:rsidRPr="00CC1ADD">
        <w:rPr>
          <w:rFonts w:cstheme="minorHAnsi"/>
          <w:sz w:val="22"/>
          <w:szCs w:val="22"/>
        </w:rPr>
        <w:t>This addresses ongoing stakeholder concerns and provides a solution in a category of products that are intrinsically difficult to nutritionally profile.</w:t>
      </w:r>
    </w:p>
    <w:p w14:paraId="76CEA945" w14:textId="77777777" w:rsidR="000A3464" w:rsidRPr="00CC1ADD" w:rsidRDefault="000A3464">
      <w:pPr>
        <w:rPr>
          <w:rFonts w:cstheme="minorHAnsi"/>
          <w:sz w:val="22"/>
          <w:szCs w:val="22"/>
        </w:rPr>
      </w:pPr>
    </w:p>
    <w:p w14:paraId="7140A6D6" w14:textId="396EC829" w:rsidR="000A3464" w:rsidRPr="00CC1ADD" w:rsidRDefault="00E11933">
      <w:pPr>
        <w:rPr>
          <w:rFonts w:cstheme="minorHAnsi"/>
          <w:b/>
          <w:sz w:val="22"/>
          <w:szCs w:val="22"/>
        </w:rPr>
      </w:pPr>
      <w:r>
        <w:rPr>
          <w:rFonts w:cstheme="minorHAnsi"/>
          <w:b/>
          <w:sz w:val="22"/>
          <w:szCs w:val="22"/>
        </w:rPr>
        <w:t>C</w:t>
      </w:r>
      <w:r w:rsidR="000A3464" w:rsidRPr="00CC1ADD">
        <w:rPr>
          <w:rFonts w:cstheme="minorHAnsi"/>
          <w:b/>
          <w:sz w:val="22"/>
          <w:szCs w:val="22"/>
        </w:rPr>
        <w:t>hanges to target some specific product categories identified as outliers</w:t>
      </w:r>
    </w:p>
    <w:p w14:paraId="584D59CD" w14:textId="77777777" w:rsidR="000A3464" w:rsidRPr="00CC1ADD" w:rsidRDefault="000A3464">
      <w:pPr>
        <w:rPr>
          <w:rFonts w:cstheme="minorHAnsi"/>
          <w:b/>
          <w:sz w:val="22"/>
          <w:szCs w:val="22"/>
        </w:rPr>
      </w:pPr>
    </w:p>
    <w:p w14:paraId="2A7AE344" w14:textId="513A0EB6" w:rsidR="000A3464" w:rsidRPr="00CC1ADD" w:rsidRDefault="000A3464">
      <w:pPr>
        <w:rPr>
          <w:rFonts w:cstheme="minorHAnsi"/>
          <w:sz w:val="22"/>
          <w:szCs w:val="22"/>
        </w:rPr>
      </w:pPr>
      <w:r w:rsidRPr="00CC1ADD">
        <w:rPr>
          <w:rFonts w:cstheme="minorHAnsi"/>
          <w:sz w:val="22"/>
          <w:szCs w:val="22"/>
        </w:rPr>
        <w:t>Research and modelling have identified some product types as outliers in that their HSRs are too low or too high relative to Dietary Guideline recommendations. Targeted changes have been made to address these areas of concern, including to:</w:t>
      </w:r>
    </w:p>
    <w:p w14:paraId="476D80B8" w14:textId="77777777" w:rsidR="000A3464" w:rsidRPr="00CC1ADD" w:rsidRDefault="000A3464">
      <w:pPr>
        <w:rPr>
          <w:rFonts w:cstheme="minorHAnsi"/>
          <w:sz w:val="22"/>
          <w:szCs w:val="22"/>
        </w:rPr>
      </w:pPr>
    </w:p>
    <w:p w14:paraId="4EEFE497" w14:textId="77777777" w:rsidR="000A3464" w:rsidRPr="00CC1ADD" w:rsidRDefault="000A3464" w:rsidP="007C5D73">
      <w:pPr>
        <w:pStyle w:val="ListParagraph"/>
        <w:numPr>
          <w:ilvl w:val="0"/>
          <w:numId w:val="22"/>
        </w:numPr>
        <w:rPr>
          <w:rFonts w:cstheme="minorHAnsi"/>
          <w:sz w:val="22"/>
          <w:szCs w:val="22"/>
        </w:rPr>
      </w:pPr>
      <w:r w:rsidRPr="00CC1ADD">
        <w:rPr>
          <w:rFonts w:cstheme="minorHAnsi"/>
          <w:sz w:val="22"/>
          <w:szCs w:val="22"/>
        </w:rPr>
        <w:t>increase the HSRs of FFG dairy foods such as yoghurts and cheeses, such that comparability is improved between similar dairy products</w:t>
      </w:r>
    </w:p>
    <w:p w14:paraId="6DCEE915" w14:textId="77777777" w:rsidR="000A3464" w:rsidRPr="00CC1ADD" w:rsidRDefault="000A3464" w:rsidP="007C5D73">
      <w:pPr>
        <w:pStyle w:val="ListParagraph"/>
        <w:numPr>
          <w:ilvl w:val="0"/>
          <w:numId w:val="22"/>
        </w:numPr>
        <w:rPr>
          <w:rFonts w:cstheme="minorHAnsi"/>
          <w:sz w:val="22"/>
          <w:szCs w:val="22"/>
        </w:rPr>
      </w:pPr>
      <w:r w:rsidRPr="00CC1ADD">
        <w:rPr>
          <w:rFonts w:cstheme="minorHAnsi"/>
          <w:sz w:val="22"/>
          <w:szCs w:val="22"/>
        </w:rPr>
        <w:t>decrease the HSRs for jellies and water-based ice confections so their HSRs align with nutritionally similar non</w:t>
      </w:r>
      <w:r w:rsidRPr="00CC1ADD">
        <w:rPr>
          <w:rFonts w:cstheme="minorHAnsi"/>
          <w:sz w:val="22"/>
          <w:szCs w:val="22"/>
        </w:rPr>
        <w:noBreakHyphen/>
        <w:t>dairy beverages.</w:t>
      </w:r>
    </w:p>
    <w:p w14:paraId="62435FE3" w14:textId="77777777" w:rsidR="004410ED" w:rsidRDefault="004410ED" w:rsidP="002D01CF">
      <w:pPr>
        <w:pStyle w:val="mpcNormal"/>
        <w:keepNext w:val="0"/>
      </w:pPr>
    </w:p>
    <w:p w14:paraId="68161B84" w14:textId="36AC105C" w:rsidR="00771605" w:rsidRDefault="00771605" w:rsidP="002D01CF">
      <w:pPr>
        <w:pStyle w:val="mpcNormal"/>
        <w:keepNext w:val="0"/>
      </w:pPr>
      <w:r w:rsidRPr="00372E4A">
        <w:t xml:space="preserve">The combination of recommended changes to the HSR Calculator described in this Chapter </w:t>
      </w:r>
      <w:r w:rsidR="006C6A0E" w:rsidRPr="00372E4A">
        <w:t xml:space="preserve">are interdependent to </w:t>
      </w:r>
      <w:r w:rsidRPr="00372E4A">
        <w:t>achieve the above outcomes and</w:t>
      </w:r>
      <w:r w:rsidR="002D01CF" w:rsidRPr="00372E4A">
        <w:t xml:space="preserve"> should </w:t>
      </w:r>
      <w:r w:rsidRPr="00372E4A">
        <w:t>be implemented as a consolidated package.</w:t>
      </w:r>
    </w:p>
    <w:p w14:paraId="70249356" w14:textId="31645C5E" w:rsidR="001F53B9" w:rsidRDefault="001F53B9" w:rsidP="002D01CF">
      <w:pPr>
        <w:pStyle w:val="mpcNormal"/>
        <w:keepNext w:val="0"/>
      </w:pPr>
    </w:p>
    <w:p w14:paraId="72385491" w14:textId="2895DE0D" w:rsidR="007C315B" w:rsidRDefault="007C315B" w:rsidP="002D01CF">
      <w:pPr>
        <w:pStyle w:val="mpcNormal"/>
        <w:keepNext w:val="0"/>
      </w:pPr>
      <w:r w:rsidRPr="008C0D71">
        <w:t xml:space="preserve">Over the course of the Review, many options for possible changes to the HSR System were explored. These </w:t>
      </w:r>
      <w:r w:rsidR="008C0D71" w:rsidRPr="008C0D71">
        <w:t xml:space="preserve">were </w:t>
      </w:r>
      <w:r w:rsidRPr="008C0D71">
        <w:t>discussed in consultation papers published prior to the Review Report</w:t>
      </w:r>
      <w:r w:rsidRPr="008C0D71">
        <w:rPr>
          <w:rStyle w:val="FootnoteReference"/>
        </w:rPr>
        <w:footnoteReference w:id="55"/>
      </w:r>
      <w:r w:rsidRPr="008C0D71">
        <w:t xml:space="preserve"> and are outlined in summary at </w:t>
      </w:r>
      <w:r w:rsidRPr="00BD0901">
        <w:rPr>
          <w:u w:val="single"/>
        </w:rPr>
        <w:t xml:space="preserve">Appendix </w:t>
      </w:r>
      <w:r w:rsidR="00F37134">
        <w:rPr>
          <w:u w:val="single"/>
        </w:rPr>
        <w:t>D</w:t>
      </w:r>
      <w:r w:rsidRPr="008C0D71">
        <w:t>.</w:t>
      </w:r>
    </w:p>
    <w:p w14:paraId="0D869C6C" w14:textId="77777777" w:rsidR="007C315B" w:rsidRPr="00CC1ADD" w:rsidRDefault="007C315B" w:rsidP="002D01CF">
      <w:pPr>
        <w:pStyle w:val="mpcNormal"/>
        <w:keepNext w:val="0"/>
      </w:pPr>
    </w:p>
    <w:tbl>
      <w:tblPr>
        <w:tblStyle w:val="TableGrid"/>
        <w:tblW w:w="0" w:type="auto"/>
        <w:tblLook w:val="04A0" w:firstRow="1" w:lastRow="0" w:firstColumn="1" w:lastColumn="0" w:noHBand="0" w:noVBand="1"/>
        <w:tblCaption w:val="Rec 4"/>
        <w:tblDescription w:val="Recommendation 4:  A package of changes be made to the way the HSR is calculated for foods to better align with Dietary Guidelines, reflect emerging evidence, address consumer concerns and encourage positive reformulation."/>
      </w:tblPr>
      <w:tblGrid>
        <w:gridCol w:w="9736"/>
      </w:tblGrid>
      <w:tr w:rsidR="000A3464" w:rsidRPr="00CC1ADD" w14:paraId="66185D1E" w14:textId="77777777" w:rsidTr="00E11933">
        <w:trPr>
          <w:trHeight w:val="1034"/>
        </w:trPr>
        <w:tc>
          <w:tcPr>
            <w:tcW w:w="9736" w:type="dxa"/>
            <w:tcBorders>
              <w:bottom w:val="single" w:sz="4" w:space="0" w:color="auto"/>
            </w:tcBorders>
            <w:shd w:val="clear" w:color="auto" w:fill="D9E2F3" w:themeFill="accent1" w:themeFillTint="33"/>
            <w:vAlign w:val="center"/>
          </w:tcPr>
          <w:p w14:paraId="23F416B8" w14:textId="71EF02F7" w:rsidR="000A3464" w:rsidRPr="001F53B9" w:rsidRDefault="001F53B9" w:rsidP="002D01CF">
            <w:pPr>
              <w:pStyle w:val="mpcNormal"/>
              <w:keepNext w:val="0"/>
              <w:ind w:left="2160" w:hanging="2160"/>
            </w:pPr>
            <w:r w:rsidRPr="006868BE">
              <w:rPr>
                <w:b/>
              </w:rPr>
              <w:t xml:space="preserve">Recommendation 4: </w:t>
            </w:r>
            <w:r w:rsidRPr="006868BE">
              <w:rPr>
                <w:b/>
              </w:rPr>
              <w:tab/>
            </w:r>
            <w:r w:rsidR="00372E4A">
              <w:rPr>
                <w:b/>
              </w:rPr>
              <w:t>A package of</w:t>
            </w:r>
            <w:r w:rsidRPr="006868BE">
              <w:rPr>
                <w:b/>
              </w:rPr>
              <w:t xml:space="preserve"> changes be made to the way the HSR is calculated for foods to better align with Dietary Guidelines, reflect emerging evidence, address consumer concerns and encourage positive reformulation.</w:t>
            </w:r>
          </w:p>
        </w:tc>
      </w:tr>
    </w:tbl>
    <w:p w14:paraId="4FB944A7" w14:textId="00C14638" w:rsidR="000A3464" w:rsidRDefault="000A3464" w:rsidP="005A3631">
      <w:pPr>
        <w:rPr>
          <w:rFonts w:cstheme="minorHAnsi"/>
          <w:b/>
          <w:sz w:val="22"/>
          <w:szCs w:val="22"/>
        </w:rPr>
      </w:pPr>
    </w:p>
    <w:tbl>
      <w:tblPr>
        <w:tblStyle w:val="TableGrid"/>
        <w:tblW w:w="0" w:type="auto"/>
        <w:tblLook w:val="04A0" w:firstRow="1" w:lastRow="0" w:firstColumn="1" w:lastColumn="0" w:noHBand="0" w:noVBand="1"/>
        <w:tblCaption w:val="Rec 5"/>
        <w:tblDescription w:val="Recommendation 5:  Changes be made to the way the HSR is calculated for non-dairy beverages, based on adjusted sugars, energy and FVNL points, to better discern water (and beverages similar in nutritional profile to water) from high energy drinks."/>
      </w:tblPr>
      <w:tblGrid>
        <w:gridCol w:w="9736"/>
      </w:tblGrid>
      <w:tr w:rsidR="000A3464" w:rsidRPr="00CC1ADD" w14:paraId="35485452" w14:textId="77777777" w:rsidTr="00D03694">
        <w:trPr>
          <w:trHeight w:val="1097"/>
        </w:trPr>
        <w:tc>
          <w:tcPr>
            <w:tcW w:w="9736" w:type="dxa"/>
            <w:shd w:val="clear" w:color="auto" w:fill="D9E2F3" w:themeFill="accent1" w:themeFillTint="33"/>
            <w:vAlign w:val="center"/>
          </w:tcPr>
          <w:p w14:paraId="118BA512" w14:textId="7951B8FC" w:rsidR="00A35EB9" w:rsidRPr="002D01CF" w:rsidRDefault="001F53B9" w:rsidP="002D01CF">
            <w:pPr>
              <w:pStyle w:val="mpcNormal"/>
              <w:keepNext w:val="0"/>
              <w:ind w:left="2160" w:hanging="2160"/>
              <w:rPr>
                <w:b/>
              </w:rPr>
            </w:pPr>
            <w:r w:rsidRPr="006868BE">
              <w:rPr>
                <w:b/>
              </w:rPr>
              <w:t xml:space="preserve">Recommendation 5: </w:t>
            </w:r>
            <w:r w:rsidRPr="006868BE">
              <w:rPr>
                <w:b/>
              </w:rPr>
              <w:tab/>
              <w:t>Changes be made to the way the HSR is calculated for non-dairy beverages, based on adjusted sugars, energy and FVNL points, to better discern water (and beverages similar in nutritional profile to water) from high energy drinks.</w:t>
            </w:r>
          </w:p>
        </w:tc>
      </w:tr>
    </w:tbl>
    <w:p w14:paraId="050CC1D2" w14:textId="77777777" w:rsidR="004A580D" w:rsidRPr="00CC1ADD" w:rsidRDefault="004A580D" w:rsidP="002D01CF">
      <w:pPr>
        <w:pStyle w:val="mpcNormal"/>
        <w:keepNext w:val="0"/>
      </w:pPr>
    </w:p>
    <w:p w14:paraId="6A5A4557" w14:textId="77777777" w:rsidR="000A3464" w:rsidRPr="00CC1ADD" w:rsidRDefault="000A3464" w:rsidP="005A3631">
      <w:pPr>
        <w:pStyle w:val="mpcheading2"/>
        <w:rPr>
          <w:rFonts w:cstheme="minorHAnsi"/>
          <w:szCs w:val="22"/>
        </w:rPr>
      </w:pPr>
      <w:bookmarkStart w:id="98" w:name="Calculator"/>
      <w:bookmarkStart w:id="99" w:name="_Toc9955057"/>
      <w:bookmarkEnd w:id="98"/>
      <w:r w:rsidRPr="00CC1ADD">
        <w:t>The HSR Calculator</w:t>
      </w:r>
      <w:bookmarkEnd w:id="99"/>
    </w:p>
    <w:p w14:paraId="7007DD0B" w14:textId="09E933BC" w:rsidR="000A3464" w:rsidRPr="00CC1ADD" w:rsidRDefault="000A3464">
      <w:pPr>
        <w:rPr>
          <w:color w:val="000000"/>
          <w:sz w:val="22"/>
          <w:szCs w:val="22"/>
        </w:rPr>
      </w:pPr>
      <w:r w:rsidRPr="00CC1ADD">
        <w:rPr>
          <w:rFonts w:cstheme="minorHAnsi"/>
          <w:sz w:val="22"/>
          <w:szCs w:val="22"/>
        </w:rPr>
        <w:t xml:space="preserve">The HSR Calculator is based on the NPSC algorithm, </w:t>
      </w:r>
      <w:r w:rsidRPr="00CC1ADD">
        <w:rPr>
          <w:sz w:val="22"/>
          <w:szCs w:val="22"/>
        </w:rPr>
        <w:t>with modifications made to create a graduated system to describe the ‘healthiness’ of a food (the HSR).</w:t>
      </w:r>
      <w:r w:rsidRPr="00CC1ADD">
        <w:rPr>
          <w:rFonts w:cstheme="minorHAnsi"/>
          <w:sz w:val="22"/>
          <w:szCs w:val="22"/>
        </w:rPr>
        <w:t xml:space="preserve"> </w:t>
      </w:r>
      <w:r w:rsidRPr="00CC1ADD">
        <w:rPr>
          <w:color w:val="000000"/>
          <w:sz w:val="22"/>
          <w:szCs w:val="22"/>
        </w:rPr>
        <w:t>The same nutrient and ingredient information is required for</w:t>
      </w:r>
      <w:r w:rsidR="00DA3F82">
        <w:rPr>
          <w:color w:val="000000"/>
          <w:sz w:val="22"/>
          <w:szCs w:val="22"/>
        </w:rPr>
        <w:t xml:space="preserve"> </w:t>
      </w:r>
      <w:r w:rsidR="00BD0901">
        <w:rPr>
          <w:color w:val="000000"/>
          <w:sz w:val="22"/>
          <w:szCs w:val="22"/>
        </w:rPr>
        <w:t xml:space="preserve">calculating </w:t>
      </w:r>
      <w:r w:rsidR="00606C93">
        <w:rPr>
          <w:color w:val="000000"/>
          <w:sz w:val="22"/>
          <w:szCs w:val="22"/>
        </w:rPr>
        <w:t>a food’s H</w:t>
      </w:r>
      <w:r w:rsidR="00DA3F82">
        <w:rPr>
          <w:color w:val="000000"/>
          <w:sz w:val="22"/>
          <w:szCs w:val="22"/>
        </w:rPr>
        <w:t xml:space="preserve">SR and for </w:t>
      </w:r>
      <w:r w:rsidR="00BD0901">
        <w:rPr>
          <w:color w:val="000000"/>
          <w:sz w:val="22"/>
          <w:szCs w:val="22"/>
        </w:rPr>
        <w:t xml:space="preserve">determining </w:t>
      </w:r>
      <w:r w:rsidR="00DA3F82">
        <w:rPr>
          <w:color w:val="000000"/>
          <w:sz w:val="22"/>
          <w:szCs w:val="22"/>
        </w:rPr>
        <w:t>nutrition, health and related claims</w:t>
      </w:r>
      <w:r w:rsidRPr="00CC1ADD">
        <w:rPr>
          <w:color w:val="000000"/>
          <w:sz w:val="22"/>
          <w:szCs w:val="22"/>
        </w:rPr>
        <w:t xml:space="preserve">. </w:t>
      </w:r>
      <w:r w:rsidRPr="00CC1ADD">
        <w:rPr>
          <w:rFonts w:eastAsia="Times New Roman"/>
          <w:sz w:val="22"/>
          <w:szCs w:val="22"/>
        </w:rPr>
        <w:t xml:space="preserve">This has the advantage of using the same risk associated (negative) and health benefit (positive) components </w:t>
      </w:r>
      <w:r w:rsidR="00DA3F82">
        <w:rPr>
          <w:rFonts w:eastAsia="Times New Roman"/>
          <w:sz w:val="22"/>
          <w:szCs w:val="22"/>
        </w:rPr>
        <w:t>across both labelling schemes.</w:t>
      </w:r>
    </w:p>
    <w:p w14:paraId="78B7E574" w14:textId="77777777" w:rsidR="000A3464" w:rsidRPr="00CC1ADD" w:rsidRDefault="000A3464">
      <w:pPr>
        <w:rPr>
          <w:rFonts w:cstheme="minorHAnsi"/>
          <w:sz w:val="22"/>
          <w:szCs w:val="22"/>
        </w:rPr>
      </w:pPr>
    </w:p>
    <w:p w14:paraId="41EA9A16" w14:textId="77777777" w:rsidR="000A3464" w:rsidRPr="00CC1ADD" w:rsidRDefault="000A3464">
      <w:pPr>
        <w:rPr>
          <w:rFonts w:cstheme="minorHAnsi"/>
          <w:sz w:val="22"/>
          <w:szCs w:val="22"/>
        </w:rPr>
      </w:pPr>
      <w:r w:rsidRPr="00CC1ADD">
        <w:rPr>
          <w:rFonts w:cstheme="minorHAnsi"/>
          <w:sz w:val="22"/>
          <w:szCs w:val="22"/>
        </w:rPr>
        <w:t>The HSR Calculator requires consideration of the:</w:t>
      </w:r>
    </w:p>
    <w:p w14:paraId="60261D13" w14:textId="77777777" w:rsidR="000A3464" w:rsidRPr="00CC1ADD" w:rsidRDefault="000A3464">
      <w:pPr>
        <w:rPr>
          <w:rFonts w:cstheme="minorHAnsi"/>
          <w:sz w:val="22"/>
          <w:szCs w:val="22"/>
        </w:rPr>
      </w:pPr>
    </w:p>
    <w:p w14:paraId="31364F00" w14:textId="334E0ADA" w:rsidR="000A3464" w:rsidRPr="00CC1ADD" w:rsidRDefault="000A3464" w:rsidP="007C5D73">
      <w:pPr>
        <w:pStyle w:val="ListParagraph"/>
        <w:numPr>
          <w:ilvl w:val="0"/>
          <w:numId w:val="22"/>
        </w:numPr>
        <w:rPr>
          <w:sz w:val="22"/>
          <w:szCs w:val="22"/>
        </w:rPr>
      </w:pPr>
      <w:r w:rsidRPr="00CC1ADD">
        <w:rPr>
          <w:sz w:val="22"/>
          <w:szCs w:val="22"/>
        </w:rPr>
        <w:t xml:space="preserve">category of the food (the HSR Calculator is based on six </w:t>
      </w:r>
      <w:r w:rsidR="00071CC5" w:rsidRPr="00CC1ADD">
        <w:rPr>
          <w:sz w:val="22"/>
          <w:szCs w:val="22"/>
        </w:rPr>
        <w:t>food</w:t>
      </w:r>
      <w:r w:rsidR="00071CC5">
        <w:rPr>
          <w:sz w:val="22"/>
          <w:szCs w:val="22"/>
        </w:rPr>
        <w:t xml:space="preserve"> </w:t>
      </w:r>
      <w:r w:rsidR="00E11933">
        <w:rPr>
          <w:sz w:val="22"/>
          <w:szCs w:val="22"/>
        </w:rPr>
        <w:t>c</w:t>
      </w:r>
      <w:r w:rsidRPr="00CC1ADD">
        <w:rPr>
          <w:sz w:val="22"/>
          <w:szCs w:val="22"/>
        </w:rPr>
        <w:t>ategories)</w:t>
      </w:r>
    </w:p>
    <w:p w14:paraId="0B817876" w14:textId="77777777" w:rsidR="000A3464" w:rsidRPr="00CC1ADD" w:rsidRDefault="000A3464" w:rsidP="007C5D73">
      <w:pPr>
        <w:pStyle w:val="ListParagraph"/>
        <w:numPr>
          <w:ilvl w:val="0"/>
          <w:numId w:val="22"/>
        </w:numPr>
        <w:rPr>
          <w:sz w:val="22"/>
          <w:szCs w:val="22"/>
        </w:rPr>
      </w:pPr>
      <w:r w:rsidRPr="00CC1ADD">
        <w:rPr>
          <w:sz w:val="22"/>
          <w:szCs w:val="22"/>
        </w:rPr>
        <w:t>form of the food (specifically whether the HSR should be calculated for a product ‘as sold’ or ‘as prepared’)</w:t>
      </w:r>
    </w:p>
    <w:p w14:paraId="00F708F5" w14:textId="1424EA5E" w:rsidR="000A3464" w:rsidRPr="009924EB" w:rsidRDefault="000A3464" w:rsidP="007C5D73">
      <w:pPr>
        <w:pStyle w:val="ListParagraph"/>
        <w:numPr>
          <w:ilvl w:val="0"/>
          <w:numId w:val="22"/>
        </w:numPr>
        <w:rPr>
          <w:sz w:val="22"/>
          <w:szCs w:val="22"/>
        </w:rPr>
      </w:pPr>
      <w:r w:rsidRPr="009924EB">
        <w:rPr>
          <w:sz w:val="22"/>
          <w:szCs w:val="22"/>
        </w:rPr>
        <w:t>risk associated components of foods that Dietary Guidelines recommend reducing intake of (saturated fat, sugars, sodium) and energy</w:t>
      </w:r>
    </w:p>
    <w:p w14:paraId="201F5A6D" w14:textId="77BE7D3A" w:rsidR="000A3464" w:rsidRPr="009924EB" w:rsidRDefault="000A3464" w:rsidP="007C5D73">
      <w:pPr>
        <w:pStyle w:val="ListParagraph"/>
        <w:numPr>
          <w:ilvl w:val="0"/>
          <w:numId w:val="22"/>
        </w:numPr>
        <w:rPr>
          <w:sz w:val="22"/>
          <w:szCs w:val="22"/>
        </w:rPr>
      </w:pPr>
      <w:r w:rsidRPr="009924EB">
        <w:rPr>
          <w:sz w:val="22"/>
          <w:szCs w:val="22"/>
        </w:rPr>
        <w:t>positive components that Dietary Guidelines recommend eating (protein, dietary fibre, FVNL).</w:t>
      </w:r>
    </w:p>
    <w:p w14:paraId="6DDCBCA5" w14:textId="77777777" w:rsidR="000A3464" w:rsidRPr="00CC1ADD" w:rsidRDefault="000A3464">
      <w:pPr>
        <w:rPr>
          <w:rFonts w:cstheme="minorHAnsi"/>
          <w:sz w:val="22"/>
          <w:szCs w:val="22"/>
          <w:highlight w:val="yellow"/>
        </w:rPr>
      </w:pPr>
    </w:p>
    <w:p w14:paraId="483E025C" w14:textId="77777777" w:rsidR="000A3464" w:rsidRPr="00CC1ADD" w:rsidRDefault="000A3464">
      <w:pPr>
        <w:rPr>
          <w:rFonts w:cstheme="minorHAnsi"/>
          <w:sz w:val="22"/>
          <w:szCs w:val="22"/>
        </w:rPr>
      </w:pPr>
      <w:r w:rsidRPr="00CC1ADD">
        <w:rPr>
          <w:rFonts w:cstheme="minorHAnsi"/>
          <w:sz w:val="22"/>
          <w:szCs w:val="22"/>
        </w:rPr>
        <w:t>The Review considered the appropriateness of each of these elements of the HSR Calculator.</w:t>
      </w:r>
    </w:p>
    <w:p w14:paraId="0DED61C3" w14:textId="77777777" w:rsidR="000A3464" w:rsidRPr="00CC1ADD" w:rsidRDefault="000A3464">
      <w:pPr>
        <w:rPr>
          <w:rFonts w:cstheme="minorHAnsi"/>
          <w:sz w:val="22"/>
          <w:szCs w:val="22"/>
        </w:rPr>
      </w:pPr>
    </w:p>
    <w:p w14:paraId="66CC1D40" w14:textId="77777777" w:rsidR="000A3464" w:rsidRPr="00CC1ADD" w:rsidRDefault="000A3464" w:rsidP="005A162A">
      <w:pPr>
        <w:pStyle w:val="mpcheading3"/>
      </w:pPr>
      <w:r w:rsidRPr="00CC1ADD">
        <w:t xml:space="preserve">Categories of food </w:t>
      </w:r>
    </w:p>
    <w:p w14:paraId="3F8B0EEB" w14:textId="77777777" w:rsidR="000A3464" w:rsidRPr="00CC1ADD" w:rsidRDefault="000A3464" w:rsidP="002D01CF">
      <w:pPr>
        <w:rPr>
          <w:rFonts w:cstheme="minorHAnsi"/>
          <w:b/>
          <w:sz w:val="22"/>
          <w:szCs w:val="22"/>
          <w:u w:val="single"/>
        </w:rPr>
      </w:pPr>
    </w:p>
    <w:p w14:paraId="54C83213" w14:textId="3DB52E79" w:rsidR="000A3464" w:rsidRPr="00CC1ADD" w:rsidRDefault="000A3464" w:rsidP="002D01CF">
      <w:pPr>
        <w:pStyle w:val="mpcNormal"/>
        <w:keepNext w:val="0"/>
      </w:pPr>
      <w:r w:rsidRPr="00CC1ADD">
        <w:t xml:space="preserve">The HSR Calculator is adjusted for different HSR </w:t>
      </w:r>
      <w:r w:rsidR="00E11933">
        <w:t>c</w:t>
      </w:r>
      <w:r w:rsidRPr="00CC1ADD">
        <w:t xml:space="preserve">ategories to account for the differing nutrient compositions of different types of foods. </w:t>
      </w:r>
      <w:r w:rsidR="00880923">
        <w:t>An overview of each of the HSR categories is provided in the Glossary to this Report.</w:t>
      </w:r>
    </w:p>
    <w:p w14:paraId="1F35E18A" w14:textId="77777777" w:rsidR="000A3464" w:rsidRPr="00CC1ADD" w:rsidRDefault="000A3464" w:rsidP="002D01CF">
      <w:pPr>
        <w:pStyle w:val="mpcNormal"/>
        <w:keepNext w:val="0"/>
      </w:pPr>
    </w:p>
    <w:p w14:paraId="711A2E6A" w14:textId="0205B0CC" w:rsidR="000A3464" w:rsidRPr="00CC1ADD" w:rsidRDefault="000A3464" w:rsidP="002D01CF">
      <w:pPr>
        <w:pStyle w:val="mpcNormal"/>
        <w:keepNext w:val="0"/>
      </w:pPr>
      <w:r w:rsidRPr="00CC1ADD">
        <w:t xml:space="preserve">When the HSR Calculator was adapted from the NPSC, three new dairy categories were created. </w:t>
      </w:r>
      <w:r w:rsidR="00830C60">
        <w:t>Dairy categories were created to provide advantages to FFG dairy products relative to non-dairy products with similar nutritional content</w:t>
      </w:r>
      <w:r w:rsidRPr="00CC1ADD">
        <w:t>. The additional categories are based on definitions in the Code and have set criteria to distinguish dairy from other foods and a slightly different way of assigning HSRs so as to better align with Dietary Guidelines.</w:t>
      </w:r>
      <w:r w:rsidRPr="00CC1ADD">
        <w:rPr>
          <w:rStyle w:val="FootnoteReference"/>
          <w:sz w:val="22"/>
        </w:rPr>
        <w:footnoteReference w:id="56"/>
      </w:r>
      <w:r w:rsidRPr="00CC1ADD">
        <w:t xml:space="preserve"> </w:t>
      </w:r>
    </w:p>
    <w:p w14:paraId="14739D0F" w14:textId="77777777" w:rsidR="000A3464" w:rsidRPr="00CC1ADD" w:rsidRDefault="000A3464" w:rsidP="002D01CF">
      <w:pPr>
        <w:pStyle w:val="mpcNormal"/>
        <w:keepNext w:val="0"/>
      </w:pPr>
    </w:p>
    <w:p w14:paraId="325D085D" w14:textId="30F26DCE" w:rsidR="000A3464" w:rsidRPr="00CC1ADD" w:rsidRDefault="000A3464" w:rsidP="002D01CF">
      <w:pPr>
        <w:pStyle w:val="mpcNormal"/>
        <w:keepNext w:val="0"/>
      </w:pPr>
      <w:r w:rsidRPr="00CC1ADD">
        <w:t xml:space="preserve">For the most part, these </w:t>
      </w:r>
      <w:r w:rsidR="00153CBD">
        <w:t>c</w:t>
      </w:r>
      <w:r w:rsidRPr="00CC1ADD">
        <w:t xml:space="preserve">ategories are working well in distinguishing FFG dairy </w:t>
      </w:r>
      <w:r w:rsidR="0030513A">
        <w:t xml:space="preserve">foods </w:t>
      </w:r>
      <w:r w:rsidRPr="00CC1ADD">
        <w:t>from discretionary foods</w:t>
      </w:r>
      <w:r w:rsidR="0030513A">
        <w:t>. H</w:t>
      </w:r>
      <w:r w:rsidRPr="00CC1ADD">
        <w:t>owever</w:t>
      </w:r>
      <w:r w:rsidR="0030513A">
        <w:t>,</w:t>
      </w:r>
      <w:r w:rsidR="00AC4A89">
        <w:t xml:space="preserve"> </w:t>
      </w:r>
      <w:r w:rsidRPr="00CC1ADD">
        <w:t>some issues have been raised by stakeholders regarding the treatment of dairy desserts and cheeses. These are discussed later in this Chapter.</w:t>
      </w:r>
    </w:p>
    <w:p w14:paraId="3616AF4D" w14:textId="77777777" w:rsidR="000A3464" w:rsidRPr="00CC1ADD" w:rsidRDefault="000A3464" w:rsidP="002D01CF">
      <w:pPr>
        <w:pStyle w:val="mpcNormal"/>
        <w:keepNext w:val="0"/>
      </w:pPr>
    </w:p>
    <w:p w14:paraId="1F4FFCCF" w14:textId="706AC19F" w:rsidR="000A3464" w:rsidRPr="00CC1ADD" w:rsidRDefault="000A3464" w:rsidP="002D01CF">
      <w:pPr>
        <w:pStyle w:val="mpcNormal"/>
        <w:keepNext w:val="0"/>
      </w:pPr>
      <w:r w:rsidRPr="00CC1ADD">
        <w:t>Other stakeholders have suggested that Category 2 is too large</w:t>
      </w:r>
      <w:r w:rsidR="00E11933">
        <w:t xml:space="preserve"> and</w:t>
      </w:r>
      <w:r w:rsidRPr="00CC1ADD">
        <w:t xml:space="preserve"> cover</w:t>
      </w:r>
      <w:r w:rsidR="00E11933">
        <w:t>s</w:t>
      </w:r>
      <w:r w:rsidRPr="00CC1ADD">
        <w:t xml:space="preserve"> a diverse range of foods</w:t>
      </w:r>
      <w:r w:rsidR="00E11933">
        <w:t>,</w:t>
      </w:r>
      <w:r w:rsidRPr="00CC1ADD">
        <w:t xml:space="preserve"> which makes it difficult for the Calculator to accurately score all foods in this </w:t>
      </w:r>
      <w:r w:rsidR="0030513A">
        <w:t>c</w:t>
      </w:r>
      <w:r w:rsidRPr="00CC1ADD">
        <w:t xml:space="preserve">ategory. To address this, the Review explored the creation of additional categories or sub-categories. However, this would require further </w:t>
      </w:r>
      <w:r w:rsidR="00880923">
        <w:t>definition of</w:t>
      </w:r>
      <w:r w:rsidR="00880923" w:rsidRPr="00CC1ADD">
        <w:t xml:space="preserve"> </w:t>
      </w:r>
      <w:r w:rsidRPr="00CC1ADD">
        <w:t xml:space="preserve">what is included/excluded in each </w:t>
      </w:r>
      <w:r w:rsidR="00153CBD">
        <w:t>c</w:t>
      </w:r>
      <w:r w:rsidRPr="00CC1ADD">
        <w:t xml:space="preserve">ategory, which </w:t>
      </w:r>
      <w:r w:rsidR="00880923">
        <w:t xml:space="preserve">in turn </w:t>
      </w:r>
      <w:r w:rsidRPr="00CC1ADD">
        <w:t xml:space="preserve">would likely exacerbate existing challenges </w:t>
      </w:r>
      <w:r w:rsidR="00880923">
        <w:t>experienced in determining</w:t>
      </w:r>
      <w:r w:rsidR="00880923" w:rsidRPr="00CC1ADD">
        <w:t xml:space="preserve"> </w:t>
      </w:r>
      <w:r w:rsidRPr="00CC1ADD">
        <w:t xml:space="preserve">which </w:t>
      </w:r>
      <w:r w:rsidR="00153CBD">
        <w:t>c</w:t>
      </w:r>
      <w:r w:rsidRPr="00CC1ADD">
        <w:t xml:space="preserve">ategory certain foods belong to and the intersection between </w:t>
      </w:r>
      <w:r w:rsidR="00955189">
        <w:t>c</w:t>
      </w:r>
      <w:r w:rsidRPr="00CC1ADD">
        <w:t xml:space="preserve">ategories. </w:t>
      </w:r>
    </w:p>
    <w:p w14:paraId="5AA250E3" w14:textId="77777777" w:rsidR="000A3464" w:rsidRPr="00CC1ADD" w:rsidRDefault="000A3464" w:rsidP="002D01CF">
      <w:pPr>
        <w:pStyle w:val="mpcNormal"/>
        <w:keepNext w:val="0"/>
      </w:pPr>
    </w:p>
    <w:p w14:paraId="2005FD71" w14:textId="76858602" w:rsidR="000A3464" w:rsidRPr="00CC1ADD" w:rsidRDefault="000A3464" w:rsidP="002D01CF">
      <w:pPr>
        <w:pStyle w:val="mpcNormal"/>
        <w:keepNext w:val="0"/>
      </w:pPr>
      <w:r w:rsidRPr="00CC1ADD">
        <w:t>A UK study published in 2010</w:t>
      </w:r>
      <w:r w:rsidR="00E11933" w:rsidRPr="00CC1ADD">
        <w:rPr>
          <w:rFonts w:cs="Times New Roman (Body CS)"/>
          <w:vertAlign w:val="superscript"/>
        </w:rPr>
        <w:footnoteReference w:id="57"/>
      </w:r>
      <w:r w:rsidRPr="00CC1ADD">
        <w:t xml:space="preserve"> found that nutrient profile models should be category specific but with a limited number of categories; models using a large number of categories are unhelpful for promoting a healthy diet.</w:t>
      </w:r>
    </w:p>
    <w:p w14:paraId="20D89DE3" w14:textId="33308891" w:rsidR="000A3464" w:rsidRPr="00CC1ADD" w:rsidRDefault="000A3464" w:rsidP="002D01CF">
      <w:pPr>
        <w:pStyle w:val="mpcNormal"/>
        <w:keepNext w:val="0"/>
      </w:pPr>
      <w:r w:rsidRPr="00CC1ADD">
        <w:br/>
        <w:t>The Review conclude</w:t>
      </w:r>
      <w:r w:rsidR="00EA6A8C">
        <w:t>d</w:t>
      </w:r>
      <w:r w:rsidRPr="00CC1ADD">
        <w:t xml:space="preserve"> that the HSR </w:t>
      </w:r>
      <w:r w:rsidR="00153CBD">
        <w:t>c</w:t>
      </w:r>
      <w:r w:rsidRPr="00CC1ADD">
        <w:t>ategories should remain as they are but, as discussed below, adjustments be made to address the specific issues in Category 2D and 3D.</w:t>
      </w:r>
    </w:p>
    <w:p w14:paraId="312DCC08" w14:textId="77777777" w:rsidR="000A3464" w:rsidRPr="00CC1ADD" w:rsidRDefault="000A3464" w:rsidP="005A3631">
      <w:pPr>
        <w:rPr>
          <w:rFonts w:cstheme="minorHAnsi"/>
          <w:szCs w:val="22"/>
        </w:rPr>
      </w:pPr>
    </w:p>
    <w:p w14:paraId="44F91C15" w14:textId="77777777" w:rsidR="000A3464" w:rsidRPr="00CC1ADD" w:rsidRDefault="000A3464" w:rsidP="005A162A">
      <w:pPr>
        <w:pStyle w:val="mpcheading3"/>
      </w:pPr>
      <w:r w:rsidRPr="00CC1ADD">
        <w:t xml:space="preserve">Form of the food </w:t>
      </w:r>
    </w:p>
    <w:p w14:paraId="23B72EEB" w14:textId="77777777" w:rsidR="000A3464" w:rsidRPr="00CC1ADD" w:rsidRDefault="000A3464" w:rsidP="002D01CF">
      <w:pPr>
        <w:rPr>
          <w:rFonts w:cstheme="minorHAnsi"/>
          <w:b/>
          <w:sz w:val="22"/>
          <w:szCs w:val="22"/>
          <w:u w:val="single"/>
        </w:rPr>
      </w:pPr>
    </w:p>
    <w:p w14:paraId="458FA651" w14:textId="4A92D9A9" w:rsidR="000A3464" w:rsidRPr="00CC1ADD" w:rsidRDefault="000A3464" w:rsidP="002D01CF">
      <w:pPr>
        <w:rPr>
          <w:sz w:val="22"/>
          <w:szCs w:val="22"/>
        </w:rPr>
      </w:pPr>
      <w:r w:rsidRPr="00CC1ADD">
        <w:rPr>
          <w:rFonts w:cstheme="minorHAnsi"/>
          <w:sz w:val="22"/>
          <w:szCs w:val="22"/>
        </w:rPr>
        <w:t xml:space="preserve">The HSR Calculator requires users </w:t>
      </w:r>
      <w:bookmarkStart w:id="100" w:name="_Toc369617142"/>
      <w:bookmarkStart w:id="101" w:name="_Toc453063415"/>
      <w:r w:rsidRPr="00CC1ADD">
        <w:rPr>
          <w:rFonts w:cstheme="minorHAnsi"/>
          <w:sz w:val="22"/>
          <w:szCs w:val="22"/>
        </w:rPr>
        <w:t>to determine the form of the food for which the HSR</w:t>
      </w:r>
      <w:bookmarkEnd w:id="100"/>
      <w:bookmarkEnd w:id="101"/>
      <w:r w:rsidRPr="00CC1ADD">
        <w:rPr>
          <w:rFonts w:cstheme="minorHAnsi"/>
          <w:sz w:val="22"/>
          <w:szCs w:val="22"/>
        </w:rPr>
        <w:t xml:space="preserve"> will be calculated. For example, whether the food requires preparation with other foods, consumed as sold, prepared and consumed according to the label</w:t>
      </w:r>
      <w:r w:rsidR="00885AF1">
        <w:rPr>
          <w:rFonts w:cstheme="minorHAnsi"/>
          <w:sz w:val="22"/>
          <w:szCs w:val="22"/>
        </w:rPr>
        <w:t xml:space="preserve"> directions</w:t>
      </w:r>
      <w:r w:rsidRPr="00CC1ADD">
        <w:rPr>
          <w:rFonts w:cstheme="minorHAnsi"/>
          <w:sz w:val="22"/>
          <w:szCs w:val="22"/>
        </w:rPr>
        <w:t xml:space="preserve">, reconstituted with water or drained. </w:t>
      </w:r>
      <w:r w:rsidRPr="00CC1ADD">
        <w:rPr>
          <w:sz w:val="22"/>
          <w:szCs w:val="22"/>
        </w:rPr>
        <w:t>This is commonly known as the ‘as prepared’ rules.</w:t>
      </w:r>
    </w:p>
    <w:p w14:paraId="32EC4D10" w14:textId="77777777" w:rsidR="000A3464" w:rsidRPr="00CC1ADD" w:rsidRDefault="000A3464" w:rsidP="002D01CF">
      <w:pPr>
        <w:pStyle w:val="mpcNormal"/>
        <w:keepNext w:val="0"/>
      </w:pPr>
    </w:p>
    <w:p w14:paraId="2E553E46" w14:textId="77777777" w:rsidR="000A3464" w:rsidRPr="00CC1ADD" w:rsidRDefault="000A3464" w:rsidP="002D01CF">
      <w:pPr>
        <w:pStyle w:val="mpcNormal"/>
        <w:keepNext w:val="0"/>
      </w:pPr>
      <w:r w:rsidRPr="00CC1ADD">
        <w:t xml:space="preserve">In parallel to the Review, the HSRAC has reappraised these rules. This issue was progressed in advance of the Review due to significant stakeholder interest. </w:t>
      </w:r>
    </w:p>
    <w:p w14:paraId="1742C6A5" w14:textId="77777777" w:rsidR="000A3464" w:rsidRPr="00CC1ADD" w:rsidRDefault="000A3464" w:rsidP="002D01CF">
      <w:pPr>
        <w:pStyle w:val="mpcNormal"/>
        <w:keepNext w:val="0"/>
      </w:pPr>
    </w:p>
    <w:p w14:paraId="77CB58CB" w14:textId="32B06AC4" w:rsidR="000A3464" w:rsidRPr="00CC1ADD" w:rsidRDefault="000A3464" w:rsidP="002D01CF">
      <w:pPr>
        <w:pStyle w:val="mpcNormal"/>
        <w:keepNext w:val="0"/>
      </w:pPr>
      <w:r w:rsidRPr="00CC1ADD">
        <w:t xml:space="preserve">In September-October 2017, the HSRAC consulted with stakeholders (through a public submission process and workshops) to discuss options and to seek feedback on </w:t>
      </w:r>
      <w:r w:rsidR="005A25A2" w:rsidRPr="00CC1ADD">
        <w:t xml:space="preserve">proposed </w:t>
      </w:r>
      <w:r w:rsidRPr="00CC1ADD">
        <w:t xml:space="preserve">solutions. </w:t>
      </w:r>
      <w:r w:rsidRPr="009959A5">
        <w:t xml:space="preserve">Four options were </w:t>
      </w:r>
      <w:r w:rsidR="005A25A2" w:rsidRPr="009959A5">
        <w:t>p</w:t>
      </w:r>
      <w:r w:rsidR="00DA3F82">
        <w:t>roposed</w:t>
      </w:r>
      <w:r w:rsidR="005A25A2" w:rsidRPr="009959A5">
        <w:t xml:space="preserve"> </w:t>
      </w:r>
      <w:r w:rsidRPr="009959A5">
        <w:t xml:space="preserve">and </w:t>
      </w:r>
      <w:r w:rsidR="00955189" w:rsidRPr="009959A5">
        <w:t>the</w:t>
      </w:r>
      <w:r w:rsidRPr="009959A5">
        <w:t xml:space="preserve"> potential impacts </w:t>
      </w:r>
      <w:r w:rsidR="00955189" w:rsidRPr="009959A5">
        <w:t xml:space="preserve">of each option were </w:t>
      </w:r>
      <w:r w:rsidRPr="009959A5">
        <w:t xml:space="preserve">modelled by the TAG (further information is available at the </w:t>
      </w:r>
      <w:hyperlink r:id="rId60" w:history="1">
        <w:r w:rsidRPr="009959A5">
          <w:rPr>
            <w:rStyle w:val="Hyperlink"/>
          </w:rPr>
          <w:t>HSR website</w:t>
        </w:r>
      </w:hyperlink>
      <w:r w:rsidRPr="009959A5">
        <w:t>). The</w:t>
      </w:r>
      <w:r w:rsidRPr="00CC1ADD">
        <w:t xml:space="preserve"> HSRAC sought additional stakeholder feedback on these options before agreeing on a preferred option for recommendation to the Forum.</w:t>
      </w:r>
    </w:p>
    <w:p w14:paraId="4F1A4E12" w14:textId="77777777" w:rsidR="000A3464" w:rsidRPr="00CC1ADD" w:rsidRDefault="000A3464" w:rsidP="002D01CF">
      <w:pPr>
        <w:pStyle w:val="mpcNormal"/>
        <w:keepNext w:val="0"/>
      </w:pPr>
    </w:p>
    <w:p w14:paraId="3F31D8CA" w14:textId="77777777" w:rsidR="000A3464" w:rsidRPr="00CC1ADD" w:rsidRDefault="000A3464" w:rsidP="002D01CF">
      <w:pPr>
        <w:pStyle w:val="mpcNormal"/>
        <w:keepNext w:val="0"/>
      </w:pPr>
      <w:r w:rsidRPr="00CC1ADD">
        <w:t>The Forum agreed in June 2018 to limit the application of the HSR System to the product ‘as sold.’ That is, the HSR should be calculated and displayed on the basis of the product as it appears on the shelf. Specific exemptions were proposed for products that must be rehydrated with water, diluted with water, drained of water or drained of brine.</w:t>
      </w:r>
      <w:r w:rsidRPr="00CC1ADD">
        <w:rPr>
          <w:rStyle w:val="FootnoteReference"/>
          <w:sz w:val="22"/>
        </w:rPr>
        <w:footnoteReference w:id="58"/>
      </w:r>
    </w:p>
    <w:p w14:paraId="76568576" w14:textId="77777777" w:rsidR="000A3464" w:rsidRPr="00CC1ADD" w:rsidRDefault="000A3464" w:rsidP="002D01CF">
      <w:pPr>
        <w:pStyle w:val="mpcNormal"/>
        <w:keepNext w:val="0"/>
      </w:pPr>
    </w:p>
    <w:p w14:paraId="704AF607" w14:textId="30156554" w:rsidR="000A3464" w:rsidRDefault="000A3464" w:rsidP="002D01CF">
      <w:pPr>
        <w:pStyle w:val="mpcNormal"/>
        <w:keepNext w:val="0"/>
      </w:pPr>
      <w:r w:rsidRPr="00CC1ADD">
        <w:t>The Forum also agreed that this decision be implemented alongside any changes resulting from this Review.</w:t>
      </w:r>
    </w:p>
    <w:p w14:paraId="4FEE0160" w14:textId="678A14F7" w:rsidR="00885AF1" w:rsidRDefault="00885AF1" w:rsidP="005A3631">
      <w:pPr>
        <w:rPr>
          <w:sz w:val="22"/>
          <w:szCs w:val="22"/>
          <w:lang w:eastAsia="en-GB"/>
        </w:rPr>
      </w:pPr>
    </w:p>
    <w:p w14:paraId="3E67F42C" w14:textId="2DA50DE4" w:rsidR="009959A5" w:rsidRPr="009959A5" w:rsidRDefault="009959A5" w:rsidP="005A162A">
      <w:pPr>
        <w:pStyle w:val="mpcheading3"/>
        <w:rPr>
          <w:lang w:eastAsia="en-GB"/>
        </w:rPr>
      </w:pPr>
      <w:r w:rsidRPr="009959A5">
        <w:rPr>
          <w:lang w:eastAsia="en-GB"/>
        </w:rPr>
        <w:t>Components of the HSR Calculator</w:t>
      </w:r>
    </w:p>
    <w:p w14:paraId="5032FC58" w14:textId="77777777" w:rsidR="009959A5" w:rsidRPr="009959A5" w:rsidRDefault="009959A5">
      <w:pPr>
        <w:rPr>
          <w:sz w:val="22"/>
          <w:szCs w:val="22"/>
          <w:lang w:eastAsia="en-GB"/>
        </w:rPr>
      </w:pPr>
    </w:p>
    <w:p w14:paraId="4B5A6491" w14:textId="62EA43AC" w:rsidR="00885AF1" w:rsidRPr="00CC1ADD" w:rsidRDefault="00885AF1">
      <w:pPr>
        <w:rPr>
          <w:rFonts w:cstheme="minorHAnsi"/>
          <w:sz w:val="22"/>
          <w:szCs w:val="22"/>
        </w:rPr>
      </w:pPr>
      <w:r w:rsidRPr="009959A5">
        <w:rPr>
          <w:sz w:val="22"/>
          <w:szCs w:val="22"/>
          <w:lang w:eastAsia="en-GB"/>
        </w:rPr>
        <w:t>The components of the HSR Calculator are the same as those considered in the NPSC and are those considered relevant to risk or prevention of diet-related chronic disease (energy, sodium, saturated fat, total sugars, protein, fibre and FVNL ingredients).</w:t>
      </w:r>
      <w:r w:rsidRPr="009959A5">
        <w:rPr>
          <w:rStyle w:val="FootnoteReference"/>
          <w:sz w:val="22"/>
          <w:szCs w:val="22"/>
        </w:rPr>
        <w:footnoteReference w:id="59"/>
      </w:r>
    </w:p>
    <w:p w14:paraId="3020DEB7" w14:textId="77777777" w:rsidR="00317B7D" w:rsidRPr="00CC1ADD" w:rsidRDefault="00317B7D" w:rsidP="009959A5">
      <w:pPr>
        <w:pStyle w:val="mpcNormal"/>
        <w:keepNext w:val="0"/>
      </w:pPr>
    </w:p>
    <w:p w14:paraId="0E5A579B" w14:textId="77777777" w:rsidR="000A3464" w:rsidRPr="00CC1ADD" w:rsidRDefault="000A3464" w:rsidP="009959A5">
      <w:pPr>
        <w:pStyle w:val="mpcheading4"/>
      </w:pPr>
      <w:r w:rsidRPr="00CC1ADD">
        <w:t xml:space="preserve">Risk associated components </w:t>
      </w:r>
    </w:p>
    <w:p w14:paraId="297A5FC7" w14:textId="77777777" w:rsidR="000A3464" w:rsidRPr="00CC1ADD" w:rsidRDefault="000A3464" w:rsidP="005A3631">
      <w:pPr>
        <w:rPr>
          <w:rFonts w:cstheme="minorHAnsi"/>
          <w:sz w:val="22"/>
          <w:szCs w:val="22"/>
        </w:rPr>
      </w:pPr>
    </w:p>
    <w:p w14:paraId="56B92F95" w14:textId="30E6F883" w:rsidR="000A3464" w:rsidRPr="00CC1ADD" w:rsidRDefault="000A3464" w:rsidP="005A3631">
      <w:pPr>
        <w:rPr>
          <w:rFonts w:cstheme="minorHAnsi"/>
          <w:sz w:val="22"/>
          <w:szCs w:val="22"/>
        </w:rPr>
      </w:pPr>
      <w:r w:rsidRPr="00CC1ADD">
        <w:rPr>
          <w:rFonts w:cstheme="minorHAnsi"/>
          <w:sz w:val="22"/>
          <w:szCs w:val="22"/>
        </w:rPr>
        <w:t xml:space="preserve">The rationale for the inclusion </w:t>
      </w:r>
      <w:r w:rsidR="00071CC5">
        <w:rPr>
          <w:rFonts w:cstheme="minorHAnsi"/>
          <w:sz w:val="22"/>
          <w:szCs w:val="22"/>
        </w:rPr>
        <w:t xml:space="preserve">of the risk-associated components </w:t>
      </w:r>
      <w:r w:rsidRPr="00CC1ADD">
        <w:rPr>
          <w:rFonts w:cstheme="minorHAnsi"/>
          <w:sz w:val="22"/>
          <w:szCs w:val="22"/>
        </w:rPr>
        <w:t>in the HSR Calculator is strong and relatively uncontested:</w:t>
      </w:r>
    </w:p>
    <w:p w14:paraId="19633C40" w14:textId="77777777" w:rsidR="000A3464" w:rsidRPr="00CC1ADD" w:rsidRDefault="000A3464">
      <w:pPr>
        <w:rPr>
          <w:rFonts w:cstheme="minorHAnsi"/>
          <w:sz w:val="22"/>
          <w:szCs w:val="22"/>
        </w:rPr>
      </w:pPr>
    </w:p>
    <w:p w14:paraId="0F0B23EB" w14:textId="77777777" w:rsidR="000A3464" w:rsidRPr="009924EB" w:rsidRDefault="000A3464" w:rsidP="00901C53">
      <w:pPr>
        <w:pStyle w:val="ListParagraph"/>
        <w:numPr>
          <w:ilvl w:val="0"/>
          <w:numId w:val="25"/>
        </w:numPr>
        <w:rPr>
          <w:rFonts w:cstheme="minorHAnsi"/>
          <w:sz w:val="22"/>
          <w:szCs w:val="22"/>
        </w:rPr>
      </w:pPr>
      <w:r w:rsidRPr="00CC1ADD">
        <w:rPr>
          <w:rFonts w:cstheme="minorHAnsi"/>
          <w:sz w:val="22"/>
          <w:szCs w:val="22"/>
        </w:rPr>
        <w:t xml:space="preserve">Dietary Guidelines recommend limiting intake of foods containing added sugars, sodium and saturated </w:t>
      </w:r>
      <w:r w:rsidRPr="009924EB">
        <w:rPr>
          <w:rFonts w:cstheme="minorHAnsi"/>
          <w:sz w:val="22"/>
          <w:szCs w:val="22"/>
        </w:rPr>
        <w:t>fats</w:t>
      </w:r>
    </w:p>
    <w:p w14:paraId="396D987B" w14:textId="4516FE99" w:rsidR="000A3464" w:rsidRPr="009924EB" w:rsidRDefault="000A3464" w:rsidP="00173A82">
      <w:pPr>
        <w:pStyle w:val="mpcbullets2"/>
      </w:pPr>
      <w:r w:rsidRPr="009924EB">
        <w:t xml:space="preserve">The reasons for including total sugars rather than added sugars in the HSR Calculator </w:t>
      </w:r>
      <w:r w:rsidR="00A63CFD" w:rsidRPr="009924EB">
        <w:t>are</w:t>
      </w:r>
      <w:r w:rsidRPr="009924EB">
        <w:t xml:space="preserve"> discussed in </w:t>
      </w:r>
      <w:r w:rsidR="009924EB" w:rsidRPr="009924EB">
        <w:rPr>
          <w:u w:val="single"/>
        </w:rPr>
        <w:t xml:space="preserve">Appendix </w:t>
      </w:r>
      <w:r w:rsidR="00F37134">
        <w:rPr>
          <w:u w:val="single"/>
        </w:rPr>
        <w:t>D</w:t>
      </w:r>
      <w:r w:rsidRPr="009924EB">
        <w:t>.</w:t>
      </w:r>
    </w:p>
    <w:p w14:paraId="3C7F83AC" w14:textId="187B43F0" w:rsidR="000A3464" w:rsidRPr="00CC1ADD" w:rsidRDefault="000A3464" w:rsidP="00901C53">
      <w:pPr>
        <w:pStyle w:val="ListParagraph"/>
        <w:numPr>
          <w:ilvl w:val="0"/>
          <w:numId w:val="25"/>
        </w:numPr>
        <w:rPr>
          <w:rFonts w:cstheme="minorHAnsi"/>
          <w:sz w:val="22"/>
          <w:szCs w:val="22"/>
        </w:rPr>
      </w:pPr>
      <w:r w:rsidRPr="00CC1ADD">
        <w:rPr>
          <w:rFonts w:cstheme="minorHAnsi"/>
          <w:sz w:val="22"/>
          <w:szCs w:val="22"/>
        </w:rPr>
        <w:t xml:space="preserve">these components are consistent with those most commonly used in international FoPL </w:t>
      </w:r>
      <w:r w:rsidR="0030513A">
        <w:rPr>
          <w:rFonts w:cstheme="minorHAnsi"/>
          <w:sz w:val="22"/>
          <w:szCs w:val="22"/>
        </w:rPr>
        <w:t>schemes</w:t>
      </w:r>
    </w:p>
    <w:p w14:paraId="02EB20ED" w14:textId="7F62DB6F" w:rsidR="000A3464" w:rsidRPr="00CC1ADD" w:rsidRDefault="000A3464" w:rsidP="00173A82">
      <w:pPr>
        <w:pStyle w:val="mpcbullets2"/>
      </w:pPr>
      <w:r w:rsidRPr="00CC1ADD">
        <w:t xml:space="preserve">Based on a survey conducted by the WHO, the most commonly used nutrients and ingredients in FoPL </w:t>
      </w:r>
      <w:r w:rsidR="0030513A">
        <w:t>schemes</w:t>
      </w:r>
      <w:r w:rsidRPr="00CC1ADD">
        <w:t xml:space="preserve"> in Codex member countries across the world are: sodium/salt, energy, total sugars and saturated fats</w:t>
      </w:r>
      <w:r w:rsidRPr="002D0DD5">
        <w:rPr>
          <w:rFonts w:cs="Calibri (Body)"/>
          <w:vertAlign w:val="superscript"/>
        </w:rPr>
        <w:footnoteReference w:id="60"/>
      </w:r>
      <w:r w:rsidRPr="00CC1ADD">
        <w:t xml:space="preserve">, which align with </w:t>
      </w:r>
      <w:r w:rsidR="0030513A">
        <w:t>the</w:t>
      </w:r>
      <w:r w:rsidRPr="00CC1ADD">
        <w:t xml:space="preserve"> negative components considered by the HSR System.</w:t>
      </w:r>
    </w:p>
    <w:p w14:paraId="115AC37F" w14:textId="27D87516" w:rsidR="000A3464" w:rsidRPr="00CC1ADD" w:rsidRDefault="000A3464" w:rsidP="00901C53">
      <w:pPr>
        <w:pStyle w:val="ListParagraph"/>
        <w:numPr>
          <w:ilvl w:val="0"/>
          <w:numId w:val="25"/>
        </w:numPr>
        <w:rPr>
          <w:rFonts w:cstheme="minorHAnsi"/>
          <w:sz w:val="22"/>
          <w:szCs w:val="22"/>
        </w:rPr>
      </w:pPr>
      <w:r w:rsidRPr="00CC1ADD">
        <w:rPr>
          <w:rFonts w:cstheme="minorHAnsi"/>
          <w:sz w:val="22"/>
          <w:szCs w:val="22"/>
        </w:rPr>
        <w:t xml:space="preserve">these components all appear </w:t>
      </w:r>
      <w:r w:rsidR="00885AF1">
        <w:rPr>
          <w:rFonts w:cstheme="minorHAnsi"/>
          <w:sz w:val="22"/>
          <w:szCs w:val="22"/>
        </w:rPr>
        <w:t>i</w:t>
      </w:r>
      <w:r w:rsidRPr="00CC1ADD">
        <w:rPr>
          <w:rFonts w:cstheme="minorHAnsi"/>
          <w:sz w:val="22"/>
          <w:szCs w:val="22"/>
        </w:rPr>
        <w:t>n the NIP.</w:t>
      </w:r>
    </w:p>
    <w:p w14:paraId="620A96BC" w14:textId="77777777" w:rsidR="000A3464" w:rsidRPr="00CC1ADD" w:rsidRDefault="000A3464">
      <w:pPr>
        <w:rPr>
          <w:rFonts w:cstheme="minorHAnsi"/>
          <w:szCs w:val="22"/>
        </w:rPr>
      </w:pPr>
    </w:p>
    <w:p w14:paraId="4B459299" w14:textId="77777777" w:rsidR="000A3464" w:rsidRPr="00CC1ADD" w:rsidRDefault="000A3464" w:rsidP="009959A5">
      <w:pPr>
        <w:pStyle w:val="mpcheading4"/>
      </w:pPr>
      <w:r w:rsidRPr="00CC1ADD">
        <w:t>Positive components</w:t>
      </w:r>
    </w:p>
    <w:p w14:paraId="4715CB6D" w14:textId="77777777" w:rsidR="000A3464" w:rsidRPr="00CC1ADD" w:rsidRDefault="000A3464" w:rsidP="005A3631">
      <w:pPr>
        <w:rPr>
          <w:rFonts w:cstheme="minorHAnsi"/>
          <w:sz w:val="22"/>
          <w:szCs w:val="22"/>
          <w:highlight w:val="yellow"/>
        </w:rPr>
      </w:pPr>
    </w:p>
    <w:p w14:paraId="2A29F841" w14:textId="57D3CD48" w:rsidR="000A3464" w:rsidRPr="00CC1ADD" w:rsidRDefault="000A3464">
      <w:pPr>
        <w:rPr>
          <w:rFonts w:cstheme="minorHAnsi"/>
          <w:sz w:val="22"/>
          <w:szCs w:val="22"/>
        </w:rPr>
      </w:pPr>
      <w:r w:rsidRPr="00CC1ADD">
        <w:rPr>
          <w:rFonts w:cstheme="minorHAnsi"/>
          <w:sz w:val="22"/>
          <w:szCs w:val="22"/>
        </w:rPr>
        <w:t xml:space="preserve">The positive components of </w:t>
      </w:r>
      <w:r w:rsidR="00A648C4" w:rsidRPr="00CC1ADD">
        <w:rPr>
          <w:rFonts w:cstheme="minorHAnsi"/>
          <w:sz w:val="22"/>
          <w:szCs w:val="22"/>
        </w:rPr>
        <w:t xml:space="preserve">the </w:t>
      </w:r>
      <w:r w:rsidRPr="00CC1ADD">
        <w:rPr>
          <w:rFonts w:cstheme="minorHAnsi"/>
          <w:sz w:val="22"/>
          <w:szCs w:val="22"/>
        </w:rPr>
        <w:t>HSR Calculator are:</w:t>
      </w:r>
    </w:p>
    <w:p w14:paraId="27259F6B" w14:textId="77777777" w:rsidR="000A3464" w:rsidRPr="00CC1ADD" w:rsidRDefault="000A3464">
      <w:pPr>
        <w:rPr>
          <w:rFonts w:cstheme="minorHAnsi"/>
          <w:sz w:val="22"/>
          <w:szCs w:val="22"/>
        </w:rPr>
      </w:pPr>
    </w:p>
    <w:p w14:paraId="6961A27C" w14:textId="110534E3" w:rsidR="000A3464" w:rsidRPr="00CC1ADD" w:rsidRDefault="000A3464" w:rsidP="007E0D2C">
      <w:pPr>
        <w:pStyle w:val="mpcbullets1"/>
      </w:pPr>
      <w:r w:rsidRPr="00CC1ADD">
        <w:t>FVNL</w:t>
      </w:r>
    </w:p>
    <w:p w14:paraId="61A36E59" w14:textId="3364FE86" w:rsidR="000A3464" w:rsidRPr="00CC1ADD" w:rsidRDefault="000A3464" w:rsidP="00173A82">
      <w:pPr>
        <w:pStyle w:val="mpcbullets2"/>
      </w:pPr>
      <w:r w:rsidRPr="00CC1ADD">
        <w:t xml:space="preserve">FVNL content may contribute to a product's HSR. A product must contain </w:t>
      </w:r>
      <w:r w:rsidR="00885AF1">
        <w:t xml:space="preserve">&gt; </w:t>
      </w:r>
      <w:r w:rsidRPr="00CC1ADD">
        <w:t xml:space="preserve">40% FVNL or </w:t>
      </w:r>
      <w:r w:rsidR="00885AF1" w:rsidRPr="00CC1ADD">
        <w:t>≥</w:t>
      </w:r>
      <w:r w:rsidR="00885AF1">
        <w:t xml:space="preserve"> </w:t>
      </w:r>
      <w:r w:rsidRPr="00CC1ADD">
        <w:t>25% concentrated FVNL content before points can be received.</w:t>
      </w:r>
    </w:p>
    <w:p w14:paraId="55CD3D79" w14:textId="12E182D4" w:rsidR="000A3464" w:rsidRPr="00CC1ADD" w:rsidRDefault="000A3464" w:rsidP="00173A82">
      <w:pPr>
        <w:pStyle w:val="mpcbullets2"/>
      </w:pPr>
      <w:r w:rsidRPr="00CC1ADD">
        <w:t>The inclusion of FVNL is intended to provide benefit to foods high in FVNL content and offset intrinsic sugars content (for instance, in fruit)</w:t>
      </w:r>
      <w:r w:rsidR="00071CC5">
        <w:t>,</w:t>
      </w:r>
      <w:r w:rsidRPr="00CC1ADD">
        <w:t xml:space="preserve"> which is captured as total sugars.</w:t>
      </w:r>
      <w:r w:rsidRPr="008256D0">
        <w:rPr>
          <w:rFonts w:cs="Calibri (Body)"/>
          <w:vertAlign w:val="superscript"/>
        </w:rPr>
        <w:footnoteReference w:id="61"/>
      </w:r>
    </w:p>
    <w:p w14:paraId="3DBC2F70" w14:textId="178F8629" w:rsidR="000A3464" w:rsidRPr="00CC1ADD" w:rsidRDefault="000A3464" w:rsidP="00173A82">
      <w:pPr>
        <w:pStyle w:val="mpcbullets2"/>
      </w:pPr>
      <w:r w:rsidRPr="00CC1ADD">
        <w:t>Fruit and vegetable content are considered in the French Nutri</w:t>
      </w:r>
      <w:r w:rsidR="002862B6">
        <w:t>-</w:t>
      </w:r>
      <w:r w:rsidRPr="00CC1ADD">
        <w:t>Score system and Finnish Heart Symbol.</w:t>
      </w:r>
      <w:r w:rsidRPr="008256D0">
        <w:rPr>
          <w:rFonts w:cs="Calibri (Body)"/>
          <w:vertAlign w:val="superscript"/>
        </w:rPr>
        <w:footnoteReference w:id="62"/>
      </w:r>
    </w:p>
    <w:p w14:paraId="7774A56A" w14:textId="27E460D0" w:rsidR="000A3464" w:rsidRPr="00CC1ADD" w:rsidRDefault="0030513A" w:rsidP="007C5D73">
      <w:pPr>
        <w:pStyle w:val="ListParagraph"/>
        <w:numPr>
          <w:ilvl w:val="0"/>
          <w:numId w:val="24"/>
        </w:numPr>
        <w:rPr>
          <w:rFonts w:cstheme="minorHAnsi"/>
          <w:sz w:val="22"/>
          <w:szCs w:val="22"/>
        </w:rPr>
      </w:pPr>
      <w:r>
        <w:rPr>
          <w:rFonts w:cstheme="minorHAnsi"/>
          <w:sz w:val="22"/>
          <w:szCs w:val="22"/>
        </w:rPr>
        <w:t>p</w:t>
      </w:r>
      <w:r w:rsidR="000A3464" w:rsidRPr="00CC1ADD">
        <w:rPr>
          <w:rFonts w:cstheme="minorHAnsi"/>
          <w:sz w:val="22"/>
          <w:szCs w:val="22"/>
        </w:rPr>
        <w:t>rotein</w:t>
      </w:r>
    </w:p>
    <w:p w14:paraId="50FAC985" w14:textId="34FCAA2F" w:rsidR="000A3464" w:rsidRPr="008256D0" w:rsidRDefault="000A3464" w:rsidP="00173A82">
      <w:pPr>
        <w:pStyle w:val="mpcbullets2"/>
      </w:pPr>
      <w:r w:rsidRPr="008256D0">
        <w:t>Protein provides a pragmatic, if indirect, surrogate for iron and calcium content</w:t>
      </w:r>
      <w:r w:rsidRPr="008256D0">
        <w:rPr>
          <w:rFonts w:cs="Calibri (Body)"/>
          <w:vertAlign w:val="superscript"/>
        </w:rPr>
        <w:footnoteReference w:id="63"/>
      </w:r>
      <w:r w:rsidRPr="008256D0">
        <w:t xml:space="preserve">, which are not mandated in the NIP and both of which are lacking to some degree in Australian and New Zealander diets. </w:t>
      </w:r>
    </w:p>
    <w:p w14:paraId="4011D074" w14:textId="77777777" w:rsidR="000A3464" w:rsidRPr="00CC1ADD" w:rsidRDefault="000A3464" w:rsidP="00173A82">
      <w:pPr>
        <w:pStyle w:val="mpcbullets2"/>
      </w:pPr>
      <w:r w:rsidRPr="00CC1ADD">
        <w:t>The inclusion of protein also serves to offset the intrinsic sugars content (lactose) in dairy.</w:t>
      </w:r>
    </w:p>
    <w:p w14:paraId="0676C384" w14:textId="77777777" w:rsidR="000A3464" w:rsidRPr="00CC1ADD" w:rsidRDefault="000A3464" w:rsidP="00173A82">
      <w:pPr>
        <w:pStyle w:val="mpcbullets2"/>
      </w:pPr>
      <w:r w:rsidRPr="00CC1ADD">
        <w:t>Many FFG foods (nuts, legumes, dairy, lean meats, cereals) are being appropriately promoted through the consideration of protein content.</w:t>
      </w:r>
    </w:p>
    <w:p w14:paraId="320A0EFB" w14:textId="2353A59B" w:rsidR="000A3464" w:rsidRPr="00CC1ADD" w:rsidRDefault="0030513A" w:rsidP="007C5D73">
      <w:pPr>
        <w:pStyle w:val="ListParagraph"/>
        <w:numPr>
          <w:ilvl w:val="0"/>
          <w:numId w:val="24"/>
        </w:numPr>
        <w:rPr>
          <w:rFonts w:cstheme="minorHAnsi"/>
          <w:sz w:val="22"/>
          <w:szCs w:val="22"/>
        </w:rPr>
      </w:pPr>
      <w:r>
        <w:rPr>
          <w:rFonts w:cstheme="minorHAnsi"/>
          <w:sz w:val="22"/>
          <w:szCs w:val="22"/>
        </w:rPr>
        <w:t>f</w:t>
      </w:r>
      <w:r w:rsidR="000A3464" w:rsidRPr="00CC1ADD">
        <w:rPr>
          <w:rFonts w:cstheme="minorHAnsi"/>
          <w:sz w:val="22"/>
          <w:szCs w:val="22"/>
        </w:rPr>
        <w:t>ibre</w:t>
      </w:r>
    </w:p>
    <w:p w14:paraId="46ED7472" w14:textId="77777777" w:rsidR="000A3464" w:rsidRPr="004410ED" w:rsidRDefault="000A3464" w:rsidP="00173A82">
      <w:pPr>
        <w:pStyle w:val="mpcbullets2"/>
      </w:pPr>
      <w:r w:rsidRPr="00CC1ADD">
        <w:t xml:space="preserve">Dietary fibre is </w:t>
      </w:r>
      <w:r w:rsidRPr="004410ED">
        <w:t>usually sourced from cereals, fruits and vegetables.</w:t>
      </w:r>
    </w:p>
    <w:p w14:paraId="1E991B46" w14:textId="77777777" w:rsidR="000A3464" w:rsidRPr="004410ED" w:rsidRDefault="000A3464" w:rsidP="00173A82">
      <w:pPr>
        <w:pStyle w:val="mpcbullets2"/>
      </w:pPr>
      <w:r w:rsidRPr="004410ED">
        <w:t>High dietary fibre intake has been linked to lower rates of overweight and obesity, Type 2 Diabetes, risk of cardiovascular disease and some cancers.</w:t>
      </w:r>
      <w:r w:rsidRPr="008256D0">
        <w:rPr>
          <w:rFonts w:cs="Calibri (Body)"/>
          <w:vertAlign w:val="superscript"/>
        </w:rPr>
        <w:footnoteReference w:id="64"/>
      </w:r>
      <w:r w:rsidRPr="008256D0">
        <w:rPr>
          <w:rFonts w:cs="Calibri (Body)"/>
          <w:vertAlign w:val="superscript"/>
        </w:rPr>
        <w:t>,</w:t>
      </w:r>
      <w:r w:rsidRPr="008256D0">
        <w:rPr>
          <w:rFonts w:cs="Calibri (Body)"/>
          <w:vertAlign w:val="superscript"/>
        </w:rPr>
        <w:footnoteReference w:id="65"/>
      </w:r>
      <w:r w:rsidRPr="008256D0">
        <w:rPr>
          <w:rFonts w:cs="Calibri (Body)"/>
          <w:vertAlign w:val="superscript"/>
        </w:rPr>
        <w:t xml:space="preserve"> </w:t>
      </w:r>
    </w:p>
    <w:p w14:paraId="72B80872" w14:textId="7149214E" w:rsidR="000A3464" w:rsidRPr="004410ED" w:rsidRDefault="000A3464" w:rsidP="00173A82">
      <w:pPr>
        <w:pStyle w:val="mpcbullets2"/>
      </w:pPr>
      <w:r w:rsidRPr="004410ED">
        <w:t>Dietary Guidelines promote the consumption of wholegrain cereals, but the HSR Calculator does not directly account for wholegrain content. However, a wholegrain food may achieve a higher HSR than it otherwise would through the use of fibre modifying points as a proxy.</w:t>
      </w:r>
    </w:p>
    <w:p w14:paraId="1D8FB3C2" w14:textId="77777777" w:rsidR="00FC4168" w:rsidRPr="00CC1ADD" w:rsidRDefault="00FC4168" w:rsidP="00173A82">
      <w:pPr>
        <w:pStyle w:val="mpcbullets2"/>
        <w:numPr>
          <w:ilvl w:val="0"/>
          <w:numId w:val="0"/>
        </w:numPr>
        <w:ind w:left="850"/>
      </w:pPr>
    </w:p>
    <w:p w14:paraId="294B4B69" w14:textId="5F8E362F" w:rsidR="000A3464" w:rsidRPr="00CC1ADD" w:rsidRDefault="000A3464" w:rsidP="00606C93">
      <w:pPr>
        <w:pStyle w:val="mpcheading2"/>
        <w:keepNext/>
        <w:spacing w:after="0"/>
      </w:pPr>
      <w:bookmarkStart w:id="102" w:name="Enhancements"/>
      <w:bookmarkStart w:id="103" w:name="_Toc9955058"/>
      <w:bookmarkEnd w:id="102"/>
      <w:r w:rsidRPr="00CC1ADD">
        <w:t xml:space="preserve">Proposed </w:t>
      </w:r>
      <w:r w:rsidR="006F198B">
        <w:t xml:space="preserve">HSR </w:t>
      </w:r>
      <w:r w:rsidRPr="00CC1ADD">
        <w:t>System enhancements</w:t>
      </w:r>
      <w:bookmarkEnd w:id="103"/>
    </w:p>
    <w:p w14:paraId="4898BE94" w14:textId="77777777" w:rsidR="000A3464" w:rsidRPr="00CC1ADD" w:rsidRDefault="000A3464" w:rsidP="00606C93">
      <w:pPr>
        <w:pStyle w:val="mpcNormal"/>
      </w:pPr>
    </w:p>
    <w:p w14:paraId="26D41FE4" w14:textId="77777777" w:rsidR="000A3464" w:rsidRPr="00CC1ADD" w:rsidRDefault="000A3464" w:rsidP="00606C93">
      <w:pPr>
        <w:pStyle w:val="mpcheading3"/>
        <w:keepNext/>
      </w:pPr>
      <w:bookmarkStart w:id="104" w:name="_Toc523922852"/>
      <w:bookmarkStart w:id="105" w:name="_Toc527112897"/>
      <w:r w:rsidRPr="00CC1ADD">
        <w:t>Fruits and vegetables</w:t>
      </w:r>
      <w:bookmarkEnd w:id="104"/>
      <w:bookmarkEnd w:id="105"/>
    </w:p>
    <w:p w14:paraId="32D8256D" w14:textId="77777777" w:rsidR="000A3464" w:rsidRPr="00CC1ADD" w:rsidRDefault="000A3464" w:rsidP="00606C93">
      <w:pPr>
        <w:pStyle w:val="mpcNormal"/>
      </w:pPr>
    </w:p>
    <w:p w14:paraId="2C71E10F" w14:textId="124B3DD3" w:rsidR="00FF1972" w:rsidRPr="00CC1ADD" w:rsidRDefault="00FF1972" w:rsidP="00606C93">
      <w:pPr>
        <w:pStyle w:val="mpcNormal"/>
      </w:pPr>
      <w:r w:rsidRPr="00CC1ADD">
        <w:t>The HSR Calculator currently attributes different HSRs to different fruits and vegetables based on their nutritional profile (</w:t>
      </w:r>
      <w:r w:rsidR="0030513A">
        <w:t>for example,</w:t>
      </w:r>
      <w:r w:rsidR="0030513A" w:rsidRPr="00CC1ADD">
        <w:t xml:space="preserve"> </w:t>
      </w:r>
      <w:r w:rsidRPr="00CC1ADD">
        <w:t>raspberries, spinach and beans score 5; apples, potatoes, zucchini and cabbage score 4.5; pineapples and lychees score 4), whereas Dietary Guidelines recommend eating a wide variety of fruits and vegetables without distinction. Fruits and vegetables are under consumed across Australia and New Zealand, with only 5.4% of Australians</w:t>
      </w:r>
      <w:r w:rsidRPr="00CC1ADD">
        <w:rPr>
          <w:rStyle w:val="FootnoteReference"/>
        </w:rPr>
        <w:footnoteReference w:id="66"/>
      </w:r>
      <w:r w:rsidRPr="00CC1ADD">
        <w:t xml:space="preserve"> and 41% of New Zealanders meeting their </w:t>
      </w:r>
      <w:r>
        <w:t xml:space="preserve">recommended </w:t>
      </w:r>
      <w:r w:rsidRPr="00CC1ADD">
        <w:t>daily intakes</w:t>
      </w:r>
      <w:r w:rsidRPr="00CC1ADD">
        <w:rPr>
          <w:rStyle w:val="FootnoteReference"/>
        </w:rPr>
        <w:footnoteReference w:id="67"/>
      </w:r>
      <w:r w:rsidRPr="00CC1ADD">
        <w:t>.</w:t>
      </w:r>
    </w:p>
    <w:p w14:paraId="27D3BDB7" w14:textId="77777777" w:rsidR="00FF1972" w:rsidRPr="00CC1ADD" w:rsidRDefault="00FF1972" w:rsidP="00FF1972">
      <w:pPr>
        <w:pStyle w:val="mpcNormal"/>
        <w:keepNext w:val="0"/>
      </w:pPr>
    </w:p>
    <w:p w14:paraId="0121D0FA" w14:textId="77777777" w:rsidR="00FF1972" w:rsidRDefault="00FF1972" w:rsidP="00FF1972">
      <w:pPr>
        <w:pStyle w:val="mpcNormal"/>
        <w:keepNext w:val="0"/>
      </w:pPr>
      <w:r w:rsidRPr="00CC1ADD">
        <w:t xml:space="preserve">Research undertaken by </w:t>
      </w:r>
      <w:r w:rsidRPr="00317B7D">
        <w:t>Woolworths in 2016</w:t>
      </w:r>
      <w:r w:rsidRPr="00CC1ADD">
        <w:t xml:space="preserve"> and 2018 indicated that while consumers understand that fruits and vegetables are healthy, the range of HSRs across these products causes confusion.</w:t>
      </w:r>
      <w:r w:rsidRPr="00CC1ADD">
        <w:rPr>
          <w:rStyle w:val="FootnoteReference"/>
        </w:rPr>
        <w:footnoteReference w:id="68"/>
      </w:r>
    </w:p>
    <w:p w14:paraId="095AC2D7" w14:textId="77777777" w:rsidR="00FF1972" w:rsidRDefault="00FF1972" w:rsidP="00FF1972">
      <w:pPr>
        <w:pStyle w:val="mpcNormal"/>
        <w:keepNext w:val="0"/>
      </w:pPr>
    </w:p>
    <w:p w14:paraId="79F17889" w14:textId="43BEF324" w:rsidR="00FF1972" w:rsidRDefault="00FF1972" w:rsidP="00FF1972">
      <w:pPr>
        <w:pStyle w:val="mpcNormal"/>
        <w:keepNext w:val="0"/>
      </w:pPr>
      <w:r>
        <w:t>The different HSRs for different fruits and vegetables has become more obvious as fruits and vegetables are increasingly being packaged, with processed and/or packaged fruits and vegetables being among the product categories with the highest uptake of the HSR.</w:t>
      </w:r>
    </w:p>
    <w:p w14:paraId="10CF6F92" w14:textId="77777777" w:rsidR="00FF1972" w:rsidRDefault="00FF1972" w:rsidP="009959A5">
      <w:pPr>
        <w:pStyle w:val="mpcNormal"/>
        <w:keepNext w:val="0"/>
      </w:pPr>
    </w:p>
    <w:tbl>
      <w:tblPr>
        <w:tblStyle w:val="TableGrid"/>
        <w:tblW w:w="0" w:type="auto"/>
        <w:tblLook w:val="04A0" w:firstRow="1" w:lastRow="0" w:firstColumn="1" w:lastColumn="0" w:noHBand="0" w:noVBand="1"/>
        <w:tblCaption w:val="Rec 4A"/>
        <w:tblDescription w:val="Recommendation 4A:  Eligible fruits and vegetables automatically receive an HSR of 5."/>
      </w:tblPr>
      <w:tblGrid>
        <w:gridCol w:w="9736"/>
      </w:tblGrid>
      <w:tr w:rsidR="00AC4451" w:rsidRPr="00CC1ADD" w14:paraId="71EA58C1" w14:textId="77777777" w:rsidTr="0059693D">
        <w:trPr>
          <w:trHeight w:val="623"/>
        </w:trPr>
        <w:tc>
          <w:tcPr>
            <w:tcW w:w="9736" w:type="dxa"/>
            <w:shd w:val="clear" w:color="auto" w:fill="D9E2F3" w:themeFill="accent1" w:themeFillTint="33"/>
            <w:vAlign w:val="center"/>
          </w:tcPr>
          <w:p w14:paraId="14BB564C" w14:textId="6644D55D" w:rsidR="00AC4451" w:rsidRPr="009959A5" w:rsidRDefault="00AC4451" w:rsidP="009959A5">
            <w:pPr>
              <w:pStyle w:val="mpcNormal"/>
              <w:keepNext w:val="0"/>
              <w:rPr>
                <w:b/>
              </w:rPr>
            </w:pPr>
            <w:r w:rsidRPr="009959A5">
              <w:rPr>
                <w:b/>
              </w:rPr>
              <w:t>Recommendation</w:t>
            </w:r>
            <w:r w:rsidR="00317B7D" w:rsidRPr="009959A5">
              <w:rPr>
                <w:b/>
              </w:rPr>
              <w:t xml:space="preserve"> 4</w:t>
            </w:r>
            <w:r w:rsidR="00B005CA">
              <w:rPr>
                <w:b/>
              </w:rPr>
              <w:t>A</w:t>
            </w:r>
            <w:r w:rsidRPr="009959A5">
              <w:rPr>
                <w:b/>
              </w:rPr>
              <w:t xml:space="preserve">: </w:t>
            </w:r>
            <w:bookmarkStart w:id="106" w:name="_Toc523922857"/>
            <w:bookmarkStart w:id="107" w:name="_Toc524530333"/>
            <w:r w:rsidRPr="009959A5">
              <w:rPr>
                <w:b/>
              </w:rPr>
              <w:tab/>
            </w:r>
            <w:r w:rsidR="009959A5">
              <w:rPr>
                <w:b/>
              </w:rPr>
              <w:t>E</w:t>
            </w:r>
            <w:r w:rsidRPr="009959A5">
              <w:rPr>
                <w:b/>
              </w:rPr>
              <w:t>ligible fruits and vegetables automatically receive an HSR of 5</w:t>
            </w:r>
            <w:bookmarkEnd w:id="106"/>
            <w:bookmarkEnd w:id="107"/>
            <w:r w:rsidRPr="009959A5">
              <w:rPr>
                <w:b/>
              </w:rPr>
              <w:t>.</w:t>
            </w:r>
          </w:p>
        </w:tc>
      </w:tr>
    </w:tbl>
    <w:p w14:paraId="72834F51" w14:textId="77777777" w:rsidR="004410ED" w:rsidRPr="00CC1ADD" w:rsidRDefault="004410ED" w:rsidP="009959A5">
      <w:pPr>
        <w:pStyle w:val="mpcNormal"/>
        <w:keepNext w:val="0"/>
      </w:pPr>
    </w:p>
    <w:p w14:paraId="3BA250D5" w14:textId="6C5FE5A9" w:rsidR="003F76B3" w:rsidRPr="003F76B3" w:rsidRDefault="00FF1972" w:rsidP="003F76B3">
      <w:pPr>
        <w:pStyle w:val="mpcNormal"/>
        <w:keepNext w:val="0"/>
      </w:pPr>
      <w:r w:rsidRPr="003F76B3">
        <w:t>Th</w:t>
      </w:r>
      <w:r w:rsidR="003F76B3" w:rsidRPr="003F76B3">
        <w:t>is recommendation is intended to apply to packaged fruits and vegetables with a NIP</w:t>
      </w:r>
      <w:r w:rsidR="009924EB">
        <w:t xml:space="preserve"> including </w:t>
      </w:r>
      <w:r w:rsidR="003F76B3" w:rsidRPr="003F76B3">
        <w:t>packaged fresh fruits and vegetable</w:t>
      </w:r>
      <w:r w:rsidR="002D0DD5">
        <w:t>s</w:t>
      </w:r>
      <w:r w:rsidR="003F76B3" w:rsidRPr="003F76B3">
        <w:t>, as well as frozen and canned fruits and vegetables.</w:t>
      </w:r>
    </w:p>
    <w:p w14:paraId="0C488DB1" w14:textId="79AFC3D7" w:rsidR="00FF1972" w:rsidRPr="003F76B3" w:rsidRDefault="003F76B3" w:rsidP="003F76B3">
      <w:pPr>
        <w:pStyle w:val="mpcNormal"/>
        <w:keepNext w:val="0"/>
      </w:pPr>
      <w:r w:rsidRPr="003F76B3">
        <w:br/>
      </w:r>
      <w:r w:rsidR="00FF1972" w:rsidRPr="003F76B3">
        <w:t>While the HSR may be used in connection with unpackaged foods or foods without a NIP (such as online and through in-store banners and shelf tags), this is not the primary aim of the System.</w:t>
      </w:r>
    </w:p>
    <w:p w14:paraId="76D4E776" w14:textId="77777777" w:rsidR="003F76B3" w:rsidRPr="003F76B3" w:rsidRDefault="003F76B3" w:rsidP="003F76B3">
      <w:pPr>
        <w:pStyle w:val="mpcNormal"/>
        <w:keepNext w:val="0"/>
      </w:pPr>
    </w:p>
    <w:p w14:paraId="26BAFBFC" w14:textId="6790F74F" w:rsidR="00FF1972" w:rsidRDefault="002D0DD5" w:rsidP="00FF1972">
      <w:pPr>
        <w:pStyle w:val="mpcNormal"/>
        <w:keepNext w:val="0"/>
      </w:pPr>
      <w:r>
        <w:t>T</w:t>
      </w:r>
      <w:r w:rsidR="003F76B3" w:rsidRPr="003F76B3">
        <w:t xml:space="preserve">he </w:t>
      </w:r>
      <w:r w:rsidR="00FF1972" w:rsidRPr="003F76B3">
        <w:t xml:space="preserve">Review recommends that an automatic </w:t>
      </w:r>
      <w:r w:rsidR="0078722F" w:rsidRPr="003F76B3">
        <w:t xml:space="preserve">HSR of </w:t>
      </w:r>
      <w:r w:rsidR="00FF1972" w:rsidRPr="003F76B3">
        <w:t xml:space="preserve">5 be awarded to the following </w:t>
      </w:r>
      <w:r w:rsidR="003F76B3" w:rsidRPr="003F76B3">
        <w:t>packaged fruits and vegetables with a NIP</w:t>
      </w:r>
      <w:r w:rsidR="003F76B3">
        <w:t xml:space="preserve"> (</w:t>
      </w:r>
      <w:r>
        <w:t>‘</w:t>
      </w:r>
      <w:r w:rsidR="003F76B3">
        <w:t>eligible fruits and vegetables</w:t>
      </w:r>
      <w:r>
        <w:t>’</w:t>
      </w:r>
      <w:r w:rsidR="003F76B3">
        <w:t>)</w:t>
      </w:r>
      <w:r w:rsidR="00FF1972" w:rsidRPr="003F76B3">
        <w:t>:</w:t>
      </w:r>
    </w:p>
    <w:p w14:paraId="6E61AF9C" w14:textId="77777777" w:rsidR="00FF1972" w:rsidRDefault="00FF1972" w:rsidP="00FF1972">
      <w:pPr>
        <w:pStyle w:val="mpcNormal"/>
        <w:keepNext w:val="0"/>
      </w:pPr>
    </w:p>
    <w:p w14:paraId="34D9D2AB" w14:textId="77777777" w:rsidR="0078722F" w:rsidRPr="00ED385A" w:rsidRDefault="0078722F" w:rsidP="007E0D2C">
      <w:pPr>
        <w:pStyle w:val="mpcbullets1"/>
        <w:numPr>
          <w:ilvl w:val="0"/>
          <w:numId w:val="23"/>
        </w:numPr>
      </w:pPr>
      <w:r w:rsidRPr="00ED385A">
        <w:t>unprocessed fruits and vegetables (including legumes</w:t>
      </w:r>
      <w:r>
        <w:t xml:space="preserve"> except peanuts</w:t>
      </w:r>
      <w:r w:rsidRPr="00ED385A">
        <w:t>)</w:t>
      </w:r>
    </w:p>
    <w:p w14:paraId="2373B13B" w14:textId="77777777" w:rsidR="0078722F" w:rsidRPr="00ED385A" w:rsidRDefault="0078722F" w:rsidP="007E0D2C">
      <w:pPr>
        <w:pStyle w:val="mpcbullets1"/>
        <w:numPr>
          <w:ilvl w:val="0"/>
          <w:numId w:val="23"/>
        </w:numPr>
      </w:pPr>
      <w:r w:rsidRPr="00ED385A">
        <w:t>fruits and vegetables (including legumes</w:t>
      </w:r>
      <w:r w:rsidRPr="00A11989">
        <w:t xml:space="preserve"> </w:t>
      </w:r>
      <w:r>
        <w:t>except peanuts</w:t>
      </w:r>
      <w:r w:rsidRPr="00ED385A">
        <w:t>) that have been processed only to the extent they have been peeled, blanched, chopped or frozen such that their nutritional profile has not changed.</w:t>
      </w:r>
    </w:p>
    <w:p w14:paraId="2862E65F" w14:textId="77777777" w:rsidR="0078722F" w:rsidRPr="00ED385A" w:rsidRDefault="0078722F" w:rsidP="007E0D2C">
      <w:pPr>
        <w:pStyle w:val="mpcbullets1"/>
        <w:numPr>
          <w:ilvl w:val="0"/>
          <w:numId w:val="0"/>
        </w:numPr>
      </w:pPr>
    </w:p>
    <w:p w14:paraId="5C38C9C7" w14:textId="16239394" w:rsidR="00FF1972" w:rsidRDefault="0078722F" w:rsidP="00C37FC6">
      <w:pPr>
        <w:pStyle w:val="mpcbullets1"/>
        <w:numPr>
          <w:ilvl w:val="0"/>
          <w:numId w:val="0"/>
        </w:numPr>
      </w:pPr>
      <w:r w:rsidRPr="002D0DD5">
        <w:t>This excludes</w:t>
      </w:r>
      <w:r w:rsidR="00C37FC6">
        <w:t xml:space="preserve"> </w:t>
      </w:r>
      <w:r w:rsidRPr="002D0DD5">
        <w:t xml:space="preserve">any fruits, vegetables or legumes that have been juiced, pureed, made into a concentrate, dried or have any additional ingredient including sugar, salt, fat, emulsifiers, colours, flavours or other additives (other than those as defined by the Code </w:t>
      </w:r>
      <w:hyperlink r:id="rId61" w:history="1">
        <w:r w:rsidRPr="002D0DD5">
          <w:rPr>
            <w:rStyle w:val="Hyperlink"/>
            <w:i/>
          </w:rPr>
          <w:t>Standard 1.3.1 Food additives</w:t>
        </w:r>
      </w:hyperlink>
      <w:r w:rsidRPr="002D0DD5">
        <w:t>)</w:t>
      </w:r>
      <w:r w:rsidR="00C37FC6">
        <w:t>.</w:t>
      </w:r>
    </w:p>
    <w:p w14:paraId="2C53D5E8" w14:textId="77777777" w:rsidR="00C37FC6" w:rsidRPr="00C37FC6" w:rsidRDefault="00C37FC6" w:rsidP="00C37FC6">
      <w:pPr>
        <w:pStyle w:val="mpcbullets1"/>
        <w:numPr>
          <w:ilvl w:val="0"/>
          <w:numId w:val="0"/>
        </w:numPr>
      </w:pPr>
    </w:p>
    <w:p w14:paraId="4B0B3134" w14:textId="343E2301" w:rsidR="00FF1972" w:rsidRDefault="00FF1972" w:rsidP="00FF1972">
      <w:pPr>
        <w:rPr>
          <w:rFonts w:cstheme="minorHAnsi"/>
          <w:sz w:val="22"/>
          <w:szCs w:val="22"/>
        </w:rPr>
      </w:pPr>
      <w:r>
        <w:rPr>
          <w:rFonts w:cstheme="minorHAnsi"/>
          <w:sz w:val="22"/>
          <w:szCs w:val="22"/>
        </w:rPr>
        <w:t>For fruit and vegetable products (such as dried fruits and vegetables, juices, purees, canned fruits with added sugar and canned vegetables with added salt), the HSR Calculator would continue to determine the relevant HSR.</w:t>
      </w:r>
      <w:r w:rsidR="004A6A27">
        <w:rPr>
          <w:rFonts w:cstheme="minorHAnsi"/>
          <w:sz w:val="22"/>
          <w:szCs w:val="22"/>
        </w:rPr>
        <w:t xml:space="preserve"> Table 3 provides examples of what would and would not be considered eligible for an automatic HSR of 5.</w:t>
      </w:r>
    </w:p>
    <w:p w14:paraId="0CA003EE" w14:textId="6CA38A1E" w:rsidR="000A3464" w:rsidRDefault="000A3464" w:rsidP="006D135E">
      <w:pPr>
        <w:pStyle w:val="mpcNormal"/>
        <w:keepNext w:val="0"/>
      </w:pPr>
    </w:p>
    <w:p w14:paraId="58F6A033" w14:textId="3A3D5C63" w:rsidR="004A6A27" w:rsidRDefault="004A6A27" w:rsidP="00707297">
      <w:pPr>
        <w:pStyle w:val="mpctableheading"/>
        <w:keepNext/>
      </w:pPr>
      <w:r>
        <w:t>Table 3: E</w:t>
      </w:r>
      <w:r>
        <w:rPr>
          <w:rFonts w:cstheme="minorHAnsi"/>
          <w:szCs w:val="22"/>
        </w:rPr>
        <w:t>xamples o</w:t>
      </w:r>
      <w:r>
        <w:t xml:space="preserve">f products that would and would not be eligible for automatic </w:t>
      </w:r>
      <w:r w:rsidR="0078722F">
        <w:t xml:space="preserve">HSR of </w:t>
      </w:r>
      <w:r>
        <w:t>5</w:t>
      </w:r>
    </w:p>
    <w:p w14:paraId="7F3D4596" w14:textId="77777777" w:rsidR="004A6A27" w:rsidRPr="00CC1ADD" w:rsidRDefault="004A6A27" w:rsidP="00707297">
      <w:pPr>
        <w:pStyle w:val="mpcNormal"/>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Caption w:val="Examples"/>
        <w:tblDescription w:val="This table provides examples of products that would and would not be eligible for automatic 5 stars."/>
      </w:tblPr>
      <w:tblGrid>
        <w:gridCol w:w="4111"/>
        <w:gridCol w:w="5625"/>
      </w:tblGrid>
      <w:tr w:rsidR="000A3464" w:rsidRPr="00396ECE" w14:paraId="067B0FD5" w14:textId="77777777" w:rsidTr="00D03694">
        <w:trPr>
          <w:cantSplit/>
          <w:trHeight w:val="426"/>
          <w:tblHeader/>
        </w:trPr>
        <w:tc>
          <w:tcPr>
            <w:tcW w:w="4111" w:type="dxa"/>
            <w:shd w:val="clear" w:color="auto" w:fill="516A8E"/>
            <w:vAlign w:val="center"/>
          </w:tcPr>
          <w:p w14:paraId="71C36859" w14:textId="366EF26C" w:rsidR="000A3464" w:rsidRPr="00D03694" w:rsidRDefault="000A3464" w:rsidP="00707297">
            <w:pPr>
              <w:pStyle w:val="mpcNormal"/>
              <w:rPr>
                <w:b/>
                <w:color w:val="FFFFFF" w:themeColor="background1"/>
                <w:sz w:val="20"/>
                <w:szCs w:val="20"/>
              </w:rPr>
            </w:pPr>
            <w:r w:rsidRPr="00D03694">
              <w:rPr>
                <w:b/>
                <w:color w:val="FFFFFF" w:themeColor="background1"/>
                <w:sz w:val="20"/>
                <w:szCs w:val="20"/>
              </w:rPr>
              <w:t xml:space="preserve">Products eligible for automatic </w:t>
            </w:r>
            <w:r w:rsidR="0078722F" w:rsidRPr="00D03694">
              <w:rPr>
                <w:b/>
                <w:color w:val="FFFFFF" w:themeColor="background1"/>
                <w:sz w:val="20"/>
                <w:szCs w:val="20"/>
              </w:rPr>
              <w:t xml:space="preserve">HSR of </w:t>
            </w:r>
            <w:r w:rsidRPr="00D03694">
              <w:rPr>
                <w:b/>
                <w:color w:val="FFFFFF" w:themeColor="background1"/>
                <w:sz w:val="20"/>
                <w:szCs w:val="20"/>
              </w:rPr>
              <w:t xml:space="preserve">5 </w:t>
            </w:r>
          </w:p>
        </w:tc>
        <w:tc>
          <w:tcPr>
            <w:tcW w:w="5625" w:type="dxa"/>
            <w:shd w:val="clear" w:color="auto" w:fill="516A8E"/>
            <w:vAlign w:val="center"/>
          </w:tcPr>
          <w:p w14:paraId="70870295" w14:textId="04030FF8" w:rsidR="000A3464" w:rsidRPr="00D03694" w:rsidRDefault="000A3464" w:rsidP="00707297">
            <w:pPr>
              <w:pStyle w:val="mpcNormal"/>
              <w:rPr>
                <w:b/>
                <w:color w:val="FFFFFF" w:themeColor="background1"/>
                <w:sz w:val="20"/>
                <w:szCs w:val="20"/>
              </w:rPr>
            </w:pPr>
            <w:r w:rsidRPr="00D03694">
              <w:rPr>
                <w:b/>
                <w:color w:val="FFFFFF" w:themeColor="background1"/>
                <w:sz w:val="20"/>
                <w:szCs w:val="20"/>
              </w:rPr>
              <w:t xml:space="preserve">Products not eligible for automatic </w:t>
            </w:r>
            <w:r w:rsidR="0078722F" w:rsidRPr="00D03694">
              <w:rPr>
                <w:b/>
                <w:color w:val="FFFFFF" w:themeColor="background1"/>
                <w:sz w:val="20"/>
                <w:szCs w:val="20"/>
              </w:rPr>
              <w:t xml:space="preserve">HSR of </w:t>
            </w:r>
            <w:r w:rsidRPr="00D03694">
              <w:rPr>
                <w:b/>
                <w:color w:val="FFFFFF" w:themeColor="background1"/>
                <w:sz w:val="20"/>
                <w:szCs w:val="20"/>
              </w:rPr>
              <w:t>5</w:t>
            </w:r>
          </w:p>
        </w:tc>
      </w:tr>
      <w:tr w:rsidR="000A3464" w:rsidRPr="00396ECE" w14:paraId="4D0D9B4C" w14:textId="77777777" w:rsidTr="00D03694">
        <w:trPr>
          <w:cantSplit/>
          <w:tblHeader/>
        </w:trPr>
        <w:tc>
          <w:tcPr>
            <w:tcW w:w="4111" w:type="dxa"/>
          </w:tcPr>
          <w:p w14:paraId="3A1B220A" w14:textId="77777777" w:rsidR="000A3464" w:rsidRPr="00D03694" w:rsidRDefault="000A3464" w:rsidP="007E0D2C">
            <w:pPr>
              <w:pStyle w:val="mpcbullets1"/>
              <w:numPr>
                <w:ilvl w:val="0"/>
                <w:numId w:val="20"/>
              </w:numPr>
              <w:rPr>
                <w:sz w:val="20"/>
                <w:szCs w:val="20"/>
              </w:rPr>
            </w:pPr>
            <w:r w:rsidRPr="00D03694">
              <w:rPr>
                <w:sz w:val="20"/>
                <w:szCs w:val="20"/>
              </w:rPr>
              <w:t>salad mixes with no added</w:t>
            </w:r>
            <w:r w:rsidRPr="00D03694">
              <w:rPr>
                <w:rFonts w:cs="Times New Roman"/>
                <w:sz w:val="20"/>
                <w:szCs w:val="20"/>
              </w:rPr>
              <w:t xml:space="preserve"> </w:t>
            </w:r>
            <w:r w:rsidRPr="00D03694">
              <w:rPr>
                <w:sz w:val="20"/>
                <w:szCs w:val="20"/>
              </w:rPr>
              <w:t>dressing, croutons or other foods</w:t>
            </w:r>
          </w:p>
          <w:p w14:paraId="3DF5B44C" w14:textId="42586265" w:rsidR="000A3464" w:rsidRPr="00D03694" w:rsidRDefault="000A3464" w:rsidP="007E0D2C">
            <w:pPr>
              <w:pStyle w:val="mpcbullets1"/>
              <w:numPr>
                <w:ilvl w:val="0"/>
                <w:numId w:val="20"/>
              </w:numPr>
              <w:rPr>
                <w:sz w:val="20"/>
                <w:szCs w:val="20"/>
              </w:rPr>
            </w:pPr>
            <w:r w:rsidRPr="00D03694">
              <w:rPr>
                <w:sz w:val="20"/>
                <w:szCs w:val="20"/>
              </w:rPr>
              <w:t>chopped pineapple, watermelon and rockmelon</w:t>
            </w:r>
          </w:p>
          <w:p w14:paraId="16129936" w14:textId="77777777" w:rsidR="000A3464" w:rsidRPr="00D03694" w:rsidRDefault="000A3464" w:rsidP="007E0D2C">
            <w:pPr>
              <w:pStyle w:val="mpcbullets1"/>
              <w:numPr>
                <w:ilvl w:val="0"/>
                <w:numId w:val="20"/>
              </w:numPr>
              <w:rPr>
                <w:sz w:val="20"/>
                <w:szCs w:val="20"/>
              </w:rPr>
            </w:pPr>
            <w:r w:rsidRPr="00D03694">
              <w:rPr>
                <w:sz w:val="20"/>
                <w:szCs w:val="20"/>
              </w:rPr>
              <w:t>frozen peas or berries</w:t>
            </w:r>
          </w:p>
          <w:p w14:paraId="628C58AC" w14:textId="77777777" w:rsidR="000A3464" w:rsidRPr="00D03694" w:rsidRDefault="000A3464" w:rsidP="007E0D2C">
            <w:pPr>
              <w:pStyle w:val="mpcbullets1"/>
              <w:numPr>
                <w:ilvl w:val="0"/>
                <w:numId w:val="20"/>
              </w:numPr>
              <w:rPr>
                <w:sz w:val="20"/>
                <w:szCs w:val="20"/>
              </w:rPr>
            </w:pPr>
            <w:r w:rsidRPr="00D03694">
              <w:rPr>
                <w:sz w:val="20"/>
                <w:szCs w:val="20"/>
              </w:rPr>
              <w:t>apple slices covered in a glazing agent such as beeswax to improve appearance and prevent browning</w:t>
            </w:r>
          </w:p>
          <w:p w14:paraId="78B89DB1" w14:textId="77777777" w:rsidR="000A3464" w:rsidRPr="00D03694" w:rsidRDefault="000A3464" w:rsidP="007E0D2C">
            <w:pPr>
              <w:pStyle w:val="mpcbullets1"/>
              <w:rPr>
                <w:sz w:val="20"/>
                <w:szCs w:val="20"/>
              </w:rPr>
            </w:pPr>
            <w:r w:rsidRPr="00D03694">
              <w:rPr>
                <w:sz w:val="20"/>
                <w:szCs w:val="20"/>
              </w:rPr>
              <w:t>canned water chestnuts with water and acidity regulator (citric acid) to improve shelf-life stability</w:t>
            </w:r>
          </w:p>
          <w:p w14:paraId="1F287C8F" w14:textId="77777777" w:rsidR="00044DB4" w:rsidRPr="00D03694" w:rsidRDefault="00044DB4" w:rsidP="007E0D2C">
            <w:pPr>
              <w:pStyle w:val="mpcbullets1"/>
              <w:rPr>
                <w:sz w:val="20"/>
                <w:szCs w:val="20"/>
              </w:rPr>
            </w:pPr>
            <w:r w:rsidRPr="00D03694">
              <w:rPr>
                <w:sz w:val="20"/>
                <w:szCs w:val="20"/>
              </w:rPr>
              <w:t xml:space="preserve">canned corn in water </w:t>
            </w:r>
          </w:p>
          <w:p w14:paraId="6F3F2C86" w14:textId="77777777" w:rsidR="00643890" w:rsidRPr="00D03694" w:rsidRDefault="00643890" w:rsidP="007E0D2C">
            <w:pPr>
              <w:pStyle w:val="mpcbullets1"/>
              <w:rPr>
                <w:sz w:val="20"/>
                <w:szCs w:val="20"/>
              </w:rPr>
            </w:pPr>
            <w:r w:rsidRPr="00D03694">
              <w:rPr>
                <w:sz w:val="20"/>
                <w:szCs w:val="20"/>
              </w:rPr>
              <w:t>frozen coconut chunks</w:t>
            </w:r>
          </w:p>
          <w:p w14:paraId="5DAAC48A" w14:textId="659C01D2" w:rsidR="00643890" w:rsidRPr="00D03694" w:rsidRDefault="00643890" w:rsidP="007E0D2C">
            <w:pPr>
              <w:pStyle w:val="mpcbullets1"/>
              <w:rPr>
                <w:sz w:val="20"/>
                <w:szCs w:val="20"/>
              </w:rPr>
            </w:pPr>
            <w:r w:rsidRPr="00D03694">
              <w:rPr>
                <w:sz w:val="20"/>
                <w:szCs w:val="20"/>
              </w:rPr>
              <w:t>fresh mushrooms, fresh herbs</w:t>
            </w:r>
          </w:p>
        </w:tc>
        <w:tc>
          <w:tcPr>
            <w:tcW w:w="5625" w:type="dxa"/>
          </w:tcPr>
          <w:p w14:paraId="7B42D7FE" w14:textId="2200DCE7" w:rsidR="000A3464" w:rsidRPr="00D03694" w:rsidRDefault="000A3464" w:rsidP="007E0D2C">
            <w:pPr>
              <w:pStyle w:val="mpcbullets1"/>
              <w:numPr>
                <w:ilvl w:val="0"/>
                <w:numId w:val="20"/>
              </w:numPr>
              <w:rPr>
                <w:sz w:val="20"/>
                <w:szCs w:val="20"/>
              </w:rPr>
            </w:pPr>
            <w:r w:rsidRPr="00D03694">
              <w:rPr>
                <w:sz w:val="20"/>
                <w:szCs w:val="20"/>
              </w:rPr>
              <w:t>dried fruits – higher energy density and ‘stickiness’ which may have implications for dental caries</w:t>
            </w:r>
          </w:p>
          <w:p w14:paraId="4E6520C3" w14:textId="77777777" w:rsidR="000A3464" w:rsidRPr="00D03694" w:rsidRDefault="000A3464" w:rsidP="007E0D2C">
            <w:pPr>
              <w:pStyle w:val="mpcbullets1"/>
              <w:numPr>
                <w:ilvl w:val="0"/>
                <w:numId w:val="20"/>
              </w:numPr>
              <w:rPr>
                <w:sz w:val="20"/>
                <w:szCs w:val="20"/>
              </w:rPr>
            </w:pPr>
            <w:r w:rsidRPr="00D03694">
              <w:rPr>
                <w:sz w:val="20"/>
                <w:szCs w:val="20"/>
              </w:rPr>
              <w:t>fruit juice – low fibre content and higher energy and sugars density</w:t>
            </w:r>
          </w:p>
          <w:p w14:paraId="7B2712DE" w14:textId="77777777" w:rsidR="000A3464" w:rsidRPr="00D03694" w:rsidRDefault="000A3464" w:rsidP="007E0D2C">
            <w:pPr>
              <w:pStyle w:val="mpcbullets1"/>
              <w:numPr>
                <w:ilvl w:val="0"/>
                <w:numId w:val="20"/>
              </w:numPr>
              <w:rPr>
                <w:sz w:val="20"/>
                <w:szCs w:val="20"/>
              </w:rPr>
            </w:pPr>
            <w:r w:rsidRPr="00D03694">
              <w:rPr>
                <w:sz w:val="20"/>
                <w:szCs w:val="20"/>
              </w:rPr>
              <w:t>pickled vegetables – higher sodium and reduced fibre content</w:t>
            </w:r>
          </w:p>
          <w:p w14:paraId="5F53D67C" w14:textId="77777777" w:rsidR="001F53B9" w:rsidRPr="00D03694" w:rsidRDefault="001F53B9" w:rsidP="007E0D2C">
            <w:pPr>
              <w:pStyle w:val="mpcbullets1"/>
              <w:numPr>
                <w:ilvl w:val="0"/>
                <w:numId w:val="20"/>
              </w:numPr>
              <w:rPr>
                <w:sz w:val="20"/>
                <w:szCs w:val="20"/>
              </w:rPr>
            </w:pPr>
            <w:r w:rsidRPr="00D03694">
              <w:rPr>
                <w:sz w:val="20"/>
                <w:szCs w:val="20"/>
              </w:rPr>
              <w:t>canned pears in juice or syrup – free sugars with higher energy density</w:t>
            </w:r>
          </w:p>
          <w:p w14:paraId="1501DAF5" w14:textId="1DAFD2A8" w:rsidR="00AC4A89" w:rsidRPr="00D03694" w:rsidRDefault="00AC4A89" w:rsidP="007E0D2C">
            <w:pPr>
              <w:pStyle w:val="mpcbullets1"/>
              <w:numPr>
                <w:ilvl w:val="0"/>
                <w:numId w:val="20"/>
              </w:numPr>
              <w:rPr>
                <w:sz w:val="20"/>
                <w:szCs w:val="20"/>
              </w:rPr>
            </w:pPr>
            <w:r w:rsidRPr="00D03694">
              <w:rPr>
                <w:sz w:val="20"/>
                <w:szCs w:val="20"/>
              </w:rPr>
              <w:t>frozen chips</w:t>
            </w:r>
            <w:r w:rsidR="00F005A6" w:rsidRPr="00D03694">
              <w:rPr>
                <w:sz w:val="20"/>
                <w:szCs w:val="20"/>
              </w:rPr>
              <w:t xml:space="preserve"> – added oil/fat and sodium </w:t>
            </w:r>
          </w:p>
          <w:p w14:paraId="36DB3E52" w14:textId="41412464" w:rsidR="00AC4A89" w:rsidRPr="00D03694" w:rsidRDefault="0078722F" w:rsidP="007E0D2C">
            <w:pPr>
              <w:pStyle w:val="mpcbullets1"/>
              <w:numPr>
                <w:ilvl w:val="0"/>
                <w:numId w:val="20"/>
              </w:numPr>
              <w:rPr>
                <w:sz w:val="20"/>
                <w:szCs w:val="20"/>
              </w:rPr>
            </w:pPr>
            <w:r w:rsidRPr="00D03694">
              <w:rPr>
                <w:sz w:val="20"/>
                <w:szCs w:val="20"/>
              </w:rPr>
              <w:t>canned vegetables</w:t>
            </w:r>
            <w:r w:rsidR="00AC4A89" w:rsidRPr="00D03694">
              <w:rPr>
                <w:sz w:val="20"/>
                <w:szCs w:val="20"/>
              </w:rPr>
              <w:t xml:space="preserve"> in brine</w:t>
            </w:r>
            <w:r w:rsidR="00F005A6" w:rsidRPr="00D03694">
              <w:rPr>
                <w:sz w:val="20"/>
                <w:szCs w:val="20"/>
              </w:rPr>
              <w:t xml:space="preserve"> – added sodium</w:t>
            </w:r>
          </w:p>
          <w:p w14:paraId="226CA5DC" w14:textId="77777777" w:rsidR="00F005A6" w:rsidRPr="00D03694" w:rsidRDefault="00F005A6" w:rsidP="007E0D2C">
            <w:pPr>
              <w:pStyle w:val="mpcbullets1"/>
              <w:numPr>
                <w:ilvl w:val="0"/>
                <w:numId w:val="20"/>
              </w:numPr>
              <w:rPr>
                <w:sz w:val="20"/>
                <w:szCs w:val="20"/>
              </w:rPr>
            </w:pPr>
            <w:r w:rsidRPr="00D03694">
              <w:rPr>
                <w:sz w:val="20"/>
                <w:szCs w:val="20"/>
              </w:rPr>
              <w:t>asparagus spears in water with added sugars and sodium</w:t>
            </w:r>
          </w:p>
          <w:p w14:paraId="6536F76E" w14:textId="4E578A83" w:rsidR="00F005A6" w:rsidRPr="00D03694" w:rsidRDefault="00F005A6" w:rsidP="007E0D2C">
            <w:pPr>
              <w:pStyle w:val="mpcbullets1"/>
              <w:numPr>
                <w:ilvl w:val="0"/>
                <w:numId w:val="20"/>
              </w:numPr>
              <w:rPr>
                <w:sz w:val="20"/>
                <w:szCs w:val="20"/>
              </w:rPr>
            </w:pPr>
            <w:r w:rsidRPr="00D03694">
              <w:rPr>
                <w:sz w:val="20"/>
                <w:szCs w:val="20"/>
              </w:rPr>
              <w:t xml:space="preserve">canned tomatoes in tomato juice </w:t>
            </w:r>
            <w:r w:rsidR="00044DB4" w:rsidRPr="00D03694">
              <w:rPr>
                <w:sz w:val="20"/>
                <w:szCs w:val="20"/>
              </w:rPr>
              <w:t>–</w:t>
            </w:r>
            <w:r w:rsidRPr="00D03694">
              <w:rPr>
                <w:sz w:val="20"/>
                <w:szCs w:val="20"/>
              </w:rPr>
              <w:t xml:space="preserve"> </w:t>
            </w:r>
            <w:r w:rsidR="00044DB4" w:rsidRPr="00D03694">
              <w:rPr>
                <w:sz w:val="20"/>
                <w:szCs w:val="20"/>
              </w:rPr>
              <w:t>free sugars with higher energy density</w:t>
            </w:r>
          </w:p>
          <w:p w14:paraId="18A6AB7D" w14:textId="0F83CCE1" w:rsidR="00D52F71" w:rsidRPr="00D03694" w:rsidRDefault="00D52F71" w:rsidP="007E0D2C">
            <w:pPr>
              <w:pStyle w:val="mpcbullets1"/>
              <w:numPr>
                <w:ilvl w:val="0"/>
                <w:numId w:val="20"/>
              </w:numPr>
              <w:rPr>
                <w:sz w:val="20"/>
                <w:szCs w:val="20"/>
              </w:rPr>
            </w:pPr>
            <w:r w:rsidRPr="00D03694">
              <w:rPr>
                <w:sz w:val="20"/>
                <w:szCs w:val="20"/>
              </w:rPr>
              <w:t>peanuts – nutritional profile closer to that of nuts than legumes (high total fat content)</w:t>
            </w:r>
          </w:p>
        </w:tc>
      </w:tr>
    </w:tbl>
    <w:p w14:paraId="1E0B97FD" w14:textId="77777777" w:rsidR="000A3464" w:rsidRPr="00CC1ADD" w:rsidRDefault="000A3464" w:rsidP="005A3631">
      <w:pPr>
        <w:rPr>
          <w:rFonts w:cstheme="minorHAnsi"/>
          <w:szCs w:val="22"/>
        </w:rPr>
      </w:pPr>
    </w:p>
    <w:p w14:paraId="52BF6D54" w14:textId="0BA65A31" w:rsidR="000A3464" w:rsidRDefault="00FF1972">
      <w:pPr>
        <w:rPr>
          <w:rFonts w:cstheme="minorHAnsi"/>
          <w:sz w:val="22"/>
          <w:szCs w:val="22"/>
        </w:rPr>
      </w:pPr>
      <w:r>
        <w:rPr>
          <w:rFonts w:cstheme="minorHAnsi"/>
          <w:sz w:val="22"/>
          <w:szCs w:val="22"/>
        </w:rPr>
        <w:t xml:space="preserve">This </w:t>
      </w:r>
      <w:r w:rsidR="00F20CE4">
        <w:rPr>
          <w:rFonts w:cstheme="minorHAnsi"/>
          <w:sz w:val="22"/>
          <w:szCs w:val="22"/>
        </w:rPr>
        <w:t>recommendation</w:t>
      </w:r>
      <w:r>
        <w:rPr>
          <w:rFonts w:cstheme="minorHAnsi"/>
          <w:sz w:val="22"/>
          <w:szCs w:val="22"/>
        </w:rPr>
        <w:t>:</w:t>
      </w:r>
    </w:p>
    <w:p w14:paraId="3D7A1F3C" w14:textId="77777777" w:rsidR="00FF1972" w:rsidRPr="00CC1ADD" w:rsidRDefault="00FF1972">
      <w:pPr>
        <w:rPr>
          <w:rFonts w:cstheme="minorHAnsi"/>
          <w:sz w:val="22"/>
          <w:szCs w:val="22"/>
        </w:rPr>
      </w:pPr>
    </w:p>
    <w:p w14:paraId="14D21113" w14:textId="77777777" w:rsidR="000A3464" w:rsidRPr="00CC1ADD" w:rsidRDefault="000A3464" w:rsidP="007E0D2C">
      <w:pPr>
        <w:pStyle w:val="mpcbullets1"/>
        <w:numPr>
          <w:ilvl w:val="0"/>
          <w:numId w:val="23"/>
        </w:numPr>
      </w:pPr>
      <w:r w:rsidRPr="00CC1ADD">
        <w:t>improves consistency with Dietary Guidelines in promoting the consumption of a variety of fruits and vegetables</w:t>
      </w:r>
    </w:p>
    <w:p w14:paraId="59E5CC69" w14:textId="4ACB87D8" w:rsidR="000A3464" w:rsidRPr="00CC1ADD" w:rsidRDefault="000A3464" w:rsidP="00173A82">
      <w:pPr>
        <w:pStyle w:val="mpcbullets2"/>
      </w:pPr>
      <w:r w:rsidRPr="00CC1ADD">
        <w:t xml:space="preserve">2% (103) </w:t>
      </w:r>
      <w:r w:rsidR="00B005CA">
        <w:t xml:space="preserve">of </w:t>
      </w:r>
      <w:r w:rsidRPr="00CC1ADD">
        <w:t>products in the TAG database would see an increase in their HSR (of between 0.5 to 1)</w:t>
      </w:r>
      <w:r w:rsidR="006F198B">
        <w:t>.</w:t>
      </w:r>
    </w:p>
    <w:p w14:paraId="5FDFAF0F" w14:textId="77777777" w:rsidR="000A3464" w:rsidRPr="00CC1ADD" w:rsidRDefault="000A3464" w:rsidP="00173A82">
      <w:pPr>
        <w:pStyle w:val="mpcbullets2"/>
      </w:pPr>
      <w:r w:rsidRPr="00CC1ADD">
        <w:t>97% (32) of fresh fruits and 48% (30) of fresh vegetables in the TAG database would see an increase in their HSRs.</w:t>
      </w:r>
    </w:p>
    <w:p w14:paraId="234BC744" w14:textId="4ED1B33B" w:rsidR="000A3464" w:rsidRPr="00CC1ADD" w:rsidRDefault="000A3464" w:rsidP="00173A82">
      <w:pPr>
        <w:pStyle w:val="mpcbullets2"/>
      </w:pPr>
      <w:r w:rsidRPr="00CC1ADD">
        <w:t>1% (1) of minimally processed fruits and 13% (40) of minimally processed vegetables in the TAG database would also see an increase in their HSRs (noting there is limited representation in this category in the TAG database, so the true proportion is likely higher).</w:t>
      </w:r>
    </w:p>
    <w:p w14:paraId="265B51CC" w14:textId="223A06DF" w:rsidR="000A3464" w:rsidRPr="006F198B" w:rsidRDefault="000A3464" w:rsidP="007C5D73">
      <w:pPr>
        <w:pStyle w:val="ListParagraph"/>
        <w:widowControl w:val="0"/>
        <w:numPr>
          <w:ilvl w:val="0"/>
          <w:numId w:val="23"/>
        </w:numPr>
        <w:rPr>
          <w:sz w:val="22"/>
          <w:szCs w:val="22"/>
        </w:rPr>
      </w:pPr>
      <w:r w:rsidRPr="006F198B">
        <w:rPr>
          <w:sz w:val="22"/>
          <w:szCs w:val="22"/>
        </w:rPr>
        <w:t>is supported by stakeholders</w:t>
      </w:r>
    </w:p>
    <w:p w14:paraId="185DB62F" w14:textId="1DD62C27" w:rsidR="000A3464" w:rsidRPr="009924EB" w:rsidRDefault="000A3464" w:rsidP="00173A82">
      <w:pPr>
        <w:pStyle w:val="mpcbullets2"/>
      </w:pPr>
      <w:r w:rsidRPr="009924EB">
        <w:t xml:space="preserve">72% of stakeholders responding to the October 2018 </w:t>
      </w:r>
      <w:hyperlink r:id="rId62" w:history="1">
        <w:r w:rsidRPr="009924EB">
          <w:rPr>
            <w:rStyle w:val="Hyperlink"/>
          </w:rPr>
          <w:t>Consultation Paper</w:t>
        </w:r>
      </w:hyperlink>
      <w:r w:rsidRPr="009924EB">
        <w:t xml:space="preserve"> supported this option, noting that it makes logical sense to consumers and will likely improve the public health impact of the HSR System.</w:t>
      </w:r>
    </w:p>
    <w:p w14:paraId="5E22EFF4" w14:textId="585F9D67" w:rsidR="000A3464" w:rsidRPr="00CC1ADD" w:rsidRDefault="000A3464" w:rsidP="007E0D2C">
      <w:pPr>
        <w:pStyle w:val="mpcbullets1"/>
      </w:pPr>
      <w:r w:rsidRPr="00CC1ADD">
        <w:t>recognises that most consumers do not differentiate between the relative nutritional value of fruits (for example, comparing a pineapple to a raspberry)</w:t>
      </w:r>
    </w:p>
    <w:p w14:paraId="7D5C5D65" w14:textId="6BF6DC7F" w:rsidR="000A3464" w:rsidRPr="00CC1ADD" w:rsidRDefault="000A3464" w:rsidP="00173A82">
      <w:pPr>
        <w:pStyle w:val="mpcbullets2"/>
      </w:pPr>
      <w:r w:rsidRPr="00CC1ADD">
        <w:t>While this approach would (to a small degree) lessen consumers’ ability to differentiate between fruits and vegetables based on small nutritional differences, Dietary Guidelines do not distinguish between different types of fruits and vegetables, instead encouraging consumption of a wide range of these foods.</w:t>
      </w:r>
    </w:p>
    <w:p w14:paraId="4660FD62" w14:textId="3D9472D9" w:rsidR="000A3464" w:rsidRPr="00CC1ADD" w:rsidRDefault="000A3464" w:rsidP="007E0D2C">
      <w:pPr>
        <w:pStyle w:val="mpcbullets1"/>
      </w:pPr>
      <w:r w:rsidRPr="00CC1ADD">
        <w:t>ensures that fruit and vegetable juices would not score higher than their whole equivalents.</w:t>
      </w:r>
    </w:p>
    <w:p w14:paraId="11E56050" w14:textId="4BEB5718" w:rsidR="000A3464" w:rsidRDefault="000A3464" w:rsidP="006D135E">
      <w:pPr>
        <w:pStyle w:val="mpcNormal"/>
        <w:keepNext w:val="0"/>
      </w:pPr>
    </w:p>
    <w:p w14:paraId="6BC2D55B" w14:textId="7C0BC65B" w:rsidR="009959A5" w:rsidRDefault="00FF1972" w:rsidP="006D135E">
      <w:pPr>
        <w:pStyle w:val="mpcNormal"/>
        <w:keepNext w:val="0"/>
      </w:pPr>
      <w:r>
        <w:t>While not the objective of the HSR System</w:t>
      </w:r>
      <w:r w:rsidR="009959A5">
        <w:t xml:space="preserve">, this </w:t>
      </w:r>
      <w:r w:rsidR="00AA300F">
        <w:t>recommendation</w:t>
      </w:r>
      <w:r w:rsidR="00F20CE4">
        <w:t xml:space="preserve"> would also</w:t>
      </w:r>
      <w:r w:rsidR="009959A5">
        <w:t>:</w:t>
      </w:r>
    </w:p>
    <w:p w14:paraId="372BE533" w14:textId="0D7B5651" w:rsidR="009959A5" w:rsidRDefault="009959A5" w:rsidP="006D135E">
      <w:pPr>
        <w:pStyle w:val="mpcNormal"/>
        <w:keepNext w:val="0"/>
      </w:pPr>
    </w:p>
    <w:p w14:paraId="3F517090" w14:textId="59EA27B8" w:rsidR="009959A5" w:rsidRPr="009959A5" w:rsidRDefault="009959A5" w:rsidP="007C5D73">
      <w:pPr>
        <w:pStyle w:val="ListParagraph"/>
        <w:numPr>
          <w:ilvl w:val="0"/>
          <w:numId w:val="23"/>
        </w:numPr>
        <w:rPr>
          <w:rFonts w:cstheme="minorHAnsi"/>
          <w:sz w:val="22"/>
          <w:szCs w:val="22"/>
        </w:rPr>
      </w:pPr>
      <w:r w:rsidRPr="009959A5">
        <w:rPr>
          <w:rFonts w:cstheme="minorHAnsi"/>
          <w:sz w:val="22"/>
          <w:szCs w:val="22"/>
        </w:rPr>
        <w:t>enable retailers to promote all fruits and vegetables as 5 stars</w:t>
      </w:r>
    </w:p>
    <w:p w14:paraId="32581888" w14:textId="7CDA3AF3" w:rsidR="009959A5" w:rsidRPr="009959A5" w:rsidRDefault="009959A5" w:rsidP="00173A82">
      <w:pPr>
        <w:pStyle w:val="mpcbullets2"/>
      </w:pPr>
      <w:r w:rsidRPr="009959A5">
        <w:t xml:space="preserve">Researchers at Deakin University have trialled the promotion of fresh fruits and vegetables in supermarkets using posters to broadly indicate an HSR of 5 as part of the multicomponent </w:t>
      </w:r>
      <w:hyperlink r:id="rId63" w:history="1">
        <w:r w:rsidRPr="009959A5">
          <w:rPr>
            <w:rStyle w:val="Hyperlink"/>
          </w:rPr>
          <w:t>Eat Well @ IGA</w:t>
        </w:r>
      </w:hyperlink>
      <w:r w:rsidRPr="009959A5">
        <w:t xml:space="preserve"> intervention conducted in 2017-18. </w:t>
      </w:r>
    </w:p>
    <w:p w14:paraId="78B1F989" w14:textId="77777777" w:rsidR="009959A5" w:rsidRPr="009959A5" w:rsidRDefault="009959A5" w:rsidP="00173A82">
      <w:pPr>
        <w:pStyle w:val="mpcbullets2"/>
      </w:pPr>
      <w:r w:rsidRPr="009959A5">
        <w:t>Preliminary results from the trial indicate that it was easier to broadly promote all fruits and vegetables as 5 stars rather than promoting individual products.</w:t>
      </w:r>
    </w:p>
    <w:p w14:paraId="5EBEFEB2" w14:textId="72EA3CCB" w:rsidR="009959A5" w:rsidRPr="009959A5" w:rsidRDefault="00F20CE4" w:rsidP="00606C93">
      <w:pPr>
        <w:pStyle w:val="ListParagraph"/>
        <w:keepNext/>
        <w:widowControl w:val="0"/>
        <w:numPr>
          <w:ilvl w:val="0"/>
          <w:numId w:val="23"/>
        </w:numPr>
        <w:ind w:hanging="357"/>
        <w:rPr>
          <w:sz w:val="22"/>
          <w:szCs w:val="22"/>
        </w:rPr>
      </w:pPr>
      <w:r>
        <w:rPr>
          <w:sz w:val="22"/>
          <w:szCs w:val="22"/>
        </w:rPr>
        <w:t>provide</w:t>
      </w:r>
      <w:r w:rsidR="009959A5" w:rsidRPr="009959A5">
        <w:rPr>
          <w:sz w:val="22"/>
          <w:szCs w:val="22"/>
        </w:rPr>
        <w:t xml:space="preserve"> potential to increase sales and consumption of fruits and vegetables</w:t>
      </w:r>
    </w:p>
    <w:p w14:paraId="603DCB4D" w14:textId="0361671A" w:rsidR="009959A5" w:rsidRPr="009959A5" w:rsidRDefault="009959A5" w:rsidP="00173A82">
      <w:pPr>
        <w:pStyle w:val="mpcbullets2"/>
      </w:pPr>
      <w:r w:rsidRPr="009959A5">
        <w:t xml:space="preserve">Based on a survey conducted as part of the </w:t>
      </w:r>
      <w:hyperlink r:id="rId64" w:history="1">
        <w:r w:rsidRPr="009959A5">
          <w:rPr>
            <w:rStyle w:val="Hyperlink"/>
          </w:rPr>
          <w:t>Eat Well @ IGA</w:t>
        </w:r>
      </w:hyperlink>
      <w:r w:rsidRPr="009959A5">
        <w:t xml:space="preserve"> trial, both retailers and customers felt positively about promoting fruits and vegetables as 5 stars and noted it influenced purchasing.</w:t>
      </w:r>
      <w:r w:rsidRPr="009959A5">
        <w:rPr>
          <w:vertAlign w:val="superscript"/>
        </w:rPr>
        <w:footnoteReference w:id="69"/>
      </w:r>
    </w:p>
    <w:p w14:paraId="0F4A2C06" w14:textId="2D99DC6A" w:rsidR="009959A5" w:rsidRPr="009959A5" w:rsidRDefault="009959A5" w:rsidP="00173A82">
      <w:pPr>
        <w:pStyle w:val="mpcbullets2"/>
      </w:pPr>
      <w:r w:rsidRPr="009959A5">
        <w:t>The trial found an overall increase of 0.2% for fresh fruit and vegetable sales in intervention stores compared with control stores in the intervention period, which translates to a relative increase of 1.5% given that 13% of all food sales were fresh fruits and vegetables.</w:t>
      </w:r>
      <w:r w:rsidRPr="009959A5">
        <w:rPr>
          <w:rStyle w:val="FootnoteReference"/>
          <w:sz w:val="22"/>
        </w:rPr>
        <w:footnoteReference w:id="70"/>
      </w:r>
    </w:p>
    <w:p w14:paraId="4513BCD1" w14:textId="77777777" w:rsidR="009959A5" w:rsidRPr="00CC1ADD" w:rsidRDefault="009959A5" w:rsidP="006D135E">
      <w:pPr>
        <w:pStyle w:val="mpcNormal"/>
        <w:keepNext w:val="0"/>
      </w:pPr>
    </w:p>
    <w:p w14:paraId="27AC8A05" w14:textId="77777777" w:rsidR="000A3464" w:rsidRPr="00CC1ADD" w:rsidRDefault="000A3464" w:rsidP="005A162A">
      <w:pPr>
        <w:pStyle w:val="mpcheading3"/>
      </w:pPr>
      <w:r w:rsidRPr="00CC1ADD">
        <w:t>Sugars</w:t>
      </w:r>
    </w:p>
    <w:p w14:paraId="2137BB0F" w14:textId="77777777" w:rsidR="000A3464" w:rsidRPr="00CC1ADD" w:rsidRDefault="000A3464" w:rsidP="006D135E">
      <w:pPr>
        <w:pStyle w:val="mpcNormal"/>
        <w:keepNext w:val="0"/>
      </w:pPr>
    </w:p>
    <w:p w14:paraId="720FEEBC" w14:textId="191920F1" w:rsidR="000A3464" w:rsidRPr="00CC1ADD" w:rsidRDefault="000A3464" w:rsidP="006D135E">
      <w:pPr>
        <w:pStyle w:val="mpcNormal"/>
        <w:keepNext w:val="0"/>
      </w:pPr>
      <w:r w:rsidRPr="00CC1ADD">
        <w:t>Dietary Guidelines recommend limiting intake of foods and beverages containing added sugars to limit adverse health outcomes. The HSR Calculator indirectly targets added sugars through the inclusion of FVNL and protein in the Calculator, which offset</w:t>
      </w:r>
      <w:r w:rsidR="00B664F4">
        <w:t>s</w:t>
      </w:r>
      <w:r w:rsidRPr="00CC1ADD">
        <w:t xml:space="preserve"> the intrinsic sugars present in fruits and dairy products.</w:t>
      </w:r>
    </w:p>
    <w:p w14:paraId="68469CA7" w14:textId="77777777" w:rsidR="000A3464" w:rsidRPr="00CC1ADD" w:rsidRDefault="000A3464" w:rsidP="006D135E">
      <w:pPr>
        <w:pStyle w:val="mpcNormal"/>
        <w:keepNext w:val="0"/>
      </w:pPr>
    </w:p>
    <w:p w14:paraId="77F4A455" w14:textId="77777777" w:rsidR="000A3464" w:rsidRPr="00CC1ADD" w:rsidRDefault="000A3464" w:rsidP="006D135E">
      <w:pPr>
        <w:pStyle w:val="mpcNormal"/>
        <w:keepNext w:val="0"/>
        <w:rPr>
          <w:bCs/>
        </w:rPr>
      </w:pPr>
      <w:r w:rsidRPr="00CC1ADD">
        <w:t>The most significant area of stakeholder concern with respect to the HSR Calculator relates to the treatment of sugars, with concerns raised around the perceived i</w:t>
      </w:r>
      <w:r w:rsidRPr="00CC1ADD">
        <w:rPr>
          <w:bCs/>
        </w:rPr>
        <w:t xml:space="preserve">nappropriately high HSRs of some products with relatively high levels of added sugars. Stakeholders referred to: </w:t>
      </w:r>
    </w:p>
    <w:p w14:paraId="7F513FC5" w14:textId="77777777" w:rsidR="000A3464" w:rsidRPr="00CC1ADD" w:rsidRDefault="000A3464" w:rsidP="006D135E">
      <w:pPr>
        <w:pStyle w:val="mpcNormal"/>
        <w:keepNext w:val="0"/>
      </w:pPr>
    </w:p>
    <w:p w14:paraId="6B08622C" w14:textId="77777777" w:rsidR="000A3464" w:rsidRPr="00CC1ADD" w:rsidRDefault="000A3464" w:rsidP="007E0D2C">
      <w:pPr>
        <w:pStyle w:val="mpcbullets1"/>
      </w:pPr>
      <w:r w:rsidRPr="00CC1ADD">
        <w:t xml:space="preserve">certain breakfast cereals with ‘high’ levels of added sugars obtaining an HSR </w:t>
      </w:r>
      <w:r w:rsidRPr="00CC1ADD">
        <w:sym w:font="Symbol" w:char="F0B3"/>
      </w:r>
      <w:r w:rsidRPr="00CC1ADD">
        <w:t xml:space="preserve"> 3.5</w:t>
      </w:r>
    </w:p>
    <w:p w14:paraId="3BAB2AB2" w14:textId="77777777" w:rsidR="000A3464" w:rsidRPr="00CC1ADD" w:rsidRDefault="000A3464" w:rsidP="00173A82">
      <w:pPr>
        <w:pStyle w:val="mpcbullets2"/>
      </w:pPr>
      <w:r w:rsidRPr="00CC1ADD">
        <w:t xml:space="preserve">TAG modelling highlights that the majority of products that score an HSR </w:t>
      </w:r>
      <w:r w:rsidRPr="00CC1ADD">
        <w:sym w:font="Symbol" w:char="F0B3"/>
      </w:r>
      <w:r w:rsidRPr="00CC1ADD">
        <w:t xml:space="preserve"> 4 and have a total sugar content of more than 15% are cereal products.</w:t>
      </w:r>
      <w:r w:rsidRPr="00CC1ADD">
        <w:rPr>
          <w:rStyle w:val="FootnoteReference"/>
        </w:rPr>
        <w:footnoteReference w:id="71"/>
      </w:r>
    </w:p>
    <w:p w14:paraId="3091BA1E" w14:textId="43861E49" w:rsidR="000A3464" w:rsidRPr="00CC1ADD" w:rsidRDefault="000A3464" w:rsidP="00173A82">
      <w:pPr>
        <w:pStyle w:val="mpcbullets2"/>
      </w:pPr>
      <w:r w:rsidRPr="00CC1ADD">
        <w:t xml:space="preserve">Research conducted by the NSW Ministry </w:t>
      </w:r>
      <w:r w:rsidR="00B664F4">
        <w:t>of</w:t>
      </w:r>
      <w:r w:rsidRPr="00CC1ADD">
        <w:t xml:space="preserve"> Health found that 35% of breakfast cereals rated as Amber (i.e. ‘consume in moderation’) by the NSW Health Traffic Light System score an HSR </w:t>
      </w:r>
      <w:r w:rsidRPr="00CC1ADD">
        <w:sym w:font="Symbol" w:char="F0B3"/>
      </w:r>
      <w:r w:rsidRPr="00CC1ADD">
        <w:t xml:space="preserve"> 3.5.</w:t>
      </w:r>
      <w:r w:rsidRPr="00CC1ADD">
        <w:rPr>
          <w:rStyle w:val="FootnoteReference"/>
        </w:rPr>
        <w:footnoteReference w:id="72"/>
      </w:r>
    </w:p>
    <w:p w14:paraId="619DE75D" w14:textId="77777777" w:rsidR="000A3464" w:rsidRPr="00CC1ADD" w:rsidRDefault="000A3464" w:rsidP="007E0D2C">
      <w:pPr>
        <w:pStyle w:val="mpcbullets1"/>
      </w:pPr>
      <w:r w:rsidRPr="00CC1ADD">
        <w:t>the HSR System failing to adequately distinguish between added sugars and intrinsic sugars (noting that Dietary Guidelines recommend limiting intake of added sugars)</w:t>
      </w:r>
    </w:p>
    <w:p w14:paraId="01C1CC28" w14:textId="46F2067D" w:rsidR="000A3464" w:rsidRPr="00CC1ADD" w:rsidRDefault="000A3464" w:rsidP="007E0D2C">
      <w:pPr>
        <w:pStyle w:val="mpcbullets1"/>
      </w:pPr>
      <w:r w:rsidRPr="00CC1ADD">
        <w:t>the WHO Guidelines</w:t>
      </w:r>
      <w:r w:rsidR="006F198B" w:rsidRPr="00CC1ADD">
        <w:rPr>
          <w:rStyle w:val="FootnoteReference"/>
        </w:rPr>
        <w:footnoteReference w:id="73"/>
      </w:r>
      <w:r w:rsidR="006F198B">
        <w:t xml:space="preserve">, which </w:t>
      </w:r>
      <w:r w:rsidRPr="00CC1ADD">
        <w:t>strongly recommend reduced intake of free sugars throughout the life course.</w:t>
      </w:r>
    </w:p>
    <w:p w14:paraId="02C1C731" w14:textId="77777777" w:rsidR="000A3464" w:rsidRPr="006F198B" w:rsidRDefault="000A3464" w:rsidP="006D135E">
      <w:pPr>
        <w:pStyle w:val="mpcNormal"/>
        <w:keepNext w:val="0"/>
      </w:pPr>
    </w:p>
    <w:p w14:paraId="5F03602B" w14:textId="3E2DB462" w:rsidR="000A3464" w:rsidRPr="006F198B" w:rsidRDefault="000A3464">
      <w:pPr>
        <w:rPr>
          <w:rFonts w:cstheme="minorHAnsi"/>
          <w:sz w:val="22"/>
          <w:szCs w:val="22"/>
        </w:rPr>
      </w:pPr>
      <w:r w:rsidRPr="006F198B">
        <w:rPr>
          <w:rFonts w:cstheme="minorHAnsi"/>
          <w:sz w:val="22"/>
          <w:szCs w:val="22"/>
        </w:rPr>
        <w:t>The below table provides an example of how these products of concern to stakeholders are scored under the HSR System, the UK Traffic Light System and the French Nutri</w:t>
      </w:r>
      <w:r w:rsidR="002862B6">
        <w:rPr>
          <w:rFonts w:cstheme="minorHAnsi"/>
          <w:sz w:val="22"/>
          <w:szCs w:val="22"/>
        </w:rPr>
        <w:t>-</w:t>
      </w:r>
      <w:r w:rsidRPr="006F198B">
        <w:rPr>
          <w:rFonts w:cstheme="minorHAnsi"/>
          <w:sz w:val="22"/>
          <w:szCs w:val="22"/>
        </w:rPr>
        <w:t>Score System.</w:t>
      </w:r>
    </w:p>
    <w:p w14:paraId="1F8D3965" w14:textId="77777777" w:rsidR="000A3464" w:rsidRPr="006F198B" w:rsidRDefault="000A3464">
      <w:pPr>
        <w:rPr>
          <w:rFonts w:cstheme="minorHAnsi"/>
          <w:sz w:val="22"/>
          <w:szCs w:val="22"/>
        </w:rPr>
      </w:pPr>
    </w:p>
    <w:tbl>
      <w:tblPr>
        <w:tblStyle w:val="TableGrid"/>
        <w:tblW w:w="10207" w:type="dxa"/>
        <w:tblInd w:w="-289" w:type="dxa"/>
        <w:tblLook w:val="04A0" w:firstRow="1" w:lastRow="0" w:firstColumn="1" w:lastColumn="0" w:noHBand="0" w:noVBand="1"/>
        <w:tblCaption w:val="Other FoPL schemes"/>
        <w:tblDescription w:val="This table provides examples of how certain products are scored under other FoPL schemes (the HSR System, the UK Traffic Light System and the French Nutri-Score System)."/>
      </w:tblPr>
      <w:tblGrid>
        <w:gridCol w:w="1131"/>
        <w:gridCol w:w="3282"/>
        <w:gridCol w:w="3242"/>
        <w:gridCol w:w="2552"/>
      </w:tblGrid>
      <w:tr w:rsidR="000A3464" w:rsidRPr="00CC1ADD" w14:paraId="73B3E948" w14:textId="77777777" w:rsidTr="009A5449">
        <w:trPr>
          <w:trHeight w:val="399"/>
          <w:tblHeader/>
        </w:trPr>
        <w:tc>
          <w:tcPr>
            <w:tcW w:w="1131" w:type="dxa"/>
            <w:shd w:val="clear" w:color="auto" w:fill="516A8E"/>
            <w:vAlign w:val="center"/>
          </w:tcPr>
          <w:p w14:paraId="07DF997B" w14:textId="77777777" w:rsidR="000A3464" w:rsidRPr="00CC1ADD" w:rsidRDefault="000A3464">
            <w:pPr>
              <w:rPr>
                <w:rFonts w:cstheme="minorHAnsi"/>
                <w:b/>
                <w:color w:val="FFFFFF" w:themeColor="background1"/>
                <w:sz w:val="20"/>
                <w:szCs w:val="20"/>
              </w:rPr>
            </w:pPr>
            <w:bookmarkStart w:id="108" w:name="Product"/>
            <w:bookmarkEnd w:id="108"/>
            <w:r w:rsidRPr="00CC1ADD">
              <w:rPr>
                <w:rFonts w:cstheme="minorHAnsi"/>
                <w:b/>
                <w:color w:val="FFFFFF" w:themeColor="background1"/>
                <w:sz w:val="20"/>
                <w:szCs w:val="20"/>
              </w:rPr>
              <w:t>Product</w:t>
            </w:r>
          </w:p>
        </w:tc>
        <w:tc>
          <w:tcPr>
            <w:tcW w:w="3282" w:type="dxa"/>
            <w:shd w:val="clear" w:color="auto" w:fill="516A8E"/>
            <w:vAlign w:val="center"/>
          </w:tcPr>
          <w:p w14:paraId="280FC998" w14:textId="77777777" w:rsidR="000A3464" w:rsidRPr="00CC1ADD" w:rsidRDefault="000A3464">
            <w:pPr>
              <w:jc w:val="center"/>
              <w:rPr>
                <w:rFonts w:cstheme="minorHAnsi"/>
                <w:b/>
                <w:color w:val="FFFFFF" w:themeColor="background1"/>
                <w:sz w:val="20"/>
                <w:szCs w:val="20"/>
              </w:rPr>
            </w:pPr>
            <w:r w:rsidRPr="00CC1ADD">
              <w:rPr>
                <w:rFonts w:cstheme="minorHAnsi"/>
                <w:b/>
                <w:color w:val="FFFFFF" w:themeColor="background1"/>
                <w:sz w:val="20"/>
                <w:szCs w:val="20"/>
              </w:rPr>
              <w:t>HSR System</w:t>
            </w:r>
          </w:p>
        </w:tc>
        <w:tc>
          <w:tcPr>
            <w:tcW w:w="3242" w:type="dxa"/>
            <w:shd w:val="clear" w:color="auto" w:fill="516A8E"/>
            <w:vAlign w:val="center"/>
          </w:tcPr>
          <w:p w14:paraId="00B591C2" w14:textId="77777777" w:rsidR="000A3464" w:rsidRPr="00CC1ADD" w:rsidRDefault="000A3464">
            <w:pPr>
              <w:jc w:val="center"/>
              <w:rPr>
                <w:rFonts w:cstheme="minorHAnsi"/>
                <w:b/>
                <w:color w:val="FFFFFF" w:themeColor="background1"/>
                <w:sz w:val="20"/>
                <w:szCs w:val="20"/>
              </w:rPr>
            </w:pPr>
            <w:r w:rsidRPr="00CC1ADD">
              <w:rPr>
                <w:rFonts w:cstheme="minorHAnsi"/>
                <w:b/>
                <w:color w:val="FFFFFF" w:themeColor="background1"/>
                <w:sz w:val="20"/>
                <w:szCs w:val="20"/>
              </w:rPr>
              <w:t>UK Traffic Light System</w:t>
            </w:r>
          </w:p>
        </w:tc>
        <w:tc>
          <w:tcPr>
            <w:tcW w:w="2552" w:type="dxa"/>
            <w:shd w:val="clear" w:color="auto" w:fill="516A8E"/>
            <w:vAlign w:val="center"/>
          </w:tcPr>
          <w:p w14:paraId="50A5622B" w14:textId="49B9C377" w:rsidR="000A3464" w:rsidRPr="00CC1ADD" w:rsidRDefault="000A3464">
            <w:pPr>
              <w:jc w:val="center"/>
              <w:rPr>
                <w:rFonts w:cstheme="minorHAnsi"/>
                <w:b/>
                <w:color w:val="FFFFFF" w:themeColor="background1"/>
                <w:sz w:val="20"/>
                <w:szCs w:val="20"/>
              </w:rPr>
            </w:pPr>
            <w:r w:rsidRPr="00CC1ADD">
              <w:rPr>
                <w:rFonts w:cstheme="minorHAnsi"/>
                <w:b/>
                <w:color w:val="FFFFFF" w:themeColor="background1"/>
                <w:sz w:val="20"/>
                <w:szCs w:val="20"/>
              </w:rPr>
              <w:t>French Nutri</w:t>
            </w:r>
            <w:r w:rsidR="002862B6">
              <w:rPr>
                <w:rFonts w:cstheme="minorHAnsi"/>
                <w:b/>
                <w:color w:val="FFFFFF" w:themeColor="background1"/>
                <w:sz w:val="20"/>
                <w:szCs w:val="20"/>
              </w:rPr>
              <w:t>-</w:t>
            </w:r>
            <w:r w:rsidRPr="00CC1ADD">
              <w:rPr>
                <w:rFonts w:cstheme="minorHAnsi"/>
                <w:b/>
                <w:color w:val="FFFFFF" w:themeColor="background1"/>
                <w:sz w:val="20"/>
                <w:szCs w:val="20"/>
              </w:rPr>
              <w:t>Score System</w:t>
            </w:r>
          </w:p>
        </w:tc>
      </w:tr>
      <w:tr w:rsidR="000A3464" w:rsidRPr="00CC1ADD" w14:paraId="461DD37A" w14:textId="77777777" w:rsidTr="00293816">
        <w:trPr>
          <w:cantSplit/>
        </w:trPr>
        <w:tc>
          <w:tcPr>
            <w:tcW w:w="1131" w:type="dxa"/>
            <w:shd w:val="clear" w:color="auto" w:fill="F2F2F2" w:themeFill="background1" w:themeFillShade="F2"/>
          </w:tcPr>
          <w:p w14:paraId="58095668" w14:textId="77777777" w:rsidR="000A3464" w:rsidRPr="00CC1ADD" w:rsidRDefault="000A3464" w:rsidP="005A3631">
            <w:pPr>
              <w:rPr>
                <w:rFonts w:cstheme="minorHAnsi"/>
                <w:b/>
                <w:sz w:val="20"/>
                <w:szCs w:val="22"/>
              </w:rPr>
            </w:pPr>
            <w:r w:rsidRPr="00CC1ADD">
              <w:rPr>
                <w:rFonts w:cstheme="minorHAnsi"/>
                <w:b/>
                <w:sz w:val="20"/>
                <w:szCs w:val="22"/>
              </w:rPr>
              <w:t xml:space="preserve">Breakfast cereal </w:t>
            </w:r>
          </w:p>
        </w:tc>
        <w:tc>
          <w:tcPr>
            <w:tcW w:w="3282" w:type="dxa"/>
            <w:vAlign w:val="center"/>
          </w:tcPr>
          <w:p w14:paraId="7944B94E" w14:textId="77777777" w:rsidR="000A3464" w:rsidRPr="00CC1ADD" w:rsidRDefault="000A3464" w:rsidP="005A3631">
            <w:pPr>
              <w:jc w:val="center"/>
              <w:rPr>
                <w:rFonts w:cstheme="minorHAnsi"/>
                <w:sz w:val="21"/>
                <w:szCs w:val="22"/>
              </w:rPr>
            </w:pPr>
            <w:r w:rsidRPr="00CC1ADD">
              <w:rPr>
                <w:rFonts w:cstheme="minorHAnsi"/>
                <w:noProof/>
                <w:sz w:val="21"/>
                <w:szCs w:val="22"/>
                <w:lang w:eastAsia="en-AU"/>
              </w:rPr>
              <w:drawing>
                <wp:inline distT="0" distB="0" distL="0" distR="0" wp14:anchorId="6EEC07BB" wp14:editId="05A75B3A">
                  <wp:extent cx="1947332" cy="631651"/>
                  <wp:effectExtent l="0" t="0" r="0" b="3810"/>
                  <wp:docPr id="26" name="Picture 26" descr="HSR graphic option 1, showing an HSR of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2044756" cy="663252"/>
                          </a:xfrm>
                          <a:prstGeom prst="rect">
                            <a:avLst/>
                          </a:prstGeom>
                          <a:ln>
                            <a:noFill/>
                          </a:ln>
                          <a:extLst>
                            <a:ext uri="{53640926-AAD7-44D8-BBD7-CCE9431645EC}">
                              <a14:shadowObscured xmlns:a14="http://schemas.microsoft.com/office/drawing/2010/main"/>
                            </a:ext>
                          </a:extLst>
                        </pic:spPr>
                      </pic:pic>
                    </a:graphicData>
                  </a:graphic>
                </wp:inline>
              </w:drawing>
            </w:r>
          </w:p>
        </w:tc>
        <w:tc>
          <w:tcPr>
            <w:tcW w:w="3242" w:type="dxa"/>
          </w:tcPr>
          <w:p w14:paraId="5C85EA42" w14:textId="77777777" w:rsidR="000A3464" w:rsidRPr="00CC1ADD" w:rsidRDefault="000A3464">
            <w:pPr>
              <w:jc w:val="center"/>
              <w:rPr>
                <w:rFonts w:cstheme="minorHAnsi"/>
                <w:sz w:val="21"/>
                <w:szCs w:val="22"/>
              </w:rPr>
            </w:pPr>
            <w:r w:rsidRPr="00CC1ADD">
              <w:rPr>
                <w:rFonts w:cstheme="minorHAnsi"/>
                <w:sz w:val="13"/>
                <w:szCs w:val="22"/>
              </w:rPr>
              <w:t>Each 45g serve contains</w:t>
            </w:r>
          </w:p>
          <w:p w14:paraId="1878C8CF" w14:textId="77777777" w:rsidR="000A3464" w:rsidRPr="00CC1ADD" w:rsidRDefault="000A3464">
            <w:pPr>
              <w:jc w:val="center"/>
              <w:rPr>
                <w:rFonts w:cstheme="minorHAnsi"/>
                <w:sz w:val="21"/>
                <w:szCs w:val="22"/>
              </w:rPr>
            </w:pPr>
            <w:r w:rsidRPr="00CC1ADD">
              <w:rPr>
                <w:rFonts w:cstheme="minorHAnsi"/>
                <w:noProof/>
                <w:sz w:val="21"/>
                <w:szCs w:val="22"/>
                <w:lang w:eastAsia="en-AU"/>
              </w:rPr>
              <w:drawing>
                <wp:inline distT="0" distB="0" distL="0" distR="0" wp14:anchorId="1E997D39" wp14:editId="00637AD1">
                  <wp:extent cx="1765300" cy="552090"/>
                  <wp:effectExtent l="0" t="0" r="0" b="0"/>
                  <wp:docPr id="27" name="Picture 27" descr="UK Traffic Light Label showing green for fat and saturated fat, red for sugars and amber for s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1812025" cy="566703"/>
                          </a:xfrm>
                          <a:prstGeom prst="rect">
                            <a:avLst/>
                          </a:prstGeom>
                          <a:ln>
                            <a:noFill/>
                          </a:ln>
                          <a:extLst>
                            <a:ext uri="{53640926-AAD7-44D8-BBD7-CCE9431645EC}">
                              <a14:shadowObscured xmlns:a14="http://schemas.microsoft.com/office/drawing/2010/main"/>
                            </a:ext>
                          </a:extLst>
                        </pic:spPr>
                      </pic:pic>
                    </a:graphicData>
                  </a:graphic>
                </wp:inline>
              </w:drawing>
            </w:r>
          </w:p>
          <w:p w14:paraId="6CBC7713" w14:textId="77777777" w:rsidR="000A3464" w:rsidRPr="00CC1ADD" w:rsidRDefault="000A3464">
            <w:pPr>
              <w:jc w:val="center"/>
              <w:rPr>
                <w:rFonts w:cstheme="minorHAnsi"/>
                <w:sz w:val="21"/>
                <w:szCs w:val="22"/>
              </w:rPr>
            </w:pPr>
            <w:r w:rsidRPr="00CC1ADD">
              <w:rPr>
                <w:rFonts w:cstheme="minorHAnsi"/>
                <w:sz w:val="13"/>
                <w:szCs w:val="22"/>
              </w:rPr>
              <w:t>of an adult’s daily intake</w:t>
            </w:r>
          </w:p>
        </w:tc>
        <w:tc>
          <w:tcPr>
            <w:tcW w:w="2552" w:type="dxa"/>
            <w:vAlign w:val="center"/>
          </w:tcPr>
          <w:p w14:paraId="153117DB" w14:textId="77777777" w:rsidR="000A3464" w:rsidRPr="00CC1ADD" w:rsidRDefault="000A3464">
            <w:pPr>
              <w:jc w:val="center"/>
              <w:rPr>
                <w:rFonts w:cstheme="minorHAnsi"/>
                <w:sz w:val="21"/>
                <w:szCs w:val="22"/>
              </w:rPr>
            </w:pPr>
            <w:r w:rsidRPr="00CC1ADD">
              <w:rPr>
                <w:rFonts w:cstheme="minorHAnsi"/>
                <w:noProof/>
                <w:sz w:val="21"/>
                <w:szCs w:val="22"/>
                <w:lang w:eastAsia="en-AU"/>
              </w:rPr>
              <w:drawing>
                <wp:inline distT="0" distB="0" distL="0" distR="0" wp14:anchorId="37A85B42" wp14:editId="036B66FE">
                  <wp:extent cx="1240376" cy="683245"/>
                  <wp:effectExtent l="0" t="0" r="4445" b="3175"/>
                  <wp:docPr id="28" name="Picture 28" descr="NutriScore label showing a yellow C 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1252408" cy="689873"/>
                          </a:xfrm>
                          <a:prstGeom prst="rect">
                            <a:avLst/>
                          </a:prstGeom>
                          <a:ln>
                            <a:noFill/>
                          </a:ln>
                          <a:extLst>
                            <a:ext uri="{53640926-AAD7-44D8-BBD7-CCE9431645EC}">
                              <a14:shadowObscured xmlns:a14="http://schemas.microsoft.com/office/drawing/2010/main"/>
                            </a:ext>
                          </a:extLst>
                        </pic:spPr>
                      </pic:pic>
                    </a:graphicData>
                  </a:graphic>
                </wp:inline>
              </w:drawing>
            </w:r>
          </w:p>
          <w:p w14:paraId="176CDB18" w14:textId="77777777" w:rsidR="000A3464" w:rsidRPr="00CC1ADD" w:rsidRDefault="000A3464">
            <w:pPr>
              <w:jc w:val="center"/>
              <w:rPr>
                <w:rFonts w:cstheme="minorHAnsi"/>
                <w:sz w:val="21"/>
                <w:szCs w:val="22"/>
              </w:rPr>
            </w:pPr>
          </w:p>
        </w:tc>
      </w:tr>
      <w:tr w:rsidR="000A3464" w:rsidRPr="00CC1ADD" w14:paraId="19ADCE81" w14:textId="77777777" w:rsidTr="009A5449">
        <w:tc>
          <w:tcPr>
            <w:tcW w:w="1131" w:type="dxa"/>
            <w:shd w:val="clear" w:color="auto" w:fill="F2F2F2" w:themeFill="background1" w:themeFillShade="F2"/>
          </w:tcPr>
          <w:p w14:paraId="0146CC29" w14:textId="77777777" w:rsidR="000A3464" w:rsidRPr="00CC1ADD" w:rsidRDefault="000A3464" w:rsidP="005A3631">
            <w:pPr>
              <w:rPr>
                <w:rFonts w:cstheme="minorHAnsi"/>
                <w:b/>
                <w:sz w:val="20"/>
                <w:szCs w:val="22"/>
              </w:rPr>
            </w:pPr>
            <w:r w:rsidRPr="00CC1ADD">
              <w:rPr>
                <w:rFonts w:cstheme="minorHAnsi"/>
                <w:b/>
                <w:sz w:val="20"/>
                <w:szCs w:val="22"/>
              </w:rPr>
              <w:t>Muesli Bar</w:t>
            </w:r>
          </w:p>
        </w:tc>
        <w:tc>
          <w:tcPr>
            <w:tcW w:w="3282" w:type="dxa"/>
            <w:vAlign w:val="center"/>
          </w:tcPr>
          <w:p w14:paraId="1412F665" w14:textId="77777777" w:rsidR="000A3464" w:rsidRPr="00CC1ADD" w:rsidRDefault="000A3464" w:rsidP="005A3631">
            <w:pPr>
              <w:jc w:val="center"/>
              <w:rPr>
                <w:rFonts w:cstheme="minorHAnsi"/>
                <w:sz w:val="21"/>
                <w:szCs w:val="22"/>
              </w:rPr>
            </w:pPr>
            <w:r w:rsidRPr="00CC1ADD">
              <w:rPr>
                <w:rFonts w:cstheme="minorHAnsi"/>
                <w:noProof/>
                <w:sz w:val="21"/>
                <w:szCs w:val="22"/>
                <w:lang w:eastAsia="en-AU"/>
              </w:rPr>
              <w:drawing>
                <wp:inline distT="0" distB="0" distL="0" distR="0" wp14:anchorId="360F08BC" wp14:editId="4A5AC131">
                  <wp:extent cx="1924692" cy="631992"/>
                  <wp:effectExtent l="0" t="0" r="5715" b="3175"/>
                  <wp:docPr id="29" name="Picture 29" descr="HSR graphic option 1, showing an HSR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1985669" cy="652014"/>
                          </a:xfrm>
                          <a:prstGeom prst="rect">
                            <a:avLst/>
                          </a:prstGeom>
                          <a:ln>
                            <a:noFill/>
                          </a:ln>
                          <a:extLst>
                            <a:ext uri="{53640926-AAD7-44D8-BBD7-CCE9431645EC}">
                              <a14:shadowObscured xmlns:a14="http://schemas.microsoft.com/office/drawing/2010/main"/>
                            </a:ext>
                          </a:extLst>
                        </pic:spPr>
                      </pic:pic>
                    </a:graphicData>
                  </a:graphic>
                </wp:inline>
              </w:drawing>
            </w:r>
          </w:p>
        </w:tc>
        <w:tc>
          <w:tcPr>
            <w:tcW w:w="3242" w:type="dxa"/>
          </w:tcPr>
          <w:p w14:paraId="36834EB2" w14:textId="77777777" w:rsidR="000A3464" w:rsidRPr="00CC1ADD" w:rsidRDefault="000A3464">
            <w:pPr>
              <w:jc w:val="center"/>
              <w:rPr>
                <w:rFonts w:cstheme="minorHAnsi"/>
                <w:sz w:val="13"/>
                <w:szCs w:val="22"/>
              </w:rPr>
            </w:pPr>
            <w:r w:rsidRPr="00CC1ADD">
              <w:rPr>
                <w:rFonts w:cstheme="minorHAnsi"/>
                <w:sz w:val="13"/>
                <w:szCs w:val="22"/>
              </w:rPr>
              <w:t>Each 31g serve contains</w:t>
            </w:r>
            <w:r w:rsidRPr="00CC1ADD">
              <w:rPr>
                <w:rFonts w:cstheme="minorHAnsi"/>
                <w:noProof/>
                <w:sz w:val="21"/>
                <w:szCs w:val="22"/>
                <w:lang w:eastAsia="en-AU"/>
              </w:rPr>
              <w:drawing>
                <wp:inline distT="0" distB="0" distL="0" distR="0" wp14:anchorId="11AF709B" wp14:editId="16B24F61">
                  <wp:extent cx="1690619" cy="531271"/>
                  <wp:effectExtent l="0" t="0" r="0" b="2540"/>
                  <wp:docPr id="4" name="Picture 4" descr="UK Traffic Light Label showing a for fat, saturated fat and sugars and green for s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1723119" cy="541484"/>
                          </a:xfrm>
                          <a:prstGeom prst="rect">
                            <a:avLst/>
                          </a:prstGeom>
                          <a:ln>
                            <a:noFill/>
                          </a:ln>
                          <a:extLst>
                            <a:ext uri="{53640926-AAD7-44D8-BBD7-CCE9431645EC}">
                              <a14:shadowObscured xmlns:a14="http://schemas.microsoft.com/office/drawing/2010/main"/>
                            </a:ext>
                          </a:extLst>
                        </pic:spPr>
                      </pic:pic>
                    </a:graphicData>
                  </a:graphic>
                </wp:inline>
              </w:drawing>
            </w:r>
          </w:p>
          <w:p w14:paraId="666EC503" w14:textId="77777777" w:rsidR="000A3464" w:rsidRPr="00CC1ADD" w:rsidRDefault="000A3464">
            <w:pPr>
              <w:jc w:val="center"/>
              <w:rPr>
                <w:rFonts w:cstheme="minorHAnsi"/>
                <w:sz w:val="21"/>
                <w:szCs w:val="22"/>
              </w:rPr>
            </w:pPr>
            <w:r w:rsidRPr="00CC1ADD">
              <w:rPr>
                <w:rFonts w:cstheme="minorHAnsi"/>
                <w:sz w:val="13"/>
                <w:szCs w:val="22"/>
              </w:rPr>
              <w:t>of an adult’s daily intake</w:t>
            </w:r>
          </w:p>
        </w:tc>
        <w:tc>
          <w:tcPr>
            <w:tcW w:w="2552" w:type="dxa"/>
            <w:vAlign w:val="center"/>
          </w:tcPr>
          <w:p w14:paraId="4288EB0B" w14:textId="77777777" w:rsidR="000A3464" w:rsidRPr="00CC1ADD" w:rsidRDefault="000A3464">
            <w:pPr>
              <w:jc w:val="center"/>
              <w:rPr>
                <w:rFonts w:cstheme="minorHAnsi"/>
                <w:sz w:val="21"/>
                <w:szCs w:val="22"/>
              </w:rPr>
            </w:pPr>
            <w:r w:rsidRPr="00CC1ADD">
              <w:rPr>
                <w:rFonts w:cstheme="minorHAnsi"/>
                <w:noProof/>
                <w:sz w:val="21"/>
                <w:szCs w:val="22"/>
                <w:lang w:eastAsia="en-AU"/>
              </w:rPr>
              <w:drawing>
                <wp:inline distT="0" distB="0" distL="0" distR="0" wp14:anchorId="47925A23" wp14:editId="519BF003">
                  <wp:extent cx="1240376" cy="683245"/>
                  <wp:effectExtent l="0" t="0" r="4445" b="3175"/>
                  <wp:docPr id="30" name="Picture 30" descr="NutriScore label showing a yellow C 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1252408" cy="6898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D7E59C" w14:textId="77777777" w:rsidR="000A3464" w:rsidRPr="00CC1ADD" w:rsidRDefault="000A3464" w:rsidP="006D135E">
      <w:pPr>
        <w:pStyle w:val="mpcNormal"/>
        <w:keepNext w:val="0"/>
      </w:pPr>
    </w:p>
    <w:p w14:paraId="649054BB" w14:textId="35AEF30D" w:rsidR="000A3464" w:rsidRPr="00CC1ADD" w:rsidRDefault="000A3464" w:rsidP="006D135E">
      <w:pPr>
        <w:pStyle w:val="mpcNormal"/>
        <w:keepNext w:val="0"/>
      </w:pPr>
      <w:r w:rsidRPr="00CC1ADD">
        <w:t>The extent to which there is a</w:t>
      </w:r>
      <w:r w:rsidR="006F198B">
        <w:t>n issue</w:t>
      </w:r>
      <w:r w:rsidRPr="00CC1ADD">
        <w:t xml:space="preserve"> with the treatment of sugars in the HSR Calculator is contested, with stakeholders having differ</w:t>
      </w:r>
      <w:r w:rsidR="006F198B">
        <w:t>ing</w:t>
      </w:r>
      <w:r w:rsidRPr="00CC1ADD">
        <w:t xml:space="preserve"> views about the appropriateness of the HSRs o</w:t>
      </w:r>
      <w:r w:rsidR="006F198B">
        <w:t>n certain</w:t>
      </w:r>
      <w:r w:rsidRPr="00CC1ADD">
        <w:t xml:space="preserve"> foods. From the Review’s perspective, it is not possible to scientifically establish the parameters of the ‘sugars problem’. However, it is desirable to:</w:t>
      </w:r>
    </w:p>
    <w:p w14:paraId="100F7994" w14:textId="77777777" w:rsidR="000A3464" w:rsidRPr="00CC1ADD" w:rsidRDefault="000A3464" w:rsidP="006D135E">
      <w:pPr>
        <w:pStyle w:val="mpcNormal"/>
        <w:keepNext w:val="0"/>
      </w:pPr>
    </w:p>
    <w:p w14:paraId="3CB7EEF8" w14:textId="77777777" w:rsidR="000A3464" w:rsidRPr="00CC1ADD" w:rsidRDefault="000A3464" w:rsidP="007E0D2C">
      <w:pPr>
        <w:pStyle w:val="mpcbullets1"/>
      </w:pPr>
      <w:r w:rsidRPr="00CC1ADD">
        <w:t>better align the HSR System with Dietary Guidelines (including to better discern FFG and discretionary foods) wherever possible</w:t>
      </w:r>
    </w:p>
    <w:p w14:paraId="77576F84" w14:textId="7D2B7644" w:rsidR="000A3464" w:rsidRDefault="000A3464" w:rsidP="007E0D2C">
      <w:pPr>
        <w:pStyle w:val="mpcbullets1"/>
      </w:pPr>
      <w:r w:rsidRPr="00CC1ADD">
        <w:t xml:space="preserve">address some of the consumer perceptions around the HSR Calculator’s treatment of sugars (where these </w:t>
      </w:r>
      <w:r w:rsidR="00B664F4">
        <w:t xml:space="preserve">perceptions </w:t>
      </w:r>
      <w:r w:rsidRPr="00CC1ADD">
        <w:t>risk undermining confidence in the HSR System)</w:t>
      </w:r>
    </w:p>
    <w:p w14:paraId="705E0978" w14:textId="0A41A554" w:rsidR="000A3464" w:rsidRPr="00CC1ADD" w:rsidRDefault="00A927D9" w:rsidP="007E0D2C">
      <w:pPr>
        <w:pStyle w:val="mpcbullets1"/>
      </w:pPr>
      <w:r>
        <w:t xml:space="preserve">make incremental changes to the HSR in order to drive consumption of foods with lower added sugars and to </w:t>
      </w:r>
      <w:r w:rsidR="000A3464" w:rsidRPr="00CC1ADD">
        <w:t>encourage reformulation of foods to reduce added sugars.</w:t>
      </w:r>
    </w:p>
    <w:p w14:paraId="629E3DCC" w14:textId="52C621AF" w:rsidR="000A3464" w:rsidRPr="00CC1ADD" w:rsidRDefault="000A3464" w:rsidP="006D135E">
      <w:pPr>
        <w:pStyle w:val="mpcNormal"/>
        <w:keepNext w:val="0"/>
      </w:pPr>
    </w:p>
    <w:tbl>
      <w:tblPr>
        <w:tblStyle w:val="TableGrid"/>
        <w:tblW w:w="0" w:type="auto"/>
        <w:tblLook w:val="04A0" w:firstRow="1" w:lastRow="0" w:firstColumn="1" w:lastColumn="0" w:noHBand="0" w:noVBand="1"/>
        <w:tblCaption w:val="Rec 4B"/>
        <w:tblDescription w:val="Recommendation 4B:  Total sugars be more strongly penalised by revising the sugars table for Categories 1, 1D, 2 and 2D to a maximum of 25 points for &gt; 99g/100g."/>
      </w:tblPr>
      <w:tblGrid>
        <w:gridCol w:w="9736"/>
      </w:tblGrid>
      <w:tr w:rsidR="00AC4451" w:rsidRPr="00CC1ADD" w14:paraId="3BEA1C62" w14:textId="77777777" w:rsidTr="00AC4451">
        <w:trPr>
          <w:trHeight w:val="756"/>
        </w:trPr>
        <w:tc>
          <w:tcPr>
            <w:tcW w:w="9736" w:type="dxa"/>
            <w:shd w:val="clear" w:color="auto" w:fill="D9E2F3" w:themeFill="accent1" w:themeFillTint="33"/>
            <w:vAlign w:val="center"/>
          </w:tcPr>
          <w:p w14:paraId="34730741" w14:textId="779157D2" w:rsidR="00AC4451" w:rsidRPr="006D135E" w:rsidRDefault="001F53B9" w:rsidP="006D135E">
            <w:pPr>
              <w:pStyle w:val="mpcNormal"/>
              <w:keepNext w:val="0"/>
              <w:ind w:left="2160" w:hanging="2160"/>
              <w:rPr>
                <w:b/>
              </w:rPr>
            </w:pPr>
            <w:r w:rsidRPr="00970729">
              <w:rPr>
                <w:b/>
              </w:rPr>
              <w:t>Recommendation 4</w:t>
            </w:r>
            <w:r w:rsidR="00B005CA">
              <w:rPr>
                <w:b/>
              </w:rPr>
              <w:t>B</w:t>
            </w:r>
            <w:r w:rsidRPr="00970729">
              <w:rPr>
                <w:b/>
              </w:rPr>
              <w:t xml:space="preserve">: </w:t>
            </w:r>
            <w:r w:rsidRPr="00970729">
              <w:rPr>
                <w:b/>
              </w:rPr>
              <w:tab/>
              <w:t>Total sugars be more strongly penalised by revising the sugars table for Categories 1, 1D, 2 and 2D to a maximum of 25 points for &gt; 99g/100g.</w:t>
            </w:r>
          </w:p>
        </w:tc>
      </w:tr>
    </w:tbl>
    <w:p w14:paraId="7808BD3F" w14:textId="77777777" w:rsidR="001F53B9" w:rsidRPr="00CC1ADD" w:rsidRDefault="001F53B9" w:rsidP="006D135E">
      <w:pPr>
        <w:pStyle w:val="mpcNormal"/>
        <w:keepNext w:val="0"/>
      </w:pPr>
    </w:p>
    <w:p w14:paraId="4861C184" w14:textId="694E13DA" w:rsidR="000A3464" w:rsidRPr="00CC1ADD" w:rsidRDefault="000A3464" w:rsidP="00F37134">
      <w:pPr>
        <w:pStyle w:val="mpcNormal"/>
      </w:pPr>
      <w:r w:rsidRPr="00CC1ADD">
        <w:t>The Review recommends changes to the HSR Calculator to increase the weighting of total sugars</w:t>
      </w:r>
      <w:r w:rsidR="006F198B">
        <w:t xml:space="preserve"> by</w:t>
      </w:r>
      <w:r w:rsidRPr="00CC1ADD">
        <w:t xml:space="preserve"> changing the existing 22 point table to a 25 point table. </w:t>
      </w:r>
      <w:r w:rsidR="00F37134" w:rsidRPr="00CC1ADD">
        <w:t xml:space="preserve">The proposed points tables are at </w:t>
      </w:r>
      <w:r w:rsidR="00F37134" w:rsidRPr="00CC1ADD">
        <w:rPr>
          <w:u w:val="single"/>
        </w:rPr>
        <w:t xml:space="preserve">Appendix </w:t>
      </w:r>
      <w:r w:rsidR="00F37134">
        <w:rPr>
          <w:u w:val="single"/>
        </w:rPr>
        <w:t>E</w:t>
      </w:r>
      <w:r w:rsidR="00F37134" w:rsidRPr="00CC1ADD">
        <w:t>.</w:t>
      </w:r>
      <w:r w:rsidR="00F37134">
        <w:t xml:space="preserve"> </w:t>
      </w:r>
      <w:r w:rsidRPr="00CC1ADD">
        <w:t xml:space="preserve">Increasing the points for total sugars means that products would receive more baseline points for the total sugars content, and therefore generally lower HSRs in foods where total sugars is an operative component. </w:t>
      </w:r>
    </w:p>
    <w:p w14:paraId="6949B26D" w14:textId="77777777" w:rsidR="000A3464" w:rsidRPr="00CC1ADD" w:rsidRDefault="000A3464">
      <w:pPr>
        <w:rPr>
          <w:rFonts w:cstheme="minorHAnsi"/>
          <w:sz w:val="22"/>
          <w:szCs w:val="22"/>
        </w:rPr>
      </w:pPr>
    </w:p>
    <w:p w14:paraId="4B4EF8C2" w14:textId="77777777" w:rsidR="000A3464" w:rsidRPr="00CC1ADD" w:rsidRDefault="000A3464" w:rsidP="00B664F4">
      <w:pPr>
        <w:keepNext/>
        <w:rPr>
          <w:rFonts w:cstheme="minorHAnsi"/>
          <w:sz w:val="22"/>
          <w:szCs w:val="22"/>
        </w:rPr>
      </w:pPr>
      <w:r w:rsidRPr="00CC1ADD">
        <w:rPr>
          <w:rFonts w:cstheme="minorHAnsi"/>
          <w:sz w:val="22"/>
          <w:szCs w:val="22"/>
        </w:rPr>
        <w:t>This approach:</w:t>
      </w:r>
    </w:p>
    <w:p w14:paraId="2FA9F94D" w14:textId="77777777" w:rsidR="000A3464" w:rsidRPr="00CC1ADD" w:rsidRDefault="000A3464" w:rsidP="00B664F4">
      <w:pPr>
        <w:keepNext/>
        <w:rPr>
          <w:sz w:val="22"/>
          <w:szCs w:val="22"/>
        </w:rPr>
      </w:pPr>
    </w:p>
    <w:p w14:paraId="26CDDC1C" w14:textId="77777777" w:rsidR="000A3464" w:rsidRPr="00CC1ADD" w:rsidRDefault="000A3464" w:rsidP="007E0D2C">
      <w:pPr>
        <w:pStyle w:val="mpcbullets1"/>
      </w:pPr>
      <w:r w:rsidRPr="00CC1ADD">
        <w:t>improves alignment with Dietary Guideline recommendations to limit foods containing added sugars by reducing the HSRs for products relatively high in total sugars</w:t>
      </w:r>
    </w:p>
    <w:p w14:paraId="4281EF8B" w14:textId="29218A8E" w:rsidR="000A3464" w:rsidRPr="00CC1ADD" w:rsidRDefault="000A3464" w:rsidP="00173A82">
      <w:pPr>
        <w:pStyle w:val="mpcbullets2"/>
      </w:pPr>
      <w:r w:rsidRPr="00CC1ADD">
        <w:t xml:space="preserve">5% (278) </w:t>
      </w:r>
      <w:r w:rsidR="00B005CA">
        <w:t xml:space="preserve">of </w:t>
      </w:r>
      <w:r w:rsidRPr="00CC1ADD">
        <w:t xml:space="preserve">products in the TAG database would see a decrease </w:t>
      </w:r>
      <w:r w:rsidR="00B664F4">
        <w:t>in</w:t>
      </w:r>
      <w:r w:rsidRPr="00CC1ADD">
        <w:t xml:space="preserve"> HSR of between 0.5 to 1.5.</w:t>
      </w:r>
    </w:p>
    <w:p w14:paraId="0DCF8B61" w14:textId="77777777" w:rsidR="000A3464" w:rsidRPr="00CC1ADD" w:rsidRDefault="000A3464" w:rsidP="00173A82">
      <w:pPr>
        <w:pStyle w:val="mpcbullets2"/>
      </w:pPr>
      <w:r w:rsidRPr="00CC1ADD">
        <w:t>The average total sugars content of all products impacted is 30.5g per 100g.</w:t>
      </w:r>
    </w:p>
    <w:p w14:paraId="6E22C095" w14:textId="291C9538" w:rsidR="000A3464" w:rsidRPr="00CC1ADD" w:rsidRDefault="000A3464" w:rsidP="00173A82">
      <w:pPr>
        <w:pStyle w:val="mpcbullets2"/>
      </w:pPr>
      <w:r w:rsidRPr="00CC1ADD">
        <w:t>Breakfast cereals are most strongly impacted, with the HSRs for 4</w:t>
      </w:r>
      <w:r w:rsidR="00AE5CE0">
        <w:t>4</w:t>
      </w:r>
      <w:r w:rsidRPr="00CC1ADD">
        <w:t xml:space="preserve"> breakfast cereals (representing 1</w:t>
      </w:r>
      <w:r w:rsidR="00AE5CE0">
        <w:t>6</w:t>
      </w:r>
      <w:r w:rsidRPr="00CC1ADD">
        <w:t>% of products impacted) decreasing by between 0.5 to 1</w:t>
      </w:r>
      <w:r w:rsidR="00AE5CE0">
        <w:t>.5</w:t>
      </w:r>
      <w:r w:rsidRPr="00CC1ADD">
        <w:t>. All of these products have more than 17g of sugars per 100g.</w:t>
      </w:r>
    </w:p>
    <w:p w14:paraId="464304BF" w14:textId="7B06F690" w:rsidR="000A3464" w:rsidRPr="00CC1ADD" w:rsidRDefault="000A3464" w:rsidP="00173A82">
      <w:pPr>
        <w:pStyle w:val="mpcbullets2"/>
      </w:pPr>
      <w:r w:rsidRPr="00CC1ADD">
        <w:t xml:space="preserve">Other products impacted (with a decrease </w:t>
      </w:r>
      <w:r w:rsidRPr="00C512E3">
        <w:t>of 0.5 stars) include: yoghurts and soft cheeses (</w:t>
      </w:r>
      <w:r w:rsidR="00AE5CE0" w:rsidRPr="00C512E3">
        <w:t>56</w:t>
      </w:r>
      <w:r w:rsidRPr="00C512E3">
        <w:t xml:space="preserve"> products; 2</w:t>
      </w:r>
      <w:r w:rsidR="00AE5CE0" w:rsidRPr="00C512E3">
        <w:t>0</w:t>
      </w:r>
      <w:r w:rsidRPr="00C512E3">
        <w:t>% of products impacted), snack bars (</w:t>
      </w:r>
      <w:r w:rsidR="00AE5CE0" w:rsidRPr="00C512E3">
        <w:t>17</w:t>
      </w:r>
      <w:r w:rsidR="00C512E3" w:rsidRPr="00C512E3">
        <w:t xml:space="preserve"> products</w:t>
      </w:r>
      <w:r w:rsidRPr="00C512E3">
        <w:t xml:space="preserve">; </w:t>
      </w:r>
      <w:r w:rsidR="00AE5CE0" w:rsidRPr="00C512E3">
        <w:t>6</w:t>
      </w:r>
      <w:r w:rsidRPr="00C512E3">
        <w:t>% of products impacted), confectionery, sweetened dairy beverages, ice cream, jelly and ice confections, custards and desserts, sauces and condiments, biscuits and bakery products and processed fruits.</w:t>
      </w:r>
    </w:p>
    <w:p w14:paraId="1419ED87" w14:textId="77777777" w:rsidR="000A3464" w:rsidRPr="00CC1ADD" w:rsidRDefault="000A3464" w:rsidP="007E0D2C">
      <w:pPr>
        <w:pStyle w:val="mpcbullets1"/>
      </w:pPr>
      <w:r w:rsidRPr="00CC1ADD">
        <w:t>targets products that have been assessed as outliers or that are of concern to stakeholders</w:t>
      </w:r>
    </w:p>
    <w:p w14:paraId="41BA1B3A" w14:textId="77777777" w:rsidR="000A3464" w:rsidRPr="00CC1ADD" w:rsidRDefault="000A3464" w:rsidP="00173A82">
      <w:pPr>
        <w:pStyle w:val="mpcbullets2"/>
      </w:pPr>
      <w:r w:rsidRPr="00CC1ADD">
        <w:t>This includes breakfast cereals, ready to eat foods such as muesli and cereal bars and sweetened and flavoured milks and yoghurts (as well as cakes and sweet biscuits, confectionery, ice creams and desserts, some jams and mayonnaises and some savoury sauces).</w:t>
      </w:r>
    </w:p>
    <w:p w14:paraId="1BB348FA" w14:textId="02EB78C0" w:rsidR="000A3464" w:rsidRPr="00CC1ADD" w:rsidRDefault="000A3464" w:rsidP="007E0D2C">
      <w:pPr>
        <w:pStyle w:val="mpcbullets1"/>
      </w:pPr>
      <w:r w:rsidRPr="00CC1ADD">
        <w:t xml:space="preserve">results in changes to the points table which will mean the HSR System will not completely align with the NPSC but </w:t>
      </w:r>
      <w:r w:rsidR="006F198B">
        <w:t>will</w:t>
      </w:r>
      <w:r w:rsidRPr="00CC1ADD">
        <w:t xml:space="preserve"> continue to use total sugars consistent with the NPSC.</w:t>
      </w:r>
    </w:p>
    <w:p w14:paraId="48036E8B" w14:textId="64050E33" w:rsidR="000A3464" w:rsidRDefault="000A3464" w:rsidP="006D135E">
      <w:pPr>
        <w:pStyle w:val="mpcNormal"/>
        <w:keepNext w:val="0"/>
      </w:pPr>
    </w:p>
    <w:p w14:paraId="4EDC957C" w14:textId="77777777" w:rsidR="008256D0" w:rsidRDefault="001F53B9" w:rsidP="006D135E">
      <w:pPr>
        <w:pStyle w:val="mpcNormal"/>
        <w:keepNext w:val="0"/>
      </w:pPr>
      <w:r w:rsidRPr="004410ED">
        <w:t>The option of a 30 point sugars table was also considered</w:t>
      </w:r>
      <w:r w:rsidR="00A92E80" w:rsidRPr="004410ED">
        <w:t>. H</w:t>
      </w:r>
      <w:r w:rsidRPr="004410ED">
        <w:t>owever</w:t>
      </w:r>
      <w:r w:rsidR="00A92E80" w:rsidRPr="004410ED">
        <w:t xml:space="preserve">, while this reduced the HSRs of </w:t>
      </w:r>
      <w:r w:rsidR="00CD7242" w:rsidRPr="004410ED">
        <w:t>13</w:t>
      </w:r>
      <w:r w:rsidR="00D614DA" w:rsidRPr="004410ED">
        <w:t>% (</w:t>
      </w:r>
      <w:r w:rsidR="00A92E80" w:rsidRPr="004410ED">
        <w:t>756</w:t>
      </w:r>
      <w:r w:rsidR="00D614DA" w:rsidRPr="004410ED">
        <w:t>) of</w:t>
      </w:r>
      <w:r w:rsidR="00A92E80" w:rsidRPr="004410ED">
        <w:t xml:space="preserve"> products in the TAG database, more than half of these were FFG foods (386). The impacted FFG foods included </w:t>
      </w:r>
      <w:r w:rsidR="00BF7A8D" w:rsidRPr="004410ED">
        <w:t>43% of the processed fruits in the TAG database, 3</w:t>
      </w:r>
      <w:r w:rsidR="00643890" w:rsidRPr="004410ED">
        <w:t>3%</w:t>
      </w:r>
      <w:r w:rsidR="00BF7A8D" w:rsidRPr="004410ED">
        <w:t xml:space="preserve"> of the breakfast cereals</w:t>
      </w:r>
      <w:r w:rsidR="00A92E80" w:rsidRPr="004410ED">
        <w:t xml:space="preserve">, milks, </w:t>
      </w:r>
      <w:r w:rsidR="00BF7A8D" w:rsidRPr="004410ED">
        <w:t>yoghurts</w:t>
      </w:r>
      <w:r w:rsidR="00A92E80" w:rsidRPr="004410ED">
        <w:t>, cheeses, nuts</w:t>
      </w:r>
      <w:r w:rsidR="00BF7A8D" w:rsidRPr="004410ED">
        <w:t xml:space="preserve"> and processed vegetables.</w:t>
      </w:r>
      <w:r w:rsidR="00A92E80" w:rsidRPr="004410ED">
        <w:t xml:space="preserve"> While a stronger sugars table may address more of the discretionary products of concern than a 25 point table, it also disproportionally impact</w:t>
      </w:r>
      <w:r w:rsidR="004410ED" w:rsidRPr="004410ED">
        <w:t>s</w:t>
      </w:r>
      <w:r w:rsidR="00A92E80" w:rsidRPr="004410ED">
        <w:t xml:space="preserve"> negatively on FFG foods.</w:t>
      </w:r>
      <w:r w:rsidR="008256D0">
        <w:t xml:space="preserve"> </w:t>
      </w:r>
    </w:p>
    <w:p w14:paraId="12BAAB23" w14:textId="77777777" w:rsidR="008256D0" w:rsidRDefault="008256D0" w:rsidP="006D135E">
      <w:pPr>
        <w:pStyle w:val="mpcNormal"/>
        <w:keepNext w:val="0"/>
      </w:pPr>
    </w:p>
    <w:p w14:paraId="30FEB663" w14:textId="0B2944B1" w:rsidR="001F53B9" w:rsidRDefault="008256D0" w:rsidP="006D135E">
      <w:pPr>
        <w:pStyle w:val="mpcNormal"/>
        <w:keepNext w:val="0"/>
      </w:pPr>
      <w:r w:rsidRPr="009924EB">
        <w:t xml:space="preserve">Replacing total sugars with added sugars was also considered. As discussed in more detail at </w:t>
      </w:r>
      <w:r w:rsidRPr="009924EB">
        <w:rPr>
          <w:u w:val="single"/>
        </w:rPr>
        <w:t xml:space="preserve">Appendix </w:t>
      </w:r>
      <w:r w:rsidR="00F37134">
        <w:rPr>
          <w:u w:val="single"/>
        </w:rPr>
        <w:t>D</w:t>
      </w:r>
      <w:r w:rsidR="00F37134" w:rsidRPr="00F37134">
        <w:t>,</w:t>
      </w:r>
      <w:r w:rsidRPr="009924EB">
        <w:t xml:space="preserve"> this is not recommended in advance of any agreement by the Forum to include added sugars in the NIP. Should added sugars be defined and mandated on the NIP (a process that is likely take in excess of three years by the time changes are made to the Code) consideration could be given to changes to the HSR</w:t>
      </w:r>
      <w:r w:rsidR="009924EB">
        <w:t xml:space="preserve"> System</w:t>
      </w:r>
      <w:r w:rsidRPr="009924EB">
        <w:t>.</w:t>
      </w:r>
    </w:p>
    <w:p w14:paraId="3A3E270B" w14:textId="77777777" w:rsidR="00FC4168" w:rsidRDefault="00FC4168" w:rsidP="006D135E">
      <w:pPr>
        <w:pStyle w:val="mpcNormal"/>
        <w:keepNext w:val="0"/>
      </w:pPr>
    </w:p>
    <w:p w14:paraId="156BBD0C" w14:textId="77777777" w:rsidR="000A3464" w:rsidRPr="00CC1ADD" w:rsidRDefault="000A3464" w:rsidP="00D03694">
      <w:pPr>
        <w:pStyle w:val="mpcheading3"/>
        <w:keepNext/>
      </w:pPr>
      <w:r w:rsidRPr="00CC1ADD">
        <w:t>Sodium</w:t>
      </w:r>
    </w:p>
    <w:p w14:paraId="61403ABE" w14:textId="77777777" w:rsidR="000A3464" w:rsidRPr="00CC1ADD" w:rsidRDefault="000A3464" w:rsidP="00D03694">
      <w:pPr>
        <w:pStyle w:val="mpcNormal"/>
      </w:pPr>
      <w:bookmarkStart w:id="109" w:name="_Toc524530358"/>
    </w:p>
    <w:bookmarkEnd w:id="109"/>
    <w:p w14:paraId="781A6C81" w14:textId="5D15FBEF" w:rsidR="000A3464" w:rsidRPr="00CC1ADD" w:rsidRDefault="000A3464" w:rsidP="00D03694">
      <w:pPr>
        <w:pStyle w:val="mpcNormal"/>
      </w:pPr>
      <w:r w:rsidRPr="00CC1ADD">
        <w:t>The HSR Calculator does not effectively discriminate between products within Categories 1 and 2 that have significantly different sodium levels. At levels greater than 900mg</w:t>
      </w:r>
      <w:r w:rsidR="00D36202">
        <w:t>/</w:t>
      </w:r>
      <w:r w:rsidRPr="00CC1ADD">
        <w:t xml:space="preserve">100g, a large change in sodium is required to have any impact on the baseline points a product receives for sodium content. This means that products could have quite different sodium levels but receive the same HSR. It may also be a disincentive for manufacturers to reformulate to reduce sodium, as large and unrealistic decreases may be required before an increase in the HSR is achieved. </w:t>
      </w:r>
    </w:p>
    <w:p w14:paraId="28C176C4" w14:textId="77777777" w:rsidR="000A3464" w:rsidRPr="00CC1ADD" w:rsidRDefault="000A3464" w:rsidP="006D135E">
      <w:pPr>
        <w:pStyle w:val="mpcNormal"/>
        <w:keepNext w:val="0"/>
      </w:pPr>
    </w:p>
    <w:p w14:paraId="20F6183E" w14:textId="77777777" w:rsidR="000A3464" w:rsidRPr="00CC1ADD" w:rsidRDefault="000A3464" w:rsidP="006D135E">
      <w:pPr>
        <w:pStyle w:val="mpcNormal"/>
        <w:keepNext w:val="0"/>
      </w:pPr>
      <w:r w:rsidRPr="00CC1ADD">
        <w:t xml:space="preserve">This is because, for HSR Categories 1 and 2, the NPSC table that allocates up to 10 baseline points for sodium content &gt; 900mg was extended to cover the entire food supply to a maximum of 30 baseline points for sodium content &gt; 8,106mg/100g. For Category 3, the table was extended to a maximum of 30 baseline points for sodium content &gt; 2,700mg/100g. </w:t>
      </w:r>
    </w:p>
    <w:p w14:paraId="1C0CD09A" w14:textId="77777777" w:rsidR="000A3464" w:rsidRPr="00CC1ADD" w:rsidRDefault="000A3464" w:rsidP="006D135E">
      <w:pPr>
        <w:pStyle w:val="mpcNormal"/>
        <w:keepNext w:val="0"/>
      </w:pPr>
    </w:p>
    <w:p w14:paraId="32AB61C3" w14:textId="2F6ED505" w:rsidR="000A3464" w:rsidRPr="00CC1ADD" w:rsidRDefault="000A3464" w:rsidP="006D135E">
      <w:pPr>
        <w:pStyle w:val="mpcNormal"/>
        <w:keepNext w:val="0"/>
      </w:pPr>
      <w:r w:rsidRPr="00CC1ADD">
        <w:t>Extending the tables to cover products with sodium content up to &gt; 8,106mg/100g results in large differences in sodium between the cut</w:t>
      </w:r>
      <w:r w:rsidRPr="00CC1ADD">
        <w:noBreakHyphen/>
        <w:t xml:space="preserve">offs for baseline points (i.e. a large change in sodium is required to have any impact on the baseline points a product receives for sodium content). However, the majority of products in the food supply have a sodium content &lt; 900mg/100g (only </w:t>
      </w:r>
      <w:r w:rsidR="00AE5CE0">
        <w:t>7</w:t>
      </w:r>
      <w:r w:rsidRPr="00CC1ADD">
        <w:t>% of products in the TAG database have a sodium content &gt; 900mg/100g), making this high upper limit unnecessary.</w:t>
      </w:r>
    </w:p>
    <w:p w14:paraId="73D24A0E" w14:textId="77777777" w:rsidR="000A3464" w:rsidRPr="00CC1ADD" w:rsidRDefault="000A3464" w:rsidP="006D135E">
      <w:pPr>
        <w:pStyle w:val="mpcNormal"/>
        <w:keepNext w:val="0"/>
      </w:pPr>
    </w:p>
    <w:p w14:paraId="65700195" w14:textId="77777777" w:rsidR="000A3464" w:rsidRPr="00CC1ADD" w:rsidRDefault="000A3464" w:rsidP="006D135E">
      <w:pPr>
        <w:pStyle w:val="mpcNormal"/>
        <w:keepNext w:val="0"/>
      </w:pPr>
      <w:r w:rsidRPr="00CC1ADD">
        <w:t xml:space="preserve">TAG modelling and stakeholder feedback has highlighted concerns regarding specific products high in sodium that present as outliers, i.e. are discretionary (and may be considered high in sodium) but receive an HSR of 3.5 or greater, including: </w:t>
      </w:r>
    </w:p>
    <w:p w14:paraId="14F98CC5" w14:textId="77777777" w:rsidR="000A3464" w:rsidRPr="00CC1ADD" w:rsidRDefault="000A3464" w:rsidP="006D135E">
      <w:pPr>
        <w:pStyle w:val="mpcNormal"/>
        <w:keepNext w:val="0"/>
      </w:pPr>
    </w:p>
    <w:p w14:paraId="449A1AA9" w14:textId="77777777" w:rsidR="000A3464" w:rsidRPr="00CC1ADD" w:rsidRDefault="000A3464" w:rsidP="007E0D2C">
      <w:pPr>
        <w:pStyle w:val="mpcbullets1"/>
      </w:pPr>
      <w:r w:rsidRPr="00CC1ADD">
        <w:t>salty snacks (with a mean HSR of 3.5 and mean sodium content of 500mg/100g)</w:t>
      </w:r>
    </w:p>
    <w:p w14:paraId="66FDAEF7" w14:textId="22B26183" w:rsidR="000A3464" w:rsidRPr="00CC1ADD" w:rsidRDefault="000A3464" w:rsidP="007E0D2C">
      <w:pPr>
        <w:pStyle w:val="mpcbullets1"/>
      </w:pPr>
      <w:r w:rsidRPr="00CC1ADD">
        <w:t>processed meats (with a mean HSR of 3.</w:t>
      </w:r>
      <w:r w:rsidR="00B664F4">
        <w:t>5</w:t>
      </w:r>
      <w:r w:rsidRPr="00CC1ADD">
        <w:t xml:space="preserve"> and mean sodium content of 740mg/100g)</w:t>
      </w:r>
    </w:p>
    <w:p w14:paraId="2D2E3750" w14:textId="262082B0" w:rsidR="000A3464" w:rsidRPr="00CC1ADD" w:rsidRDefault="000A3464" w:rsidP="007E0D2C">
      <w:pPr>
        <w:pStyle w:val="mpcbullets1"/>
      </w:pPr>
      <w:r w:rsidRPr="00CC1ADD">
        <w:t>savo</w:t>
      </w:r>
      <w:r w:rsidR="00064740">
        <w:t>u</w:t>
      </w:r>
      <w:r w:rsidRPr="00CC1ADD">
        <w:t>ry sauces and gravies</w:t>
      </w:r>
    </w:p>
    <w:p w14:paraId="610CBC05" w14:textId="77777777" w:rsidR="000A3464" w:rsidRPr="00CC1ADD" w:rsidRDefault="000A3464" w:rsidP="007E0D2C">
      <w:pPr>
        <w:pStyle w:val="mpcbullets1"/>
      </w:pPr>
      <w:r w:rsidRPr="00CC1ADD">
        <w:t>soups and stocks</w:t>
      </w:r>
    </w:p>
    <w:p w14:paraId="4096025A" w14:textId="77777777" w:rsidR="000A3464" w:rsidRPr="00CC1ADD" w:rsidRDefault="000A3464" w:rsidP="007E0D2C">
      <w:pPr>
        <w:pStyle w:val="mpcbullets1"/>
      </w:pPr>
      <w:r w:rsidRPr="00CC1ADD">
        <w:t>dips, relishes and chutneys.</w:t>
      </w:r>
    </w:p>
    <w:p w14:paraId="55E51E2C" w14:textId="77777777" w:rsidR="000A3464" w:rsidRPr="00CC1ADD" w:rsidRDefault="000A3464" w:rsidP="006D135E">
      <w:pPr>
        <w:pStyle w:val="mpcNormal"/>
        <w:keepNext w:val="0"/>
      </w:pPr>
    </w:p>
    <w:p w14:paraId="51C351E7" w14:textId="48A6BA00" w:rsidR="000A3464" w:rsidRPr="00CC1ADD" w:rsidRDefault="000A3464" w:rsidP="006D135E">
      <w:pPr>
        <w:pStyle w:val="mpcNormal"/>
        <w:keepNext w:val="0"/>
      </w:pPr>
      <w:r w:rsidRPr="00CC1ADD">
        <w:t xml:space="preserve">Separate research undertaken by the George Institute identified the following discretionary foods with products receiving an HSR of 3.5 or more but with sodium content &gt; 600mg/100g, (which would qualify as a red traffic light under the current UK </w:t>
      </w:r>
      <w:r w:rsidR="008026E3">
        <w:t>traffic light labelling system</w:t>
      </w:r>
      <w:r w:rsidRPr="00CC1ADD">
        <w:t xml:space="preserve">): ready to eat meals; pickled vegetables, relishes and chutneys; processed meats; sauces, liquid recipe bases, pasta sauces; vegetable-based dips, salsa; and salty snacks. This analysis also noted there were more discretionary products scoring HSR </w:t>
      </w:r>
      <w:r w:rsidRPr="00CC1ADD">
        <w:sym w:font="Symbol" w:char="F0B3"/>
      </w:r>
      <w:r w:rsidRPr="00CC1ADD">
        <w:t xml:space="preserve"> 3.5 with a red light for sodium (510), than a red light for saturated fat (235) or total sugars (296)</w:t>
      </w:r>
      <w:r w:rsidRPr="00CC1ADD">
        <w:rPr>
          <w:rStyle w:val="FootnoteReference"/>
        </w:rPr>
        <w:footnoteReference w:id="74"/>
      </w:r>
      <w:r w:rsidR="00B664F4">
        <w:t>.</w:t>
      </w:r>
    </w:p>
    <w:p w14:paraId="4D29F58A" w14:textId="21C69470" w:rsidR="000A3464" w:rsidRPr="00CC1ADD" w:rsidRDefault="000A3464" w:rsidP="006D135E">
      <w:pPr>
        <w:pStyle w:val="mpcNormal"/>
        <w:keepNext w:val="0"/>
      </w:pPr>
    </w:p>
    <w:tbl>
      <w:tblPr>
        <w:tblStyle w:val="TableGrid"/>
        <w:tblW w:w="0" w:type="auto"/>
        <w:tblLook w:val="04A0" w:firstRow="1" w:lastRow="0" w:firstColumn="1" w:lastColumn="0" w:noHBand="0" w:noVBand="1"/>
        <w:tblCaption w:val="Rec 4C"/>
        <w:tblDescription w:val="Recommendation 4C:  Sodium sensitivity be improved for products high in sodium (by reducing the maximum sodium levels used to determine baseline points for sodium in Categories 1, 1D, 2 and 2D) to better reflect the range of sodium levels in the food supply."/>
      </w:tblPr>
      <w:tblGrid>
        <w:gridCol w:w="9736"/>
      </w:tblGrid>
      <w:tr w:rsidR="00AC4451" w:rsidRPr="00CC1ADD" w14:paraId="465F9970" w14:textId="77777777" w:rsidTr="00317B7D">
        <w:trPr>
          <w:trHeight w:val="1417"/>
        </w:trPr>
        <w:tc>
          <w:tcPr>
            <w:tcW w:w="9736" w:type="dxa"/>
            <w:shd w:val="clear" w:color="auto" w:fill="D9E2F3" w:themeFill="accent1" w:themeFillTint="33"/>
            <w:vAlign w:val="center"/>
          </w:tcPr>
          <w:p w14:paraId="79978F41" w14:textId="52187F74" w:rsidR="00AC4451" w:rsidRPr="00C85324" w:rsidRDefault="00C85324" w:rsidP="006D135E">
            <w:pPr>
              <w:pStyle w:val="mpcNormal"/>
              <w:keepNext w:val="0"/>
              <w:ind w:left="2160" w:hanging="2160"/>
            </w:pPr>
            <w:r w:rsidRPr="006868BE">
              <w:rPr>
                <w:b/>
              </w:rPr>
              <w:t>Recommendation 4</w:t>
            </w:r>
            <w:r w:rsidR="00B005CA">
              <w:rPr>
                <w:b/>
              </w:rPr>
              <w:t>C</w:t>
            </w:r>
            <w:r w:rsidRPr="006868BE">
              <w:rPr>
                <w:b/>
              </w:rPr>
              <w:t xml:space="preserve">: </w:t>
            </w:r>
            <w:r w:rsidRPr="006868BE">
              <w:rPr>
                <w:b/>
              </w:rPr>
              <w:tab/>
              <w:t>Sodium sensitivity be improved for products high in sodium (by reducing the maximum sodium levels used to determine baseline points for sodium in Categories 1, 1D, 2 and 2D) to better reflect the range of sodium levels in the food supply.</w:t>
            </w:r>
          </w:p>
        </w:tc>
      </w:tr>
    </w:tbl>
    <w:p w14:paraId="5A3947BB" w14:textId="7D337EEF" w:rsidR="00AC4451" w:rsidRDefault="00AC4451" w:rsidP="005A3631">
      <w:pPr>
        <w:pStyle w:val="mpcNormal"/>
        <w:keepNext w:val="0"/>
      </w:pPr>
    </w:p>
    <w:p w14:paraId="735C8C1A" w14:textId="4A980E4B" w:rsidR="00F37134" w:rsidRPr="00CC1ADD" w:rsidRDefault="000A3464" w:rsidP="00F37134">
      <w:pPr>
        <w:pStyle w:val="mpcNormal"/>
        <w:keepNext w:val="0"/>
        <w:widowControl w:val="0"/>
      </w:pPr>
      <w:r w:rsidRPr="00CC1ADD">
        <w:t xml:space="preserve">It is </w:t>
      </w:r>
      <w:r w:rsidR="004505FF" w:rsidRPr="00CC1ADD">
        <w:t>recommended</w:t>
      </w:r>
      <w:r w:rsidRPr="00CC1ADD">
        <w:t xml:space="preserve"> that changes be made to the HSR Calculator to reduce the upper limit of the sodium table for Categories 1</w:t>
      </w:r>
      <w:r w:rsidR="00317B7D">
        <w:t>, 1D, 2</w:t>
      </w:r>
      <w:r w:rsidRPr="00CC1ADD">
        <w:t xml:space="preserve"> and 2</w:t>
      </w:r>
      <w:r w:rsidR="00317B7D">
        <w:t>D</w:t>
      </w:r>
      <w:r w:rsidRPr="00CC1ADD">
        <w:t xml:space="preserve"> from a maximum of 30 baseline points for sodium content &gt; 8,106mg/100g to a maximum of 30 baseline points for sodium content &gt; 2,700mg/100g, as per the sodium table for Category 3. To retain alignment with the NPSC, there would be no changes to the sodium table below 900mg/100g. </w:t>
      </w:r>
      <w:r w:rsidR="00F37134" w:rsidRPr="00CC1ADD">
        <w:t xml:space="preserve">The proposed points tables are at </w:t>
      </w:r>
      <w:r w:rsidR="00F37134" w:rsidRPr="00CC1ADD">
        <w:rPr>
          <w:u w:val="single"/>
        </w:rPr>
        <w:t xml:space="preserve">Appendix </w:t>
      </w:r>
      <w:r w:rsidR="00F37134">
        <w:rPr>
          <w:u w:val="single"/>
        </w:rPr>
        <w:t>E</w:t>
      </w:r>
      <w:r w:rsidR="00F37134" w:rsidRPr="00CC1ADD">
        <w:t>.</w:t>
      </w:r>
    </w:p>
    <w:p w14:paraId="708E91BC" w14:textId="77777777" w:rsidR="000A3464" w:rsidRPr="00CC1ADD" w:rsidRDefault="000A3464">
      <w:pPr>
        <w:rPr>
          <w:sz w:val="22"/>
          <w:szCs w:val="22"/>
        </w:rPr>
      </w:pPr>
    </w:p>
    <w:p w14:paraId="2879BFA7" w14:textId="77777777" w:rsidR="000A3464" w:rsidRPr="00CC1ADD" w:rsidRDefault="000A3464">
      <w:pPr>
        <w:rPr>
          <w:sz w:val="22"/>
          <w:szCs w:val="22"/>
        </w:rPr>
      </w:pPr>
      <w:r w:rsidRPr="00CC1ADD">
        <w:rPr>
          <w:sz w:val="22"/>
          <w:szCs w:val="22"/>
        </w:rPr>
        <w:t>This approach:</w:t>
      </w:r>
    </w:p>
    <w:p w14:paraId="61BA21F0" w14:textId="77777777" w:rsidR="000A3464" w:rsidRPr="00CC1ADD" w:rsidRDefault="000A3464">
      <w:pPr>
        <w:rPr>
          <w:sz w:val="22"/>
          <w:szCs w:val="22"/>
        </w:rPr>
      </w:pPr>
    </w:p>
    <w:p w14:paraId="3CB4DDD6" w14:textId="77777777" w:rsidR="000A3464" w:rsidRPr="00CC1ADD" w:rsidRDefault="000A3464" w:rsidP="007E0D2C">
      <w:pPr>
        <w:pStyle w:val="mpcbullets1"/>
      </w:pPr>
      <w:r w:rsidRPr="00CC1ADD">
        <w:t>would improve differentiation between products with different sodium levels</w:t>
      </w:r>
    </w:p>
    <w:p w14:paraId="01AF38EE" w14:textId="77777777" w:rsidR="000A3464" w:rsidRPr="00CC1ADD" w:rsidRDefault="000A3464" w:rsidP="00173A82">
      <w:pPr>
        <w:pStyle w:val="mpcbullets2"/>
      </w:pPr>
      <w:r w:rsidRPr="00CC1ADD">
        <w:t>Improved sodium sensitivity for products with sodium content between 900mg/100g and 2,700mg/100g, means products in this range can incur baseline points faster.</w:t>
      </w:r>
    </w:p>
    <w:p w14:paraId="3A27C24D" w14:textId="77777777" w:rsidR="000A3464" w:rsidRPr="00CC1ADD" w:rsidRDefault="000A3464" w:rsidP="007E0D2C">
      <w:pPr>
        <w:pStyle w:val="mpcbullets1"/>
      </w:pPr>
      <w:r w:rsidRPr="00CC1ADD">
        <w:t>provides some increased alignment with Dietary Guideline recommendations to limit intake of foods high in sodium</w:t>
      </w:r>
    </w:p>
    <w:p w14:paraId="2255D486" w14:textId="2CA29E2A" w:rsidR="000A3464" w:rsidRDefault="000A3464" w:rsidP="007E0D2C">
      <w:pPr>
        <w:pStyle w:val="mpcbullets1"/>
      </w:pPr>
      <w:r w:rsidRPr="00CC1ADD">
        <w:t>would encourage reformulation in products with sodium levels &gt; 900mg/100g</w:t>
      </w:r>
    </w:p>
    <w:p w14:paraId="6395EC8A" w14:textId="47E27375" w:rsidR="008E630B" w:rsidRPr="0017608D" w:rsidRDefault="008E630B" w:rsidP="00173A82">
      <w:pPr>
        <w:pStyle w:val="mpcbullets2"/>
      </w:pPr>
      <w:r w:rsidRPr="00851ECF">
        <w:t xml:space="preserve">Adjusting the sodium baseline points </w:t>
      </w:r>
      <w:r w:rsidR="00851ECF" w:rsidRPr="00851ECF">
        <w:t xml:space="preserve">to reduce the gap between cut offs above 900mg/100g </w:t>
      </w:r>
      <w:r w:rsidRPr="0017608D">
        <w:t>will</w:t>
      </w:r>
      <w:r w:rsidRPr="00851ECF">
        <w:t xml:space="preserve"> address feedback from industry that large gaps in baseline points are less likely to incentivise reformulation as the change required to pass cut-points is not practically or technologically feasible.</w:t>
      </w:r>
    </w:p>
    <w:p w14:paraId="51C6ED46" w14:textId="10DE6594" w:rsidR="000A3464" w:rsidRPr="00CC1ADD" w:rsidRDefault="000A3464" w:rsidP="007E0D2C">
      <w:pPr>
        <w:pStyle w:val="mpcbullets1"/>
      </w:pPr>
      <w:r w:rsidRPr="00CC1ADD">
        <w:t xml:space="preserve">retains alignment with the NPSC and aligns the sodium tables across all HSR </w:t>
      </w:r>
      <w:r w:rsidR="00153CBD">
        <w:t>c</w:t>
      </w:r>
      <w:r w:rsidRPr="00CC1ADD">
        <w:t>ategories</w:t>
      </w:r>
    </w:p>
    <w:p w14:paraId="5789730A" w14:textId="294AE3A3" w:rsidR="000A3464" w:rsidRPr="00D614DA" w:rsidRDefault="000A3464" w:rsidP="007E0D2C">
      <w:pPr>
        <w:pStyle w:val="mpcbullets1"/>
      </w:pPr>
      <w:r w:rsidRPr="00CC1ADD">
        <w:t>would only impact products with sodium levels &gt; 900mg/100g, so will not necessitate changes to the HSRs of a wide range of products</w:t>
      </w:r>
      <w:r w:rsidR="00D614DA">
        <w:t xml:space="preserve"> or the majority of the Australian </w:t>
      </w:r>
      <w:r w:rsidR="00D614DA" w:rsidRPr="00D614DA">
        <w:t>Healthy Food Partnership reformulation targets</w:t>
      </w:r>
    </w:p>
    <w:p w14:paraId="4F0F33F4" w14:textId="0FAF9484" w:rsidR="000A3464" w:rsidRPr="00CC1ADD" w:rsidRDefault="000A3464" w:rsidP="00173A82">
      <w:pPr>
        <w:pStyle w:val="mpcbullets2"/>
      </w:pPr>
      <w:r w:rsidRPr="00CC1ADD">
        <w:t xml:space="preserve">1% (58) </w:t>
      </w:r>
      <w:r w:rsidR="00B005CA">
        <w:t xml:space="preserve">of </w:t>
      </w:r>
      <w:r w:rsidRPr="00CC1ADD">
        <w:t>products in the TAG database would see a decrease in their HSR of between 0.5 to 1.0 as a result of this change.</w:t>
      </w:r>
    </w:p>
    <w:p w14:paraId="1548F202" w14:textId="33FDF868" w:rsidR="000A3464" w:rsidRDefault="000A3464" w:rsidP="00173A82">
      <w:pPr>
        <w:pStyle w:val="mpcbullets2"/>
      </w:pPr>
      <w:r w:rsidRPr="00CC1ADD">
        <w:t>Products impacted include some savoury sauces, stocks, meal bases, processed meats and preserved vegetable products.</w:t>
      </w:r>
    </w:p>
    <w:p w14:paraId="312F7E8E" w14:textId="55C47ABA" w:rsidR="00D614DA" w:rsidRPr="00CC1ADD" w:rsidRDefault="00D614DA" w:rsidP="00173A82">
      <w:pPr>
        <w:pStyle w:val="mpcbullets2"/>
      </w:pPr>
      <w:r>
        <w:t xml:space="preserve">The </w:t>
      </w:r>
      <w:r w:rsidRPr="00851ECF">
        <w:t>Healthy Food Partnership</w:t>
      </w:r>
      <w:r>
        <w:t xml:space="preserve"> has developed proposed targets for the reformulation of sodium across </w:t>
      </w:r>
      <w:r w:rsidR="00CD7242">
        <w:t>a range of product categories</w:t>
      </w:r>
      <w:r w:rsidR="00A927D9">
        <w:t>.</w:t>
      </w:r>
    </w:p>
    <w:p w14:paraId="2A78EC74" w14:textId="7A9C14C7" w:rsidR="000A3464" w:rsidRPr="00CC1ADD" w:rsidRDefault="000A3464" w:rsidP="007E0D2C">
      <w:pPr>
        <w:pStyle w:val="mpcbullets1"/>
      </w:pPr>
      <w:r w:rsidRPr="00CC1ADD">
        <w:t>more appropriately reflects the range and frequency of sodium values in the food supply</w:t>
      </w:r>
      <w:r w:rsidR="00B664F4">
        <w:t>.</w:t>
      </w:r>
    </w:p>
    <w:p w14:paraId="7C13DAAE" w14:textId="3C6798E3" w:rsidR="000A3464" w:rsidRPr="00CC1ADD" w:rsidRDefault="000A3464" w:rsidP="00173A82">
      <w:pPr>
        <w:pStyle w:val="mpcbullets2"/>
      </w:pPr>
      <w:r w:rsidRPr="00CC1ADD">
        <w:t xml:space="preserve">Less than 1% of products in the TAG database have sodium content greater than </w:t>
      </w:r>
      <w:r w:rsidR="00F04411">
        <w:t>2</w:t>
      </w:r>
      <w:r w:rsidRPr="00CC1ADD">
        <w:t>,700mg/100g</w:t>
      </w:r>
      <w:r w:rsidR="00F04411">
        <w:t>,</w:t>
      </w:r>
      <w:r w:rsidRPr="00CC1ADD">
        <w:t xml:space="preserve"> so there is little need for the sodium table to go beyond this level.</w:t>
      </w:r>
    </w:p>
    <w:p w14:paraId="13B1645C" w14:textId="1763D10D" w:rsidR="00CD7242" w:rsidRDefault="00CD7242" w:rsidP="005A3631">
      <w:pPr>
        <w:rPr>
          <w:sz w:val="22"/>
          <w:szCs w:val="22"/>
        </w:rPr>
      </w:pPr>
    </w:p>
    <w:p w14:paraId="18167A9F" w14:textId="445A9BDC" w:rsidR="00F04411" w:rsidRDefault="00CD7242" w:rsidP="005A3631">
      <w:pPr>
        <w:rPr>
          <w:sz w:val="22"/>
          <w:szCs w:val="22"/>
        </w:rPr>
      </w:pPr>
      <w:r>
        <w:rPr>
          <w:sz w:val="22"/>
          <w:szCs w:val="22"/>
        </w:rPr>
        <w:t xml:space="preserve">It is acknowledged that many stakeholders </w:t>
      </w:r>
      <w:r w:rsidR="00F04411">
        <w:rPr>
          <w:sz w:val="22"/>
          <w:szCs w:val="22"/>
        </w:rPr>
        <w:t>supported</w:t>
      </w:r>
      <w:r>
        <w:rPr>
          <w:sz w:val="22"/>
          <w:szCs w:val="22"/>
        </w:rPr>
        <w:t xml:space="preserve"> this recommendation </w:t>
      </w:r>
      <w:r w:rsidR="00F04411">
        <w:rPr>
          <w:sz w:val="22"/>
          <w:szCs w:val="22"/>
        </w:rPr>
        <w:t xml:space="preserve">but </w:t>
      </w:r>
      <w:r>
        <w:rPr>
          <w:sz w:val="22"/>
          <w:szCs w:val="22"/>
        </w:rPr>
        <w:t xml:space="preserve">suggested </w:t>
      </w:r>
      <w:r w:rsidRPr="0060596A">
        <w:rPr>
          <w:sz w:val="22"/>
          <w:szCs w:val="22"/>
        </w:rPr>
        <w:t>that changes should be extended to below the 900mg/100g level</w:t>
      </w:r>
      <w:r w:rsidR="0078722F" w:rsidRPr="0060596A">
        <w:rPr>
          <w:sz w:val="22"/>
          <w:szCs w:val="22"/>
        </w:rPr>
        <w:t xml:space="preserve"> (to address products such as salty snacks)</w:t>
      </w:r>
      <w:r w:rsidRPr="0060596A">
        <w:rPr>
          <w:sz w:val="22"/>
          <w:szCs w:val="22"/>
        </w:rPr>
        <w:t>. Options explored</w:t>
      </w:r>
      <w:r w:rsidR="00F04411" w:rsidRPr="0060596A">
        <w:rPr>
          <w:sz w:val="22"/>
          <w:szCs w:val="22"/>
        </w:rPr>
        <w:t xml:space="preserve"> but not adopted are discussed </w:t>
      </w:r>
      <w:r w:rsidR="0078722F" w:rsidRPr="0060596A">
        <w:rPr>
          <w:sz w:val="22"/>
          <w:szCs w:val="22"/>
        </w:rPr>
        <w:t xml:space="preserve">in </w:t>
      </w:r>
      <w:r w:rsidR="0078722F" w:rsidRPr="0060596A">
        <w:rPr>
          <w:sz w:val="22"/>
          <w:szCs w:val="22"/>
          <w:u w:val="single"/>
        </w:rPr>
        <w:t xml:space="preserve">Appendix </w:t>
      </w:r>
      <w:r w:rsidR="00F37134">
        <w:rPr>
          <w:sz w:val="22"/>
          <w:szCs w:val="22"/>
          <w:u w:val="single"/>
        </w:rPr>
        <w:t>D</w:t>
      </w:r>
      <w:r w:rsidR="00F04411" w:rsidRPr="0060596A">
        <w:rPr>
          <w:sz w:val="22"/>
          <w:szCs w:val="22"/>
        </w:rPr>
        <w:t>.</w:t>
      </w:r>
    </w:p>
    <w:p w14:paraId="358518A2" w14:textId="77777777" w:rsidR="00FC4168" w:rsidRPr="0017608D" w:rsidRDefault="00FC4168" w:rsidP="005A3631">
      <w:pPr>
        <w:rPr>
          <w:sz w:val="22"/>
          <w:szCs w:val="22"/>
        </w:rPr>
      </w:pPr>
    </w:p>
    <w:p w14:paraId="4EA55B8B" w14:textId="77777777" w:rsidR="00BB5F09" w:rsidRPr="00CC1ADD" w:rsidRDefault="00BB5F09" w:rsidP="005A162A">
      <w:pPr>
        <w:pStyle w:val="mpcheading3"/>
      </w:pPr>
      <w:r w:rsidRPr="00CC1ADD">
        <w:t>Dairy desserts and surfaced-ripened cheeses</w:t>
      </w:r>
    </w:p>
    <w:p w14:paraId="38B5CE32" w14:textId="77777777" w:rsidR="00BB5F09" w:rsidRPr="00CC1ADD" w:rsidRDefault="00BB5F09">
      <w:pPr>
        <w:rPr>
          <w:sz w:val="22"/>
          <w:szCs w:val="22"/>
        </w:rPr>
      </w:pPr>
    </w:p>
    <w:p w14:paraId="31B420D1" w14:textId="1617EA0C" w:rsidR="00BB5F09" w:rsidRPr="00CC1ADD" w:rsidRDefault="00BB5F09">
      <w:pPr>
        <w:rPr>
          <w:sz w:val="22"/>
          <w:szCs w:val="22"/>
        </w:rPr>
      </w:pPr>
      <w:r w:rsidRPr="00CC1ADD">
        <w:rPr>
          <w:sz w:val="22"/>
          <w:szCs w:val="22"/>
        </w:rPr>
        <w:t>The six categories within the HSR Calculator were created to allow different scaling within each category to ensure appropriate discrimination between FFG and discretionary foods. Dairy categories were created so that dairy products (which are a valuable source of calcium in the diet and recommended by Dietary Guidelines) were not penalised for their intrinsic sugars and fat content</w:t>
      </w:r>
      <w:r w:rsidR="00B005CA">
        <w:rPr>
          <w:sz w:val="22"/>
          <w:szCs w:val="22"/>
        </w:rPr>
        <w:t xml:space="preserve">. These categories are designed such that </w:t>
      </w:r>
      <w:r w:rsidRPr="00CC1ADD">
        <w:rPr>
          <w:sz w:val="22"/>
          <w:szCs w:val="22"/>
        </w:rPr>
        <w:t>FFG dairy products generally receive HSRs &gt; 3.</w:t>
      </w:r>
    </w:p>
    <w:p w14:paraId="665BC4CB" w14:textId="000D34E9" w:rsidR="00BB5F09" w:rsidRPr="00CC1ADD" w:rsidRDefault="00BB5F09">
      <w:pPr>
        <w:rPr>
          <w:sz w:val="22"/>
          <w:szCs w:val="22"/>
        </w:rPr>
      </w:pPr>
    </w:p>
    <w:p w14:paraId="69999BE6" w14:textId="49EF6203" w:rsidR="00BB5F09" w:rsidRPr="00CC1ADD" w:rsidRDefault="00BB5F09">
      <w:pPr>
        <w:rPr>
          <w:sz w:val="22"/>
          <w:szCs w:val="22"/>
        </w:rPr>
      </w:pPr>
      <w:r w:rsidRPr="00CC1ADD">
        <w:rPr>
          <w:sz w:val="22"/>
          <w:szCs w:val="22"/>
        </w:rPr>
        <w:t>Two key issues have been raised in relation to the way the HSR Calculator deals with the dairy categories (i.e. HSR Categories 1D, 2D and 3D):</w:t>
      </w:r>
    </w:p>
    <w:p w14:paraId="44FEC5EF" w14:textId="3AEB78A8" w:rsidR="00BB5F09" w:rsidRPr="00CC1ADD" w:rsidRDefault="00BB5F09">
      <w:pPr>
        <w:rPr>
          <w:sz w:val="22"/>
          <w:szCs w:val="22"/>
        </w:rPr>
      </w:pPr>
    </w:p>
    <w:p w14:paraId="7CFC3391" w14:textId="16658096" w:rsidR="00BB5F09" w:rsidRPr="00CC1ADD" w:rsidRDefault="00BB5F09" w:rsidP="007E0D2C">
      <w:pPr>
        <w:pStyle w:val="mpcbullets1"/>
      </w:pPr>
      <w:r w:rsidRPr="00CC1ADD">
        <w:t>some FFG yoghurts in Category 2D have a lower HSR than nutritionally similar dairy desserts in Category 2</w:t>
      </w:r>
    </w:p>
    <w:p w14:paraId="72534865" w14:textId="2FF34981" w:rsidR="00BB5F09" w:rsidRPr="00CC1ADD" w:rsidRDefault="00BB5F09" w:rsidP="007E0D2C">
      <w:pPr>
        <w:pStyle w:val="mpcbullets1"/>
      </w:pPr>
      <w:r w:rsidRPr="00CC1ADD">
        <w:t>some cheeses have HSRs below 3.5, despite being FFG.</w:t>
      </w:r>
    </w:p>
    <w:p w14:paraId="000D3B50" w14:textId="3D9BD68E" w:rsidR="00BB5F09" w:rsidRPr="00CC1ADD" w:rsidRDefault="00BB5F09">
      <w:pPr>
        <w:rPr>
          <w:sz w:val="22"/>
          <w:szCs w:val="22"/>
        </w:rPr>
      </w:pPr>
    </w:p>
    <w:p w14:paraId="16A91FD7" w14:textId="420791F1" w:rsidR="00BB5F09" w:rsidRPr="00CC1ADD" w:rsidRDefault="00BB5F09">
      <w:pPr>
        <w:rPr>
          <w:b/>
          <w:sz w:val="22"/>
          <w:szCs w:val="22"/>
        </w:rPr>
      </w:pPr>
      <w:r w:rsidRPr="00CC1ADD">
        <w:rPr>
          <w:b/>
          <w:sz w:val="22"/>
          <w:szCs w:val="22"/>
        </w:rPr>
        <w:t>Category 2D</w:t>
      </w:r>
    </w:p>
    <w:p w14:paraId="71374249" w14:textId="006349E2" w:rsidR="00BB5F09" w:rsidRPr="00CC1ADD" w:rsidRDefault="00BB5F09">
      <w:pPr>
        <w:rPr>
          <w:sz w:val="22"/>
          <w:szCs w:val="22"/>
        </w:rPr>
      </w:pPr>
    </w:p>
    <w:p w14:paraId="6FF6E771" w14:textId="2B426B40" w:rsidR="00BB5F09" w:rsidRPr="00CC1ADD" w:rsidRDefault="00BB5F09">
      <w:pPr>
        <w:rPr>
          <w:sz w:val="22"/>
          <w:szCs w:val="22"/>
        </w:rPr>
      </w:pPr>
      <w:r w:rsidRPr="00CC1ADD">
        <w:rPr>
          <w:sz w:val="22"/>
          <w:szCs w:val="22"/>
        </w:rPr>
        <w:t xml:space="preserve">Category 2D includes all cheeses with calcium content </w:t>
      </w:r>
      <w:r w:rsidRPr="00CC1ADD">
        <w:rPr>
          <w:sz w:val="22"/>
          <w:szCs w:val="22"/>
        </w:rPr>
        <w:sym w:font="Symbol" w:char="F0A3"/>
      </w:r>
      <w:r>
        <w:rPr>
          <w:sz w:val="22"/>
          <w:szCs w:val="22"/>
        </w:rPr>
        <w:t> </w:t>
      </w:r>
      <w:r w:rsidRPr="00CC1ADD">
        <w:rPr>
          <w:sz w:val="22"/>
          <w:szCs w:val="22"/>
        </w:rPr>
        <w:t>320mg/100g, yoghurt and fermented milk products. Custards, desserts, cream cheeses, ice-creams and creams are not considered dairy foods by the HSR Calculator and</w:t>
      </w:r>
      <w:r w:rsidR="00B664F4">
        <w:rPr>
          <w:sz w:val="22"/>
          <w:szCs w:val="22"/>
        </w:rPr>
        <w:t>,</w:t>
      </w:r>
      <w:r w:rsidRPr="00CC1ADD">
        <w:rPr>
          <w:sz w:val="22"/>
          <w:szCs w:val="22"/>
        </w:rPr>
        <w:t xml:space="preserve"> as such</w:t>
      </w:r>
      <w:r w:rsidR="00B664F4">
        <w:rPr>
          <w:sz w:val="22"/>
          <w:szCs w:val="22"/>
        </w:rPr>
        <w:t>,</w:t>
      </w:r>
      <w:r w:rsidRPr="00CC1ADD">
        <w:rPr>
          <w:sz w:val="22"/>
          <w:szCs w:val="22"/>
        </w:rPr>
        <w:t xml:space="preserve"> are classified as Category 2 foods.</w:t>
      </w:r>
    </w:p>
    <w:p w14:paraId="6E19CAAA" w14:textId="247EF877" w:rsidR="00BB5F09" w:rsidRPr="00CC1ADD" w:rsidRDefault="00BB5F09">
      <w:pPr>
        <w:rPr>
          <w:sz w:val="22"/>
          <w:szCs w:val="22"/>
        </w:rPr>
      </w:pPr>
    </w:p>
    <w:p w14:paraId="6E80DC42" w14:textId="64C3AD34" w:rsidR="00BB5F09" w:rsidRDefault="00540EBB">
      <w:pPr>
        <w:rPr>
          <w:sz w:val="22"/>
          <w:szCs w:val="22"/>
        </w:rPr>
      </w:pPr>
      <w:r w:rsidRPr="00567B9C">
        <w:rPr>
          <w:noProof/>
          <w:lang w:eastAsia="en-AU"/>
        </w:rPr>
        <w:drawing>
          <wp:anchor distT="0" distB="0" distL="114300" distR="114300" simplePos="0" relativeHeight="251703296" behindDoc="0" locked="0" layoutInCell="1" allowOverlap="1" wp14:anchorId="7329A8DF" wp14:editId="0B9CEC3F">
            <wp:simplePos x="0" y="0"/>
            <wp:positionH relativeFrom="column">
              <wp:posOffset>3253105</wp:posOffset>
            </wp:positionH>
            <wp:positionV relativeFrom="paragraph">
              <wp:posOffset>40640</wp:posOffset>
            </wp:positionV>
            <wp:extent cx="2800350" cy="3629660"/>
            <wp:effectExtent l="0" t="0" r="6350" b="2540"/>
            <wp:wrapSquare wrapText="bothSides"/>
            <wp:docPr id="32" name="Picture 32" descr="Figure 8: Image of a chilled supermarket display with yoghurts and dairy desserts displayed side-by-side.&#10;&#10;Yoghurts, custards and dairy desserts are found in the same section of the supermarket and are likely to be compared by consu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hqprint">
                      <a:extLst>
                        <a:ext uri="{28A0092B-C50C-407E-A947-70E740481C1C}">
                          <a14:useLocalDpi xmlns:a14="http://schemas.microsoft.com/office/drawing/2010/main" val="0"/>
                        </a:ext>
                      </a:extLst>
                    </a:blip>
                    <a:srcRect/>
                    <a:stretch/>
                  </pic:blipFill>
                  <pic:spPr bwMode="auto">
                    <a:xfrm>
                      <a:off x="0" y="0"/>
                      <a:ext cx="2800350" cy="3629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5F09" w:rsidRPr="00CC1ADD">
        <w:rPr>
          <w:sz w:val="22"/>
          <w:szCs w:val="22"/>
        </w:rPr>
        <w:t>Due to the way the HSR Calculator deals with different categories, products in Category 2 may receive higher HSRs than nutritionally similar products in Category 2D. Stakeholders have noted that some Category 2D products (such as yoghurts) receive an HSR that is too low for an FFG food, which is not appropriate when compared to other products in Category 2 such as custards.</w:t>
      </w:r>
    </w:p>
    <w:p w14:paraId="76B82FFD" w14:textId="1CDB4746" w:rsidR="00567B9C" w:rsidRDefault="00567B9C">
      <w:pPr>
        <w:rPr>
          <w:sz w:val="22"/>
          <w:szCs w:val="22"/>
        </w:rPr>
      </w:pPr>
    </w:p>
    <w:p w14:paraId="5F0C6687" w14:textId="61E4F7E3" w:rsidR="00BB5F09" w:rsidRPr="00CC1ADD" w:rsidRDefault="00BB5F09">
      <w:pPr>
        <w:rPr>
          <w:sz w:val="22"/>
          <w:szCs w:val="22"/>
        </w:rPr>
      </w:pPr>
      <w:r w:rsidRPr="00CC1ADD">
        <w:rPr>
          <w:sz w:val="22"/>
          <w:szCs w:val="22"/>
        </w:rPr>
        <w:t>Since the implementation of the HSR System, yoghurts have undergone innovation such that there is a wide range of relative healthiness and nutrient profiles, ranging from ‘pure’ yoghurts through to those that are more similar to dairy desserts. Yoghurts also tend to be in the same location of the supermarket as custards, creams, cream cheeses and other dairy desserts</w:t>
      </w:r>
      <w:r w:rsidR="00913EE8">
        <w:rPr>
          <w:sz w:val="22"/>
          <w:szCs w:val="22"/>
        </w:rPr>
        <w:t xml:space="preserve"> (see Figure </w:t>
      </w:r>
      <w:r w:rsidR="00D82678">
        <w:rPr>
          <w:sz w:val="22"/>
          <w:szCs w:val="22"/>
        </w:rPr>
        <w:t>8</w:t>
      </w:r>
      <w:r w:rsidR="00913EE8">
        <w:rPr>
          <w:sz w:val="22"/>
          <w:szCs w:val="22"/>
        </w:rPr>
        <w:t>)</w:t>
      </w:r>
      <w:r w:rsidRPr="00CC1ADD">
        <w:rPr>
          <w:sz w:val="22"/>
          <w:szCs w:val="22"/>
        </w:rPr>
        <w:t>. While the HSR System is intended to provide a measure of a product’s nutritional value relative to other products in its category, it is likely these products would be compared by consumers.</w:t>
      </w:r>
    </w:p>
    <w:p w14:paraId="79C641F9" w14:textId="7B088724" w:rsidR="00BB5F09" w:rsidRPr="00CC1ADD" w:rsidRDefault="00BB5F09">
      <w:pPr>
        <w:rPr>
          <w:sz w:val="22"/>
          <w:szCs w:val="22"/>
        </w:rPr>
      </w:pPr>
    </w:p>
    <w:p w14:paraId="45DDF41A" w14:textId="417CA2B0" w:rsidR="00BB5F09" w:rsidRPr="00CC1ADD" w:rsidRDefault="00540EBB" w:rsidP="00CD1F86">
      <w:pPr>
        <w:pStyle w:val="mpcNormal"/>
        <w:keepNext w:val="0"/>
      </w:pPr>
      <w:r>
        <w:rPr>
          <w:noProof/>
          <w:lang w:eastAsia="en-AU"/>
        </w:rPr>
        <mc:AlternateContent>
          <mc:Choice Requires="wps">
            <w:drawing>
              <wp:anchor distT="0" distB="0" distL="114300" distR="114300" simplePos="0" relativeHeight="251708416" behindDoc="0" locked="0" layoutInCell="1" allowOverlap="1" wp14:anchorId="5E5323FD" wp14:editId="3DA94E66">
                <wp:simplePos x="0" y="0"/>
                <wp:positionH relativeFrom="column">
                  <wp:posOffset>3245485</wp:posOffset>
                </wp:positionH>
                <wp:positionV relativeFrom="paragraph">
                  <wp:posOffset>158115</wp:posOffset>
                </wp:positionV>
                <wp:extent cx="2804795" cy="620395"/>
                <wp:effectExtent l="0" t="0" r="1905" b="1905"/>
                <wp:wrapSquare wrapText="bothSides"/>
                <wp:docPr id="3" name="Text Box 3" descr="Figure 8: Yoghurts, custards and dairy desserts are found in the same section of the supermarket and are likely to be compared by consumers."/>
                <wp:cNvGraphicFramePr/>
                <a:graphic xmlns:a="http://schemas.openxmlformats.org/drawingml/2006/main">
                  <a:graphicData uri="http://schemas.microsoft.com/office/word/2010/wordprocessingShape">
                    <wps:wsp>
                      <wps:cNvSpPr txBox="1"/>
                      <wps:spPr>
                        <a:xfrm>
                          <a:off x="0" y="0"/>
                          <a:ext cx="2804795" cy="620395"/>
                        </a:xfrm>
                        <a:prstGeom prst="rect">
                          <a:avLst/>
                        </a:prstGeom>
                        <a:solidFill>
                          <a:schemeClr val="lt1"/>
                        </a:solidFill>
                        <a:ln w="6350">
                          <a:noFill/>
                        </a:ln>
                      </wps:spPr>
                      <wps:txbx>
                        <w:txbxContent>
                          <w:p w14:paraId="2B34D49F" w14:textId="2205C20F" w:rsidR="00E254FE" w:rsidRPr="00BB5F09" w:rsidRDefault="00E254FE" w:rsidP="00540EBB">
                            <w:pPr>
                              <w:rPr>
                                <w:sz w:val="20"/>
                              </w:rPr>
                            </w:pPr>
                            <w:r w:rsidRPr="00BB5F09">
                              <w:rPr>
                                <w:b/>
                                <w:sz w:val="20"/>
                              </w:rPr>
                              <w:t xml:space="preserve">Figure </w:t>
                            </w:r>
                            <w:r>
                              <w:rPr>
                                <w:b/>
                                <w:sz w:val="20"/>
                              </w:rPr>
                              <w:t>8</w:t>
                            </w:r>
                            <w:r w:rsidRPr="00BB5F09">
                              <w:rPr>
                                <w:b/>
                                <w:sz w:val="20"/>
                              </w:rPr>
                              <w:t>:</w:t>
                            </w:r>
                            <w:r w:rsidRPr="00BB5F09">
                              <w:rPr>
                                <w:sz w:val="20"/>
                              </w:rPr>
                              <w:t xml:space="preserve"> </w:t>
                            </w:r>
                            <w:r>
                              <w:rPr>
                                <w:sz w:val="20"/>
                              </w:rPr>
                              <w:t>Yoghurts, custards and dairy desserts are found in the same section of the supermarket and are likely to be compared by consumers.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323FD" id="Text Box 3" o:spid="_x0000_s1031" type="#_x0000_t202" alt="Figure 8: Yoghurts, custards and dairy desserts are found in the same section of the supermarket and are likely to be compared by consumers." style="position:absolute;margin-left:255.55pt;margin-top:12.45pt;width:220.85pt;height:48.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" fillcolor="white [3201]" stroked="f" strokeweight=".5pt">
                <v:textbox>
                  <w:txbxContent>
                    <w:p w14:paraId="2B34D49F" w14:textId="2205C20F" w:rsidR="00E254FE" w:rsidRPr="00BB5F09" w:rsidRDefault="00E254FE" w:rsidP="00540EBB">
                      <w:pPr>
                        <w:rPr>
                          <w:sz w:val="20"/>
                        </w:rPr>
                      </w:pPr>
                      <w:r w:rsidRPr="00BB5F09">
                        <w:rPr>
                          <w:b/>
                          <w:sz w:val="20"/>
                        </w:rPr>
                        <w:t xml:space="preserve">Figure </w:t>
                      </w:r>
                      <w:r>
                        <w:rPr>
                          <w:b/>
                          <w:sz w:val="20"/>
                        </w:rPr>
                        <w:t>8</w:t>
                      </w:r>
                      <w:r w:rsidRPr="00BB5F09">
                        <w:rPr>
                          <w:b/>
                          <w:sz w:val="20"/>
                        </w:rPr>
                        <w:t>:</w:t>
                      </w:r>
                      <w:r w:rsidRPr="00BB5F09">
                        <w:rPr>
                          <w:sz w:val="20"/>
                        </w:rPr>
                        <w:t xml:space="preserve"> </w:t>
                      </w:r>
                      <w:r>
                        <w:rPr>
                          <w:sz w:val="20"/>
                        </w:rPr>
                        <w:t>Yoghurts, custards and dairy desserts are found in the same section of the supermarket and are likely to be compared by consumers.</w:t>
                      </w:r>
                    </w:p>
                  </w:txbxContent>
                </v:textbox>
                <w10:wrap type="square"/>
              </v:shape>
            </w:pict>
          </mc:Fallback>
        </mc:AlternateContent>
      </w:r>
      <w:r w:rsidR="00BB5F09" w:rsidRPr="00CC1ADD">
        <w:t>A study published in August 2018</w:t>
      </w:r>
      <w:r w:rsidR="00BB5F09" w:rsidRPr="00CC1ADD">
        <w:rPr>
          <w:rStyle w:val="FootnoteReference"/>
          <w:sz w:val="22"/>
        </w:rPr>
        <w:footnoteReference w:id="75"/>
      </w:r>
      <w:r w:rsidR="00BB5F09" w:rsidRPr="00CC1ADD">
        <w:t xml:space="preserve"> found that yoghurts were an area of misalignment between the HSR System and the NPSC</w:t>
      </w:r>
      <w:r w:rsidR="004D1F22">
        <w:t>;</w:t>
      </w:r>
      <w:r w:rsidR="00BB5F09" w:rsidRPr="00CC1ADD">
        <w:t xml:space="preserve"> 335 yoghurts had an HSR &lt;</w:t>
      </w:r>
      <w:r>
        <w:t> </w:t>
      </w:r>
      <w:r w:rsidR="00BB5F09" w:rsidRPr="00CC1ADD">
        <w:t>3.5 but were eligible to display health claims under the Code</w:t>
      </w:r>
      <w:r w:rsidR="004A0D78" w:rsidRPr="00CC1ADD">
        <w:rPr>
          <w:rStyle w:val="FootnoteReference"/>
          <w:sz w:val="22"/>
        </w:rPr>
        <w:footnoteReference w:id="76"/>
      </w:r>
      <w:r w:rsidR="00BB5F09" w:rsidRPr="00CC1ADD">
        <w:t>.</w:t>
      </w:r>
    </w:p>
    <w:p w14:paraId="6EEA7304" w14:textId="2D247EEA" w:rsidR="00BB5F09" w:rsidRPr="00CC1ADD" w:rsidRDefault="00BB5F09" w:rsidP="00CD1F86">
      <w:pPr>
        <w:pStyle w:val="mpcNormal"/>
        <w:keepNext w:val="0"/>
      </w:pPr>
    </w:p>
    <w:p w14:paraId="334B5E09" w14:textId="77777777" w:rsidR="00BB5F09" w:rsidRPr="00CC1ADD" w:rsidRDefault="00BB5F09" w:rsidP="005A3631">
      <w:pPr>
        <w:rPr>
          <w:b/>
          <w:sz w:val="22"/>
          <w:szCs w:val="22"/>
        </w:rPr>
      </w:pPr>
      <w:r w:rsidRPr="00CC1ADD">
        <w:rPr>
          <w:b/>
          <w:sz w:val="22"/>
          <w:szCs w:val="22"/>
        </w:rPr>
        <w:t>Category 3D</w:t>
      </w:r>
    </w:p>
    <w:p w14:paraId="6D63433A" w14:textId="5EE2B6B8" w:rsidR="00BB5F09" w:rsidRPr="00CC1ADD" w:rsidRDefault="00BB5F09">
      <w:pPr>
        <w:rPr>
          <w:sz w:val="22"/>
          <w:szCs w:val="22"/>
        </w:rPr>
      </w:pPr>
    </w:p>
    <w:p w14:paraId="1416FE9C" w14:textId="6971A13F" w:rsidR="00BB5F09" w:rsidRPr="00CC1ADD" w:rsidRDefault="00BB5F09">
      <w:pPr>
        <w:rPr>
          <w:sz w:val="22"/>
          <w:szCs w:val="22"/>
        </w:rPr>
      </w:pPr>
      <w:r w:rsidRPr="00CC1ADD">
        <w:rPr>
          <w:sz w:val="22"/>
          <w:szCs w:val="22"/>
        </w:rPr>
        <w:t>Category 3D includes all cheeses as defined in Standard 2.5.4 with</w:t>
      </w:r>
      <w:r w:rsidR="004D1F22">
        <w:rPr>
          <w:sz w:val="22"/>
          <w:szCs w:val="22"/>
        </w:rPr>
        <w:t xml:space="preserve"> </w:t>
      </w:r>
      <w:r w:rsidRPr="00CC1ADD">
        <w:rPr>
          <w:sz w:val="22"/>
          <w:szCs w:val="22"/>
        </w:rPr>
        <w:t>calcium content &gt; 320mg/100</w:t>
      </w:r>
      <w:r w:rsidR="004D1F22">
        <w:rPr>
          <w:sz w:val="22"/>
          <w:szCs w:val="22"/>
        </w:rPr>
        <w:t>g</w:t>
      </w:r>
      <w:r w:rsidR="004D1F22">
        <w:rPr>
          <w:rStyle w:val="FootnoteReference"/>
          <w:szCs w:val="22"/>
        </w:rPr>
        <w:footnoteReference w:id="77"/>
      </w:r>
      <w:r w:rsidR="004D1F22">
        <w:rPr>
          <w:sz w:val="22"/>
          <w:szCs w:val="22"/>
        </w:rPr>
        <w:t>.</w:t>
      </w:r>
    </w:p>
    <w:p w14:paraId="513267EF" w14:textId="47DB6716" w:rsidR="00BB5F09" w:rsidRPr="00CC1ADD" w:rsidRDefault="00BB5F09">
      <w:pPr>
        <w:rPr>
          <w:sz w:val="22"/>
          <w:szCs w:val="22"/>
        </w:rPr>
      </w:pPr>
    </w:p>
    <w:p w14:paraId="15CA1DAF" w14:textId="4AE0A3D0" w:rsidR="00BB5F09" w:rsidRPr="00CC1ADD" w:rsidRDefault="00BB5F09">
      <w:pPr>
        <w:rPr>
          <w:sz w:val="22"/>
          <w:szCs w:val="22"/>
        </w:rPr>
      </w:pPr>
      <w:r w:rsidRPr="00CC1ADD">
        <w:rPr>
          <w:sz w:val="22"/>
          <w:szCs w:val="22"/>
        </w:rPr>
        <w:t xml:space="preserve">Over the course of the Review, some stakeholders raised concerns regarding the treatment of cheeses under the HSR System, with some citing a study undertaken by the NSW Ministry </w:t>
      </w:r>
      <w:r w:rsidR="00B664F4">
        <w:rPr>
          <w:sz w:val="22"/>
          <w:szCs w:val="22"/>
        </w:rPr>
        <w:t>of</w:t>
      </w:r>
      <w:r w:rsidRPr="00CC1ADD">
        <w:rPr>
          <w:sz w:val="22"/>
          <w:szCs w:val="22"/>
        </w:rPr>
        <w:t xml:space="preserve"> Health that found that 36% of cheeses have an HSR of &lt; 3, despite all cheeses being classified as FFG</w:t>
      </w:r>
      <w:r w:rsidRPr="00CC1ADD">
        <w:rPr>
          <w:rStyle w:val="FootnoteReference"/>
          <w:sz w:val="22"/>
          <w:szCs w:val="22"/>
        </w:rPr>
        <w:footnoteReference w:id="78"/>
      </w:r>
      <w:r w:rsidR="00B664F4">
        <w:rPr>
          <w:sz w:val="22"/>
          <w:szCs w:val="22"/>
        </w:rPr>
        <w:t>.</w:t>
      </w:r>
      <w:r w:rsidRPr="00CC1ADD">
        <w:rPr>
          <w:sz w:val="22"/>
          <w:szCs w:val="22"/>
        </w:rPr>
        <w:t xml:space="preserve"> </w:t>
      </w:r>
    </w:p>
    <w:p w14:paraId="05E17E98" w14:textId="77777777" w:rsidR="00BB5F09" w:rsidRPr="00CC1ADD" w:rsidRDefault="00BB5F09">
      <w:pPr>
        <w:rPr>
          <w:sz w:val="22"/>
          <w:szCs w:val="22"/>
        </w:rPr>
      </w:pPr>
    </w:p>
    <w:p w14:paraId="36C253A7" w14:textId="2829E392" w:rsidR="00BB5F09" w:rsidRPr="00CC1ADD" w:rsidRDefault="00BB5F09">
      <w:pPr>
        <w:rPr>
          <w:sz w:val="22"/>
          <w:szCs w:val="22"/>
        </w:rPr>
      </w:pPr>
      <w:r w:rsidRPr="00CC1ADD">
        <w:rPr>
          <w:sz w:val="22"/>
          <w:szCs w:val="22"/>
        </w:rPr>
        <w:t>The Review has found that this issue has predominantly arisen from a misinterpretation of the category inclusion criteria, stemming from the online HSR Calculator, which requires users to classify core dairy products as ‘beverages’ (Category 1D), ‘yoghurt or soft cheese’ (Category 2D) or ‘cheese’ (Category 3D). This has led users to inappropriately classify surface ripened cheeses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 xml:space="preserve">brie and camembert, colloquially referred to as ‘soft cheeses’ by consumers) as Category 2D products. However, such products generally meet the calcium threshold to be included in Category 3D and are intended to be classified as such. Products intended to be captured as ‘soft cheeses’ for the purposes of Category 2D include cottage and ricotta cheeses, i.e. unripened cheeses. </w:t>
      </w:r>
    </w:p>
    <w:p w14:paraId="580FFD9E" w14:textId="77777777" w:rsidR="00BB5F09" w:rsidRPr="00CC1ADD" w:rsidRDefault="00BB5F09" w:rsidP="00CD1F86">
      <w:pPr>
        <w:pStyle w:val="mpcNormal"/>
        <w:keepNext w:val="0"/>
      </w:pPr>
    </w:p>
    <w:tbl>
      <w:tblPr>
        <w:tblStyle w:val="TableGrid"/>
        <w:tblW w:w="0" w:type="auto"/>
        <w:tblLook w:val="04A0" w:firstRow="1" w:lastRow="0" w:firstColumn="1" w:lastColumn="0" w:noHBand="0" w:noVBand="1"/>
        <w:tblCaption w:val="Rec 4D"/>
        <w:tblDescription w:val="Recommendation 4D:  Dairy categories be redefined (Category 2D to include dairy desserts and other chilled dairy products and Category 3D to include surface ripened cheeses) and rescaled to ensure healthier FFG options receive higher HSRs and improve comparability between dairy products."/>
      </w:tblPr>
      <w:tblGrid>
        <w:gridCol w:w="9736"/>
      </w:tblGrid>
      <w:tr w:rsidR="00BB5F09" w:rsidRPr="00CC1ADD" w14:paraId="17A4D261" w14:textId="77777777" w:rsidTr="00BB5F09">
        <w:trPr>
          <w:trHeight w:val="1298"/>
        </w:trPr>
        <w:tc>
          <w:tcPr>
            <w:tcW w:w="9736" w:type="dxa"/>
            <w:shd w:val="clear" w:color="auto" w:fill="D9E2F3" w:themeFill="accent1" w:themeFillTint="33"/>
            <w:vAlign w:val="center"/>
          </w:tcPr>
          <w:p w14:paraId="788168F7" w14:textId="603B2C41" w:rsidR="00BB5F09" w:rsidRPr="00CC1ADD" w:rsidRDefault="00BB5F09" w:rsidP="00CD1F86">
            <w:pPr>
              <w:pStyle w:val="mpcheading4"/>
              <w:keepNext w:val="0"/>
              <w:ind w:left="2127" w:hanging="2127"/>
            </w:pPr>
            <w:bookmarkStart w:id="110" w:name="_Toc524530401"/>
            <w:r w:rsidRPr="00CC1ADD">
              <w:t>Recommendation</w:t>
            </w:r>
            <w:r w:rsidR="00953CC0">
              <w:t xml:space="preserve"> 4</w:t>
            </w:r>
            <w:r w:rsidR="00B005CA">
              <w:t>D</w:t>
            </w:r>
            <w:r w:rsidRPr="00CC1ADD">
              <w:t xml:space="preserve">: </w:t>
            </w:r>
            <w:r w:rsidRPr="00CC1ADD">
              <w:tab/>
            </w:r>
            <w:r>
              <w:t xml:space="preserve">Dairy </w:t>
            </w:r>
            <w:r w:rsidR="004A6A27">
              <w:t>c</w:t>
            </w:r>
            <w:r>
              <w:t>ategories be redefined (</w:t>
            </w:r>
            <w:r w:rsidRPr="00CC1ADD">
              <w:t xml:space="preserve">Category 2D to include dairy desserts </w:t>
            </w:r>
            <w:r w:rsidR="00AE5CE0">
              <w:t xml:space="preserve">and other chilled dairy products </w:t>
            </w:r>
            <w:r w:rsidRPr="00CC1ADD">
              <w:t>and Category 3D to include surface ripened cheeses) and rescale</w:t>
            </w:r>
            <w:bookmarkEnd w:id="110"/>
            <w:r>
              <w:t>d</w:t>
            </w:r>
            <w:r w:rsidRPr="00CC1ADD">
              <w:t xml:space="preserve"> to ensure healthier FFG options receive higher HSRs and improve comparability between dairy products.</w:t>
            </w:r>
          </w:p>
        </w:tc>
      </w:tr>
    </w:tbl>
    <w:p w14:paraId="29279673" w14:textId="77777777" w:rsidR="00BB5F09" w:rsidRPr="00CC1ADD" w:rsidRDefault="00BB5F09" w:rsidP="00CD1F86">
      <w:pPr>
        <w:pStyle w:val="mpcNormal"/>
        <w:keepNext w:val="0"/>
      </w:pPr>
    </w:p>
    <w:p w14:paraId="6EC390FE" w14:textId="03409942" w:rsidR="00BB5F09" w:rsidRPr="00CC1ADD" w:rsidRDefault="00705EC2" w:rsidP="005A3631">
      <w:pPr>
        <w:rPr>
          <w:sz w:val="22"/>
          <w:szCs w:val="22"/>
        </w:rPr>
      </w:pPr>
      <w:r>
        <w:rPr>
          <w:sz w:val="22"/>
          <w:szCs w:val="22"/>
        </w:rPr>
        <w:t xml:space="preserve">It is recommended that </w:t>
      </w:r>
      <w:r w:rsidR="00BB5F09" w:rsidRPr="00CC1ADD">
        <w:rPr>
          <w:sz w:val="22"/>
          <w:szCs w:val="22"/>
        </w:rPr>
        <w:t>the definitions for Category 2D and Category 3D</w:t>
      </w:r>
      <w:r>
        <w:rPr>
          <w:sz w:val="22"/>
          <w:szCs w:val="22"/>
        </w:rPr>
        <w:t xml:space="preserve"> be amended and both categories rescaled</w:t>
      </w:r>
      <w:r w:rsidR="00BB5F09" w:rsidRPr="00CC1ADD">
        <w:rPr>
          <w:sz w:val="22"/>
          <w:szCs w:val="22"/>
        </w:rPr>
        <w:t xml:space="preserve">. </w:t>
      </w:r>
    </w:p>
    <w:p w14:paraId="5F9E4A98" w14:textId="77777777" w:rsidR="00BB5F09" w:rsidRPr="00CC1ADD" w:rsidRDefault="00BB5F09">
      <w:pPr>
        <w:rPr>
          <w:sz w:val="22"/>
          <w:szCs w:val="22"/>
        </w:rPr>
      </w:pPr>
    </w:p>
    <w:p w14:paraId="2BE0B948" w14:textId="701F6209" w:rsidR="0078722F" w:rsidRPr="00ED385A" w:rsidRDefault="0078722F" w:rsidP="0078722F">
      <w:pPr>
        <w:rPr>
          <w:rFonts w:cstheme="minorHAnsi"/>
          <w:sz w:val="22"/>
          <w:szCs w:val="22"/>
        </w:rPr>
      </w:pPr>
      <w:r w:rsidRPr="00ED385A">
        <w:rPr>
          <w:rFonts w:cstheme="minorHAnsi"/>
          <w:sz w:val="22"/>
          <w:szCs w:val="22"/>
        </w:rPr>
        <w:t xml:space="preserve">Category 2D would include all ‘spoonable’ dairy foods, including yoghurts, custards, </w:t>
      </w:r>
      <w:r>
        <w:rPr>
          <w:rFonts w:cstheme="minorHAnsi"/>
          <w:sz w:val="22"/>
          <w:szCs w:val="22"/>
        </w:rPr>
        <w:t xml:space="preserve">evaporated milks, </w:t>
      </w:r>
      <w:r w:rsidRPr="00ED385A">
        <w:rPr>
          <w:rFonts w:cstheme="minorHAnsi"/>
          <w:sz w:val="22"/>
          <w:szCs w:val="22"/>
        </w:rPr>
        <w:t>dairy</w:t>
      </w:r>
      <w:r w:rsidRPr="00ED385A">
        <w:rPr>
          <w:rFonts w:cstheme="minorHAnsi"/>
          <w:sz w:val="22"/>
          <w:szCs w:val="22"/>
        </w:rPr>
        <w:noBreakHyphen/>
        <w:t xml:space="preserve">based desserts (such as mousses, crème caramels, panna cottas) cream cheeses, creams, sour creams, crème fraiche and mascarpone. To be included in Category 2D, products still require </w:t>
      </w:r>
      <w:r w:rsidRPr="00ED385A">
        <w:rPr>
          <w:rFonts w:cstheme="minorHAnsi"/>
          <w:sz w:val="22"/>
          <w:szCs w:val="22"/>
        </w:rPr>
        <w:sym w:font="Symbol" w:char="F0A3"/>
      </w:r>
      <w:r w:rsidRPr="00ED385A">
        <w:rPr>
          <w:rFonts w:cstheme="minorHAnsi"/>
          <w:sz w:val="22"/>
          <w:szCs w:val="22"/>
        </w:rPr>
        <w:t> 25% non</w:t>
      </w:r>
      <w:r w:rsidRPr="00ED385A">
        <w:rPr>
          <w:rFonts w:cstheme="minorHAnsi"/>
          <w:sz w:val="22"/>
          <w:szCs w:val="22"/>
        </w:rPr>
        <w:noBreakHyphen/>
        <w:t>dairy ingredients. This excludes ice creams and gelatos and other dairy-based ice confections (i.e. those found in the freezer section of the supermarket) and condensed milks.</w:t>
      </w:r>
      <w:r w:rsidR="00D82678">
        <w:rPr>
          <w:rFonts w:cstheme="minorHAnsi"/>
          <w:sz w:val="22"/>
          <w:szCs w:val="22"/>
        </w:rPr>
        <w:t xml:space="preserve"> Examples of products that would be included in and excluded from Category 2D are outlined in Table 4.</w:t>
      </w:r>
    </w:p>
    <w:p w14:paraId="1CDBA524" w14:textId="315B0F53" w:rsidR="0078722F" w:rsidRDefault="0078722F">
      <w:pPr>
        <w:rPr>
          <w:sz w:val="22"/>
          <w:szCs w:val="22"/>
        </w:rPr>
      </w:pPr>
    </w:p>
    <w:p w14:paraId="33EC70C5" w14:textId="77777777" w:rsidR="0078722F" w:rsidRPr="00ED385A" w:rsidRDefault="0078722F" w:rsidP="0078722F">
      <w:pPr>
        <w:pStyle w:val="mpctableheading"/>
        <w:rPr>
          <w:rFonts w:cstheme="minorHAnsi"/>
          <w:szCs w:val="22"/>
        </w:rPr>
      </w:pPr>
      <w:r w:rsidRPr="00ED385A">
        <w:rPr>
          <w:rFonts w:cstheme="minorHAnsi"/>
          <w:szCs w:val="22"/>
        </w:rPr>
        <w:t>Table 4: Examples of products that would and would not be included in Category 2D</w:t>
      </w:r>
    </w:p>
    <w:p w14:paraId="10AEF855" w14:textId="77777777" w:rsidR="0078722F" w:rsidRPr="00ED385A" w:rsidRDefault="0078722F" w:rsidP="0078722F">
      <w:pPr>
        <w:pStyle w:val="mpcNormal"/>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Caption w:val="Examples of products included and excluded in Cat 2D"/>
        <w:tblDescription w:val="This table provides examples of products that would be included and excluded from Category 2D."/>
      </w:tblPr>
      <w:tblGrid>
        <w:gridCol w:w="5529"/>
        <w:gridCol w:w="3491"/>
      </w:tblGrid>
      <w:tr w:rsidR="0078722F" w:rsidRPr="00ED385A" w14:paraId="08894A2F" w14:textId="77777777" w:rsidTr="00540EBB">
        <w:trPr>
          <w:cantSplit/>
          <w:trHeight w:val="426"/>
          <w:tblHeader/>
        </w:trPr>
        <w:tc>
          <w:tcPr>
            <w:tcW w:w="5529" w:type="dxa"/>
            <w:shd w:val="clear" w:color="auto" w:fill="516A8E"/>
            <w:vAlign w:val="center"/>
          </w:tcPr>
          <w:p w14:paraId="2379824A" w14:textId="77777777" w:rsidR="0078722F" w:rsidRPr="00D03694" w:rsidRDefault="0078722F" w:rsidP="00BF476F">
            <w:pPr>
              <w:pStyle w:val="mpcNormal"/>
              <w:rPr>
                <w:b/>
                <w:color w:val="FFFFFF" w:themeColor="background1"/>
                <w:sz w:val="20"/>
                <w:szCs w:val="20"/>
              </w:rPr>
            </w:pPr>
            <w:r w:rsidRPr="00D03694">
              <w:rPr>
                <w:b/>
                <w:color w:val="FFFFFF" w:themeColor="background1"/>
                <w:sz w:val="20"/>
                <w:szCs w:val="20"/>
              </w:rPr>
              <w:t>Cat 2D products</w:t>
            </w:r>
          </w:p>
        </w:tc>
        <w:tc>
          <w:tcPr>
            <w:tcW w:w="3491" w:type="dxa"/>
            <w:shd w:val="clear" w:color="auto" w:fill="516A8E"/>
            <w:vAlign w:val="center"/>
          </w:tcPr>
          <w:p w14:paraId="07880736" w14:textId="77777777" w:rsidR="0078722F" w:rsidRPr="00D03694" w:rsidRDefault="0078722F" w:rsidP="00BF476F">
            <w:pPr>
              <w:pStyle w:val="mpcNormal"/>
              <w:rPr>
                <w:b/>
                <w:color w:val="FFFFFF" w:themeColor="background1"/>
                <w:sz w:val="20"/>
                <w:szCs w:val="20"/>
              </w:rPr>
            </w:pPr>
            <w:r w:rsidRPr="00D03694">
              <w:rPr>
                <w:b/>
                <w:color w:val="FFFFFF" w:themeColor="background1"/>
                <w:sz w:val="20"/>
                <w:szCs w:val="20"/>
              </w:rPr>
              <w:t>Products excluded from Cat 2D</w:t>
            </w:r>
          </w:p>
        </w:tc>
      </w:tr>
      <w:tr w:rsidR="0078722F" w:rsidRPr="00ED385A" w14:paraId="6FABACD0" w14:textId="77777777" w:rsidTr="00540EBB">
        <w:trPr>
          <w:cantSplit/>
          <w:tblHeader/>
        </w:trPr>
        <w:tc>
          <w:tcPr>
            <w:tcW w:w="5529" w:type="dxa"/>
          </w:tcPr>
          <w:p w14:paraId="15EF9CF5" w14:textId="77777777" w:rsidR="0078722F" w:rsidRPr="00D03694" w:rsidRDefault="0078722F" w:rsidP="007E0D2C">
            <w:pPr>
              <w:pStyle w:val="mpcbullets1"/>
              <w:numPr>
                <w:ilvl w:val="0"/>
                <w:numId w:val="0"/>
              </w:numPr>
              <w:rPr>
                <w:sz w:val="20"/>
                <w:szCs w:val="20"/>
              </w:rPr>
            </w:pPr>
            <w:r w:rsidRPr="00D03694">
              <w:rPr>
                <w:sz w:val="20"/>
                <w:szCs w:val="20"/>
              </w:rPr>
              <w:t xml:space="preserve">Provided products contain </w:t>
            </w:r>
            <w:r w:rsidRPr="00D03694">
              <w:rPr>
                <w:sz w:val="20"/>
                <w:szCs w:val="20"/>
              </w:rPr>
              <w:sym w:font="Symbol" w:char="F0A3"/>
            </w:r>
            <w:r w:rsidRPr="00D03694">
              <w:rPr>
                <w:sz w:val="20"/>
                <w:szCs w:val="20"/>
              </w:rPr>
              <w:t> 25% non</w:t>
            </w:r>
            <w:r w:rsidRPr="00D03694">
              <w:rPr>
                <w:sz w:val="20"/>
                <w:szCs w:val="20"/>
              </w:rPr>
              <w:noBreakHyphen/>
              <w:t>dairy ingredients:</w:t>
            </w:r>
          </w:p>
          <w:p w14:paraId="2465191B" w14:textId="77777777" w:rsidR="0078722F" w:rsidRPr="00D03694" w:rsidRDefault="0078722F" w:rsidP="007E0D2C">
            <w:pPr>
              <w:pStyle w:val="mpcbullets1"/>
              <w:numPr>
                <w:ilvl w:val="0"/>
                <w:numId w:val="20"/>
              </w:numPr>
              <w:rPr>
                <w:sz w:val="20"/>
                <w:szCs w:val="20"/>
              </w:rPr>
            </w:pPr>
            <w:r w:rsidRPr="00D03694">
              <w:rPr>
                <w:sz w:val="20"/>
                <w:szCs w:val="20"/>
              </w:rPr>
              <w:t xml:space="preserve">cheeses with calcium content </w:t>
            </w:r>
            <w:r w:rsidRPr="00D03694">
              <w:rPr>
                <w:sz w:val="20"/>
                <w:szCs w:val="20"/>
              </w:rPr>
              <w:sym w:font="Symbol" w:char="F0A3"/>
            </w:r>
            <w:r w:rsidRPr="00D03694">
              <w:rPr>
                <w:sz w:val="20"/>
                <w:szCs w:val="20"/>
              </w:rPr>
              <w:t> 320mg/100g</w:t>
            </w:r>
          </w:p>
          <w:p w14:paraId="5580D9D4" w14:textId="111D2D4B" w:rsidR="0078722F" w:rsidRPr="00D03694" w:rsidRDefault="0078722F" w:rsidP="007E0D2C">
            <w:pPr>
              <w:pStyle w:val="mpcbullets1"/>
              <w:numPr>
                <w:ilvl w:val="0"/>
                <w:numId w:val="20"/>
              </w:numPr>
              <w:rPr>
                <w:sz w:val="20"/>
                <w:szCs w:val="20"/>
              </w:rPr>
            </w:pPr>
            <w:r w:rsidRPr="00D03694">
              <w:rPr>
                <w:sz w:val="20"/>
                <w:szCs w:val="20"/>
              </w:rPr>
              <w:t>yoghurt (including those in squeezie pouches)</w:t>
            </w:r>
          </w:p>
          <w:p w14:paraId="4B317C9F" w14:textId="77777777" w:rsidR="0078722F" w:rsidRPr="00D03694" w:rsidRDefault="0078722F" w:rsidP="007E0D2C">
            <w:pPr>
              <w:pStyle w:val="mpcbullets1"/>
              <w:numPr>
                <w:ilvl w:val="0"/>
                <w:numId w:val="20"/>
              </w:numPr>
              <w:rPr>
                <w:sz w:val="20"/>
                <w:szCs w:val="20"/>
              </w:rPr>
            </w:pPr>
            <w:r w:rsidRPr="00D03694">
              <w:rPr>
                <w:sz w:val="20"/>
                <w:szCs w:val="20"/>
              </w:rPr>
              <w:t>fermented milk products</w:t>
            </w:r>
          </w:p>
          <w:p w14:paraId="4486BB19" w14:textId="77777777" w:rsidR="0078722F" w:rsidRPr="00D03694" w:rsidRDefault="0078722F" w:rsidP="007E0D2C">
            <w:pPr>
              <w:pStyle w:val="mpcbullets1"/>
              <w:numPr>
                <w:ilvl w:val="0"/>
                <w:numId w:val="20"/>
              </w:numPr>
              <w:rPr>
                <w:sz w:val="20"/>
                <w:szCs w:val="20"/>
              </w:rPr>
            </w:pPr>
            <w:r w:rsidRPr="00D03694">
              <w:rPr>
                <w:sz w:val="20"/>
                <w:szCs w:val="20"/>
              </w:rPr>
              <w:t>custard</w:t>
            </w:r>
          </w:p>
          <w:p w14:paraId="7FC49807" w14:textId="77777777" w:rsidR="0078722F" w:rsidRPr="00D03694" w:rsidRDefault="0078722F" w:rsidP="007E0D2C">
            <w:pPr>
              <w:pStyle w:val="mpcbullets1"/>
              <w:numPr>
                <w:ilvl w:val="0"/>
                <w:numId w:val="20"/>
              </w:numPr>
              <w:rPr>
                <w:sz w:val="20"/>
                <w:szCs w:val="20"/>
              </w:rPr>
            </w:pPr>
            <w:r w:rsidRPr="00D03694">
              <w:rPr>
                <w:sz w:val="20"/>
                <w:szCs w:val="20"/>
              </w:rPr>
              <w:t>dairy desserts (mousse, crème caramel, panna cotta)</w:t>
            </w:r>
          </w:p>
          <w:p w14:paraId="34093E9A" w14:textId="77777777" w:rsidR="0078722F" w:rsidRPr="00D03694" w:rsidRDefault="0078722F" w:rsidP="007E0D2C">
            <w:pPr>
              <w:pStyle w:val="mpcbullets1"/>
              <w:numPr>
                <w:ilvl w:val="0"/>
                <w:numId w:val="20"/>
              </w:numPr>
              <w:rPr>
                <w:sz w:val="20"/>
                <w:szCs w:val="20"/>
              </w:rPr>
            </w:pPr>
            <w:r w:rsidRPr="00D03694">
              <w:rPr>
                <w:sz w:val="20"/>
                <w:szCs w:val="20"/>
              </w:rPr>
              <w:t>cream cheese</w:t>
            </w:r>
          </w:p>
          <w:p w14:paraId="61B36FBD" w14:textId="77777777" w:rsidR="0078722F" w:rsidRPr="00D03694" w:rsidRDefault="0078722F" w:rsidP="007E0D2C">
            <w:pPr>
              <w:pStyle w:val="mpcbullets1"/>
              <w:numPr>
                <w:ilvl w:val="0"/>
                <w:numId w:val="20"/>
              </w:numPr>
              <w:rPr>
                <w:sz w:val="20"/>
                <w:szCs w:val="20"/>
              </w:rPr>
            </w:pPr>
            <w:r w:rsidRPr="00D03694">
              <w:rPr>
                <w:sz w:val="20"/>
                <w:szCs w:val="20"/>
              </w:rPr>
              <w:t>mascarpone</w:t>
            </w:r>
          </w:p>
          <w:p w14:paraId="3BD27EAD" w14:textId="77777777" w:rsidR="0078722F" w:rsidRPr="00D03694" w:rsidRDefault="0078722F" w:rsidP="007E0D2C">
            <w:pPr>
              <w:pStyle w:val="mpcbullets1"/>
              <w:numPr>
                <w:ilvl w:val="0"/>
                <w:numId w:val="20"/>
              </w:numPr>
              <w:rPr>
                <w:sz w:val="20"/>
                <w:szCs w:val="20"/>
              </w:rPr>
            </w:pPr>
            <w:r w:rsidRPr="00D03694">
              <w:rPr>
                <w:sz w:val="20"/>
                <w:szCs w:val="20"/>
              </w:rPr>
              <w:t xml:space="preserve">crème fraiche </w:t>
            </w:r>
          </w:p>
          <w:p w14:paraId="15528499" w14:textId="77777777" w:rsidR="0078722F" w:rsidRPr="00D03694" w:rsidRDefault="0078722F" w:rsidP="007E0D2C">
            <w:pPr>
              <w:pStyle w:val="mpcbullets1"/>
              <w:numPr>
                <w:ilvl w:val="0"/>
                <w:numId w:val="20"/>
              </w:numPr>
              <w:rPr>
                <w:sz w:val="20"/>
                <w:szCs w:val="20"/>
              </w:rPr>
            </w:pPr>
            <w:r w:rsidRPr="00D03694">
              <w:rPr>
                <w:sz w:val="20"/>
                <w:szCs w:val="20"/>
              </w:rPr>
              <w:t>evaporated milk</w:t>
            </w:r>
          </w:p>
          <w:p w14:paraId="19B59B94" w14:textId="77777777" w:rsidR="0078722F" w:rsidRPr="00D03694" w:rsidRDefault="0078722F" w:rsidP="007E0D2C">
            <w:pPr>
              <w:pStyle w:val="mpcbullets1"/>
              <w:numPr>
                <w:ilvl w:val="0"/>
                <w:numId w:val="20"/>
              </w:numPr>
              <w:rPr>
                <w:sz w:val="20"/>
                <w:szCs w:val="20"/>
              </w:rPr>
            </w:pPr>
            <w:r w:rsidRPr="00D03694">
              <w:rPr>
                <w:sz w:val="20"/>
                <w:szCs w:val="20"/>
              </w:rPr>
              <w:t>ricotta</w:t>
            </w:r>
          </w:p>
        </w:tc>
        <w:tc>
          <w:tcPr>
            <w:tcW w:w="3491" w:type="dxa"/>
          </w:tcPr>
          <w:p w14:paraId="671E46DE" w14:textId="77777777" w:rsidR="0078722F" w:rsidRPr="00D03694" w:rsidRDefault="0078722F" w:rsidP="007E0D2C">
            <w:pPr>
              <w:pStyle w:val="mpcbullets1"/>
              <w:numPr>
                <w:ilvl w:val="0"/>
                <w:numId w:val="20"/>
              </w:numPr>
              <w:rPr>
                <w:sz w:val="20"/>
                <w:szCs w:val="20"/>
              </w:rPr>
            </w:pPr>
            <w:r w:rsidRPr="00D03694">
              <w:rPr>
                <w:sz w:val="20"/>
                <w:szCs w:val="20"/>
              </w:rPr>
              <w:t>condensed milk</w:t>
            </w:r>
          </w:p>
          <w:p w14:paraId="0F91A524" w14:textId="77777777" w:rsidR="0078722F" w:rsidRPr="00D03694" w:rsidRDefault="0078722F" w:rsidP="007E0D2C">
            <w:pPr>
              <w:pStyle w:val="mpcbullets1"/>
              <w:numPr>
                <w:ilvl w:val="0"/>
                <w:numId w:val="20"/>
              </w:numPr>
              <w:rPr>
                <w:sz w:val="20"/>
                <w:szCs w:val="20"/>
              </w:rPr>
            </w:pPr>
            <w:r w:rsidRPr="00D03694">
              <w:rPr>
                <w:sz w:val="20"/>
                <w:szCs w:val="20"/>
              </w:rPr>
              <w:t xml:space="preserve">dairy-based ice confections </w:t>
            </w:r>
          </w:p>
          <w:p w14:paraId="61791E88" w14:textId="77777777" w:rsidR="0078722F" w:rsidRPr="00D03694" w:rsidRDefault="0078722F" w:rsidP="007E0D2C">
            <w:pPr>
              <w:pStyle w:val="mpcbullets1"/>
              <w:numPr>
                <w:ilvl w:val="0"/>
                <w:numId w:val="20"/>
              </w:numPr>
              <w:rPr>
                <w:sz w:val="20"/>
                <w:szCs w:val="20"/>
              </w:rPr>
            </w:pPr>
            <w:r w:rsidRPr="00D03694">
              <w:rPr>
                <w:sz w:val="20"/>
                <w:szCs w:val="20"/>
              </w:rPr>
              <w:t>ice cream</w:t>
            </w:r>
          </w:p>
          <w:p w14:paraId="7E953A0B" w14:textId="77777777" w:rsidR="0078722F" w:rsidRPr="00D03694" w:rsidRDefault="0078722F" w:rsidP="007E0D2C">
            <w:pPr>
              <w:pStyle w:val="mpcbullets1"/>
              <w:numPr>
                <w:ilvl w:val="0"/>
                <w:numId w:val="20"/>
              </w:numPr>
              <w:rPr>
                <w:sz w:val="20"/>
                <w:szCs w:val="20"/>
              </w:rPr>
            </w:pPr>
            <w:r w:rsidRPr="00D03694">
              <w:rPr>
                <w:sz w:val="20"/>
                <w:szCs w:val="20"/>
              </w:rPr>
              <w:t>gelato</w:t>
            </w:r>
          </w:p>
          <w:p w14:paraId="3DE0B4C1" w14:textId="77777777" w:rsidR="0078722F" w:rsidRPr="00D03694" w:rsidRDefault="0078722F" w:rsidP="007E0D2C">
            <w:pPr>
              <w:pStyle w:val="mpcbullets1"/>
              <w:numPr>
                <w:ilvl w:val="0"/>
                <w:numId w:val="20"/>
              </w:numPr>
              <w:rPr>
                <w:sz w:val="20"/>
                <w:szCs w:val="20"/>
              </w:rPr>
            </w:pPr>
            <w:r w:rsidRPr="00D03694">
              <w:rPr>
                <w:sz w:val="20"/>
                <w:szCs w:val="20"/>
              </w:rPr>
              <w:t>pudding</w:t>
            </w:r>
          </w:p>
          <w:p w14:paraId="70831438" w14:textId="5EDCE233" w:rsidR="0078722F" w:rsidRPr="00D03694" w:rsidRDefault="0078722F" w:rsidP="007E0D2C">
            <w:pPr>
              <w:pStyle w:val="mpcbullets1"/>
              <w:numPr>
                <w:ilvl w:val="0"/>
                <w:numId w:val="20"/>
              </w:numPr>
              <w:rPr>
                <w:sz w:val="20"/>
                <w:szCs w:val="20"/>
              </w:rPr>
            </w:pPr>
            <w:r w:rsidRPr="00D03694">
              <w:rPr>
                <w:sz w:val="20"/>
                <w:szCs w:val="20"/>
              </w:rPr>
              <w:t>rice pudding</w:t>
            </w:r>
          </w:p>
        </w:tc>
      </w:tr>
    </w:tbl>
    <w:p w14:paraId="0D67B44E" w14:textId="77777777" w:rsidR="0078722F" w:rsidRPr="00CC1ADD" w:rsidRDefault="0078722F">
      <w:pPr>
        <w:rPr>
          <w:sz w:val="22"/>
          <w:szCs w:val="22"/>
        </w:rPr>
      </w:pPr>
    </w:p>
    <w:p w14:paraId="576D5CAA" w14:textId="7B45D883" w:rsidR="00BB5F09" w:rsidRPr="00CC1ADD" w:rsidRDefault="00BB5F09">
      <w:pPr>
        <w:rPr>
          <w:sz w:val="22"/>
          <w:szCs w:val="22"/>
        </w:rPr>
      </w:pPr>
      <w:r w:rsidRPr="00CC1ADD">
        <w:rPr>
          <w:sz w:val="22"/>
          <w:szCs w:val="22"/>
        </w:rPr>
        <w:t xml:space="preserve">The </w:t>
      </w:r>
      <w:r w:rsidR="004A6A27">
        <w:rPr>
          <w:sz w:val="22"/>
          <w:szCs w:val="22"/>
        </w:rPr>
        <w:t>c</w:t>
      </w:r>
      <w:r w:rsidRPr="00CC1ADD">
        <w:rPr>
          <w:sz w:val="22"/>
          <w:szCs w:val="22"/>
        </w:rPr>
        <w:t xml:space="preserve">ategory would also be rescaled to maintain a spread of HSRs across products. Including additional discretionary products in Category 2D without rescaling would see a large cluster of products at the lower end of the </w:t>
      </w:r>
      <w:r w:rsidR="00B005CA">
        <w:rPr>
          <w:sz w:val="22"/>
          <w:szCs w:val="22"/>
        </w:rPr>
        <w:t xml:space="preserve">HSR </w:t>
      </w:r>
      <w:r w:rsidRPr="00CC1ADD">
        <w:rPr>
          <w:sz w:val="22"/>
          <w:szCs w:val="22"/>
        </w:rPr>
        <w:t xml:space="preserve">scale, which would not support consumers to choose between such products. Rescaling will redistribute the entire </w:t>
      </w:r>
      <w:r w:rsidR="004A6A27">
        <w:rPr>
          <w:sz w:val="22"/>
          <w:szCs w:val="22"/>
        </w:rPr>
        <w:t>c</w:t>
      </w:r>
      <w:r w:rsidRPr="00CC1ADD">
        <w:rPr>
          <w:sz w:val="22"/>
          <w:szCs w:val="22"/>
        </w:rPr>
        <w:t xml:space="preserve">ategory: the addition of more ‘unhealthy’ products would condense the top end of the </w:t>
      </w:r>
      <w:r w:rsidR="004A6A27">
        <w:rPr>
          <w:sz w:val="22"/>
          <w:szCs w:val="22"/>
        </w:rPr>
        <w:t>c</w:t>
      </w:r>
      <w:r w:rsidRPr="00CC1ADD">
        <w:rPr>
          <w:sz w:val="22"/>
          <w:szCs w:val="22"/>
        </w:rPr>
        <w:t>ategory (i.e. the HSRs would increase for some yoghurts, soft cheeses and healthier custards – those lower in total sugars and saturated fat)</w:t>
      </w:r>
      <w:r w:rsidR="00B005CA">
        <w:rPr>
          <w:sz w:val="22"/>
          <w:szCs w:val="22"/>
        </w:rPr>
        <w:t>;</w:t>
      </w:r>
      <w:r w:rsidRPr="00CC1ADD">
        <w:rPr>
          <w:sz w:val="22"/>
          <w:szCs w:val="22"/>
        </w:rPr>
        <w:t xml:space="preserve"> and the middle to lower end of the </w:t>
      </w:r>
      <w:r w:rsidR="004A6A27">
        <w:rPr>
          <w:sz w:val="22"/>
          <w:szCs w:val="22"/>
        </w:rPr>
        <w:t>c</w:t>
      </w:r>
      <w:r w:rsidRPr="00CC1ADD">
        <w:rPr>
          <w:sz w:val="22"/>
          <w:szCs w:val="22"/>
        </w:rPr>
        <w:t>ategory would expand (i.e. the HSRs would decrease for some dairy desserts) to accommodate the new range of products.</w:t>
      </w:r>
    </w:p>
    <w:p w14:paraId="1988D0D5" w14:textId="77777777" w:rsidR="00BB5F09" w:rsidRPr="00CC1ADD" w:rsidRDefault="00BB5F09">
      <w:pPr>
        <w:rPr>
          <w:sz w:val="22"/>
          <w:szCs w:val="22"/>
        </w:rPr>
      </w:pPr>
    </w:p>
    <w:p w14:paraId="30C04483" w14:textId="035A6B1E" w:rsidR="00BB5F09" w:rsidRPr="00CC1ADD" w:rsidRDefault="00BB5F09">
      <w:pPr>
        <w:rPr>
          <w:sz w:val="22"/>
          <w:szCs w:val="22"/>
        </w:rPr>
      </w:pPr>
      <w:r w:rsidRPr="00CC1ADD">
        <w:rPr>
          <w:sz w:val="22"/>
          <w:szCs w:val="22"/>
        </w:rPr>
        <w:t>Category 3D inclusion criteri</w:t>
      </w:r>
      <w:r w:rsidR="00064740">
        <w:rPr>
          <w:sz w:val="22"/>
          <w:szCs w:val="22"/>
        </w:rPr>
        <w:t>on</w:t>
      </w:r>
      <w:r w:rsidRPr="00CC1ADD">
        <w:rPr>
          <w:sz w:val="22"/>
          <w:szCs w:val="22"/>
        </w:rPr>
        <w:t xml:space="preserve"> would be clarified </w:t>
      </w:r>
      <w:r w:rsidR="004D1F22">
        <w:rPr>
          <w:sz w:val="22"/>
          <w:szCs w:val="22"/>
        </w:rPr>
        <w:t xml:space="preserve">to </w:t>
      </w:r>
      <w:r w:rsidRPr="00CC1ADD">
        <w:rPr>
          <w:sz w:val="22"/>
          <w:szCs w:val="22"/>
        </w:rPr>
        <w:t>include surfaced-ripened cheeses</w:t>
      </w:r>
      <w:r w:rsidR="004D1F22">
        <w:rPr>
          <w:sz w:val="22"/>
          <w:szCs w:val="22"/>
        </w:rPr>
        <w:t xml:space="preserve"> that meet the </w:t>
      </w:r>
      <w:r w:rsidR="004D1F22" w:rsidRPr="00CC1ADD">
        <w:rPr>
          <w:sz w:val="22"/>
          <w:szCs w:val="22"/>
        </w:rPr>
        <w:t>calcium content</w:t>
      </w:r>
      <w:r w:rsidR="004D1F22">
        <w:rPr>
          <w:sz w:val="22"/>
          <w:szCs w:val="22"/>
        </w:rPr>
        <w:t xml:space="preserve"> criterion (i.e. contain calcium</w:t>
      </w:r>
      <w:r w:rsidR="004D1F22" w:rsidRPr="00CC1ADD">
        <w:rPr>
          <w:sz w:val="22"/>
          <w:szCs w:val="22"/>
        </w:rPr>
        <w:t xml:space="preserve"> &gt; 320mg/100</w:t>
      </w:r>
      <w:r w:rsidR="004D1F22">
        <w:rPr>
          <w:sz w:val="22"/>
          <w:szCs w:val="22"/>
        </w:rPr>
        <w:t>g</w:t>
      </w:r>
      <w:r w:rsidR="004D1F22">
        <w:rPr>
          <w:rStyle w:val="FootnoteReference"/>
          <w:szCs w:val="22"/>
        </w:rPr>
        <w:footnoteReference w:id="79"/>
      </w:r>
      <w:r w:rsidR="004D1F22">
        <w:rPr>
          <w:sz w:val="22"/>
          <w:szCs w:val="22"/>
        </w:rPr>
        <w:t>).</w:t>
      </w:r>
      <w:r w:rsidR="004A6A27">
        <w:rPr>
          <w:sz w:val="22"/>
          <w:szCs w:val="22"/>
        </w:rPr>
        <w:t xml:space="preserve"> </w:t>
      </w:r>
      <w:r w:rsidRPr="00CC1ADD">
        <w:rPr>
          <w:sz w:val="22"/>
          <w:szCs w:val="22"/>
        </w:rPr>
        <w:t xml:space="preserve">This </w:t>
      </w:r>
      <w:r w:rsidR="004A6A27">
        <w:rPr>
          <w:sz w:val="22"/>
          <w:szCs w:val="22"/>
        </w:rPr>
        <w:t>c</w:t>
      </w:r>
      <w:r w:rsidRPr="00CC1ADD">
        <w:rPr>
          <w:sz w:val="22"/>
          <w:szCs w:val="22"/>
        </w:rPr>
        <w:t xml:space="preserve">ategory would also require rescaling to maintain a spread of HSRs across products in the </w:t>
      </w:r>
      <w:r w:rsidR="004A6A27">
        <w:rPr>
          <w:sz w:val="22"/>
          <w:szCs w:val="22"/>
        </w:rPr>
        <w:t>c</w:t>
      </w:r>
      <w:r w:rsidRPr="00CC1ADD">
        <w:rPr>
          <w:sz w:val="22"/>
          <w:szCs w:val="22"/>
        </w:rPr>
        <w:t>ategory. This effectively increases the HSRs for many FFG cheeses, while maintaining a range of HSRs such that consumers can differentiate the relative healthiness of different cheeses.</w:t>
      </w:r>
    </w:p>
    <w:p w14:paraId="5B1113DB" w14:textId="5A5D720B" w:rsidR="00BB5F09" w:rsidRDefault="00BB5F09">
      <w:pPr>
        <w:rPr>
          <w:sz w:val="22"/>
          <w:szCs w:val="22"/>
        </w:rPr>
      </w:pPr>
    </w:p>
    <w:p w14:paraId="4A6DE789" w14:textId="05B20B3C" w:rsidR="00F37134" w:rsidRPr="00CC1ADD" w:rsidRDefault="00F37134" w:rsidP="00F37134">
      <w:pPr>
        <w:pStyle w:val="mpcNormal"/>
      </w:pPr>
      <w:r w:rsidRPr="00D82678">
        <w:t xml:space="preserve">The rescaling for Categories 2D and 3D is included in Table E.3 at </w:t>
      </w:r>
      <w:r w:rsidRPr="00D82678">
        <w:rPr>
          <w:u w:val="single"/>
        </w:rPr>
        <w:t>Appendix E</w:t>
      </w:r>
      <w:r w:rsidRPr="00D82678">
        <w:t>.</w:t>
      </w:r>
    </w:p>
    <w:p w14:paraId="3702BFC1" w14:textId="77777777" w:rsidR="00F37134" w:rsidRPr="00CC1ADD" w:rsidRDefault="00F37134">
      <w:pPr>
        <w:rPr>
          <w:sz w:val="22"/>
          <w:szCs w:val="22"/>
        </w:rPr>
      </w:pPr>
    </w:p>
    <w:p w14:paraId="3933903A" w14:textId="77777777" w:rsidR="00BB5F09" w:rsidRPr="00CC1ADD" w:rsidRDefault="00BB5F09" w:rsidP="00CD1F86">
      <w:pPr>
        <w:pStyle w:val="mpcNormal"/>
        <w:keepNext w:val="0"/>
      </w:pPr>
      <w:r w:rsidRPr="00CC1ADD">
        <w:t>These changes would generally ensure that less healthy products score lower HSRs than healthier alternatives. They would also:</w:t>
      </w:r>
    </w:p>
    <w:p w14:paraId="0A30C87B" w14:textId="77777777" w:rsidR="00BB5F09" w:rsidRPr="00CC1ADD" w:rsidRDefault="00BB5F09" w:rsidP="00CD1F86">
      <w:pPr>
        <w:pStyle w:val="mpcNormal"/>
        <w:keepNext w:val="0"/>
      </w:pPr>
    </w:p>
    <w:p w14:paraId="0C87CE22" w14:textId="77777777" w:rsidR="00BB5F09" w:rsidRPr="00B50E33" w:rsidRDefault="00BB5F09" w:rsidP="007E0D2C">
      <w:pPr>
        <w:pStyle w:val="mpcbullets1"/>
      </w:pPr>
      <w:r w:rsidRPr="00B50E33">
        <w:t>improve alignment with Dietary Guidelines in supporting consumers to discern between FFG and discretionary foods</w:t>
      </w:r>
    </w:p>
    <w:p w14:paraId="50FBB1B6" w14:textId="1DBB7B22" w:rsidR="00BB5F09" w:rsidRPr="00B50E33" w:rsidRDefault="00BB5F09" w:rsidP="00173A82">
      <w:pPr>
        <w:pStyle w:val="mpcbullets2"/>
      </w:pPr>
      <w:r w:rsidRPr="00B50E33">
        <w:t>As a result of these changes, 15% (</w:t>
      </w:r>
      <w:r w:rsidR="00B50E33" w:rsidRPr="00B50E33">
        <w:t>806</w:t>
      </w:r>
      <w:r w:rsidRPr="00B50E33">
        <w:t>) of products in the TAG database would see a change in their HSR.</w:t>
      </w:r>
    </w:p>
    <w:p w14:paraId="62DD7845" w14:textId="77777777" w:rsidR="00BB5F09" w:rsidRPr="00B50E33" w:rsidRDefault="00BB5F09" w:rsidP="007E0D2C">
      <w:pPr>
        <w:pStyle w:val="mpcbullets1"/>
      </w:pPr>
      <w:r w:rsidRPr="00B50E33">
        <w:t>improve comparability and discernment between yoghurts and other dairy products that consumers are likely to compare and consume in a similar way</w:t>
      </w:r>
    </w:p>
    <w:p w14:paraId="655BD125" w14:textId="02ED14B5" w:rsidR="00BB5F09" w:rsidRPr="00B50E33" w:rsidRDefault="00BB5F09" w:rsidP="00173A82">
      <w:pPr>
        <w:pStyle w:val="mpcbullets2"/>
      </w:pPr>
      <w:r w:rsidRPr="00B50E33">
        <w:t>8</w:t>
      </w:r>
      <w:r w:rsidR="00B50E33">
        <w:t>1</w:t>
      </w:r>
      <w:r w:rsidRPr="00B50E33">
        <w:t>% (3</w:t>
      </w:r>
      <w:r w:rsidR="00540EBB" w:rsidRPr="00B50E33">
        <w:t>36</w:t>
      </w:r>
      <w:r w:rsidRPr="00B50E33">
        <w:t xml:space="preserve">) of the yoghurts and unripened cheeses in the TAG database would see an increase in HSR of between 0.5 to 2.0. All </w:t>
      </w:r>
      <w:r w:rsidR="00926BA6" w:rsidRPr="00B50E33">
        <w:t xml:space="preserve">but three </w:t>
      </w:r>
      <w:r w:rsidRPr="00B50E33">
        <w:t>of these products are considered FFG.</w:t>
      </w:r>
    </w:p>
    <w:p w14:paraId="0E736FBB" w14:textId="32FE178C" w:rsidR="00BB5F09" w:rsidRPr="00B50E33" w:rsidRDefault="00B50E33" w:rsidP="00173A82">
      <w:pPr>
        <w:pStyle w:val="mpcbullets2"/>
      </w:pPr>
      <w:r>
        <w:t>44</w:t>
      </w:r>
      <w:r w:rsidR="00BB5F09" w:rsidRPr="00B50E33">
        <w:t>% (</w:t>
      </w:r>
      <w:r>
        <w:t>36</w:t>
      </w:r>
      <w:r w:rsidR="00BB5F09" w:rsidRPr="00B50E33">
        <w:t xml:space="preserve">) of </w:t>
      </w:r>
      <w:r w:rsidR="00926BA6" w:rsidRPr="00B50E33">
        <w:t xml:space="preserve">healthier </w:t>
      </w:r>
      <w:r w:rsidR="00BB5F09" w:rsidRPr="00B50E33">
        <w:t xml:space="preserve">custards and dairy desserts </w:t>
      </w:r>
      <w:r w:rsidR="00926BA6" w:rsidRPr="00B50E33">
        <w:t xml:space="preserve">within the custards and dairy desserts category </w:t>
      </w:r>
      <w:r w:rsidR="00BB5F09" w:rsidRPr="00B50E33">
        <w:t xml:space="preserve">would see an increase in HSR of between 0.5 to 1.0. </w:t>
      </w:r>
    </w:p>
    <w:p w14:paraId="7D921300" w14:textId="453CF9B6" w:rsidR="00BB5F09" w:rsidRPr="00B50E33" w:rsidRDefault="00BB5F09" w:rsidP="00173A82">
      <w:pPr>
        <w:pStyle w:val="mpcbullets2"/>
      </w:pPr>
      <w:r w:rsidRPr="00B50E33">
        <w:t>8</w:t>
      </w:r>
      <w:r w:rsidR="00B50E33">
        <w:t>2</w:t>
      </w:r>
      <w:r w:rsidRPr="00B50E33">
        <w:t>% (</w:t>
      </w:r>
      <w:r w:rsidR="00B50E33">
        <w:t>56</w:t>
      </w:r>
      <w:r w:rsidRPr="00B50E33">
        <w:t>) of creams, 70% (</w:t>
      </w:r>
      <w:r w:rsidR="00540EBB" w:rsidRPr="00B50E33">
        <w:t>50</w:t>
      </w:r>
      <w:r w:rsidRPr="00B50E33">
        <w:t xml:space="preserve">) of cream cheeses and </w:t>
      </w:r>
      <w:r w:rsidR="00AE5CE0" w:rsidRPr="00B50E33">
        <w:t>1</w:t>
      </w:r>
      <w:r w:rsidR="00B50E33">
        <w:t>6</w:t>
      </w:r>
      <w:r w:rsidRPr="00B50E33">
        <w:t>% (</w:t>
      </w:r>
      <w:r w:rsidR="00AE5CE0" w:rsidRPr="00B50E33">
        <w:t>1</w:t>
      </w:r>
      <w:r w:rsidR="00B50E33">
        <w:t>3</w:t>
      </w:r>
      <w:r w:rsidRPr="00B50E33">
        <w:t>) of custards and dairy desserts in the TAG database would see a decrease in HSR of between 0.5 to 1.5.</w:t>
      </w:r>
    </w:p>
    <w:p w14:paraId="67EFDE6F" w14:textId="7D3622AF" w:rsidR="00BB5F09" w:rsidRPr="00B50E33" w:rsidRDefault="00BB5F09" w:rsidP="007E0D2C">
      <w:pPr>
        <w:pStyle w:val="mpcbullets1"/>
      </w:pPr>
      <w:r w:rsidRPr="00B50E33">
        <w:t xml:space="preserve">recognise the health benefits of FFG cheeses, while retaining a spread of HSRs across the </w:t>
      </w:r>
      <w:r w:rsidR="004A6A27" w:rsidRPr="00B50E33">
        <w:t>c</w:t>
      </w:r>
      <w:r w:rsidRPr="00B50E33">
        <w:t>ategory.</w:t>
      </w:r>
    </w:p>
    <w:p w14:paraId="783536D7" w14:textId="3C60E447" w:rsidR="00BB5F09" w:rsidRPr="00B50E33" w:rsidRDefault="00BB5F09" w:rsidP="00173A82">
      <w:pPr>
        <w:pStyle w:val="mpcbullets2"/>
      </w:pPr>
      <w:r w:rsidRPr="00B50E33">
        <w:t>69% (304) FFG cheeses in the TAG database see an increase in HSR of 0.5.</w:t>
      </w:r>
    </w:p>
    <w:p w14:paraId="2C85D33D" w14:textId="6F4FECE7" w:rsidR="00BB5F09" w:rsidRPr="00B50E33" w:rsidRDefault="00BB5F09" w:rsidP="00173A82">
      <w:pPr>
        <w:pStyle w:val="mpcbullets2"/>
      </w:pPr>
      <w:r w:rsidRPr="00B50E33">
        <w:t xml:space="preserve">Products in this </w:t>
      </w:r>
      <w:r w:rsidR="004A6A27" w:rsidRPr="00B50E33">
        <w:t>c</w:t>
      </w:r>
      <w:r w:rsidRPr="00B50E33">
        <w:t>ategory would still score HSRs of between 0.5 to 5, based predominantly on their sodium and saturated fat content.</w:t>
      </w:r>
    </w:p>
    <w:p w14:paraId="70A3A98B" w14:textId="77777777" w:rsidR="000A3464" w:rsidRPr="00CC1ADD" w:rsidRDefault="000A3464" w:rsidP="00CD1F86">
      <w:pPr>
        <w:pStyle w:val="mpcNormal"/>
        <w:keepNext w:val="0"/>
      </w:pPr>
    </w:p>
    <w:p w14:paraId="51AC21DF" w14:textId="77777777" w:rsidR="000A3464" w:rsidRPr="00CC1ADD" w:rsidRDefault="000A3464" w:rsidP="005A162A">
      <w:pPr>
        <w:pStyle w:val="mpcheading3"/>
      </w:pPr>
      <w:r w:rsidRPr="00CC1ADD">
        <w:t>Jellies and ice confection</w:t>
      </w:r>
    </w:p>
    <w:p w14:paraId="539C42E6" w14:textId="77777777" w:rsidR="000A3464" w:rsidRPr="00CC1ADD" w:rsidRDefault="000A3464" w:rsidP="00CD1F86">
      <w:pPr>
        <w:rPr>
          <w:b/>
          <w:sz w:val="22"/>
          <w:szCs w:val="22"/>
        </w:rPr>
      </w:pPr>
    </w:p>
    <w:p w14:paraId="2CBF580F" w14:textId="79AED845" w:rsidR="000A3464" w:rsidRPr="00CC1ADD" w:rsidRDefault="000A3464" w:rsidP="00CD1F86">
      <w:pPr>
        <w:rPr>
          <w:sz w:val="22"/>
          <w:szCs w:val="22"/>
        </w:rPr>
      </w:pPr>
      <w:r w:rsidRPr="00CC1ADD">
        <w:rPr>
          <w:sz w:val="22"/>
          <w:szCs w:val="22"/>
        </w:rPr>
        <w:t>Jellies and ice confections (</w:t>
      </w:r>
      <w:r w:rsidR="0030513A">
        <w:rPr>
          <w:rFonts w:cstheme="minorHAnsi"/>
          <w:sz w:val="22"/>
          <w:szCs w:val="22"/>
        </w:rPr>
        <w:t>for example,</w:t>
      </w:r>
      <w:r w:rsidR="0030513A" w:rsidRPr="00CC1ADD">
        <w:rPr>
          <w:rFonts w:cstheme="minorHAnsi"/>
          <w:sz w:val="22"/>
          <w:szCs w:val="22"/>
        </w:rPr>
        <w:t xml:space="preserve"> </w:t>
      </w:r>
      <w:r w:rsidRPr="00CC1ADD">
        <w:rPr>
          <w:sz w:val="22"/>
          <w:szCs w:val="22"/>
        </w:rPr>
        <w:t xml:space="preserve">ice blocks, consisting primarily of water, flavouring and sugar) have been identified as outliers as they have an unhealthy nutritional profile but have HSRs of </w:t>
      </w:r>
      <w:r w:rsidRPr="00CC1ADD">
        <w:rPr>
          <w:sz w:val="22"/>
          <w:szCs w:val="22"/>
        </w:rPr>
        <w:sym w:font="Symbol" w:char="F0B3"/>
      </w:r>
      <w:r w:rsidRPr="00CC1ADD">
        <w:rPr>
          <w:sz w:val="22"/>
          <w:szCs w:val="22"/>
        </w:rPr>
        <w:t xml:space="preserve"> 3.</w:t>
      </w:r>
      <w:r w:rsidRPr="00CC1ADD">
        <w:rPr>
          <w:rStyle w:val="FootnoteReference"/>
          <w:sz w:val="22"/>
          <w:szCs w:val="22"/>
        </w:rPr>
        <w:footnoteReference w:id="80"/>
      </w:r>
      <w:r w:rsidRPr="00CC1ADD">
        <w:rPr>
          <w:sz w:val="22"/>
          <w:szCs w:val="22"/>
        </w:rPr>
        <w:t xml:space="preserve"> These outliers were confirmed by the George Institute</w:t>
      </w:r>
      <w:r w:rsidRPr="00CC1ADD">
        <w:rPr>
          <w:rStyle w:val="FootnoteReference"/>
          <w:sz w:val="22"/>
          <w:szCs w:val="22"/>
        </w:rPr>
        <w:footnoteReference w:id="81"/>
      </w:r>
      <w:r w:rsidRPr="00CC1ADD">
        <w:rPr>
          <w:sz w:val="22"/>
          <w:szCs w:val="22"/>
        </w:rPr>
        <w:t xml:space="preserve"> and NSW Health</w:t>
      </w:r>
      <w:r w:rsidRPr="00CC1ADD">
        <w:rPr>
          <w:rStyle w:val="FootnoteReference"/>
          <w:sz w:val="22"/>
          <w:szCs w:val="22"/>
        </w:rPr>
        <w:footnoteReference w:id="82"/>
      </w:r>
      <w:r w:rsidRPr="00CC1ADD">
        <w:rPr>
          <w:sz w:val="22"/>
          <w:szCs w:val="22"/>
        </w:rPr>
        <w:t xml:space="preserve"> who identified some jellies and ice confections scoring HSRs of </w:t>
      </w:r>
      <w:r w:rsidRPr="00CC1ADD">
        <w:rPr>
          <w:sz w:val="22"/>
          <w:szCs w:val="22"/>
        </w:rPr>
        <w:sym w:font="Symbol" w:char="F0B3"/>
      </w:r>
      <w:r w:rsidRPr="00CC1ADD">
        <w:rPr>
          <w:sz w:val="22"/>
          <w:szCs w:val="22"/>
        </w:rPr>
        <w:t xml:space="preserve"> 3.5 despite being discretionary foods with high sugar content. </w:t>
      </w:r>
    </w:p>
    <w:p w14:paraId="43A1FD82" w14:textId="77777777" w:rsidR="000A3464" w:rsidRPr="00CC1ADD" w:rsidRDefault="000A3464" w:rsidP="005A3631">
      <w:pPr>
        <w:rPr>
          <w:sz w:val="22"/>
          <w:szCs w:val="22"/>
        </w:rPr>
      </w:pPr>
    </w:p>
    <w:p w14:paraId="388737B3" w14:textId="563304D8" w:rsidR="000A3464" w:rsidRPr="00CC1ADD" w:rsidRDefault="000A3464" w:rsidP="005A3631">
      <w:pPr>
        <w:rPr>
          <w:sz w:val="22"/>
          <w:szCs w:val="22"/>
        </w:rPr>
      </w:pPr>
      <w:r w:rsidRPr="00CC1ADD">
        <w:rPr>
          <w:sz w:val="22"/>
          <w:szCs w:val="22"/>
        </w:rPr>
        <w:t>While these products were not perceived as a significant area of concern for consumers, the HSRs they receive are inconsistent with Dietary Guideline recommendations to limit the intake of foods and drinks with added sugars.</w:t>
      </w:r>
    </w:p>
    <w:p w14:paraId="36708ED7" w14:textId="77777777" w:rsidR="000A3464" w:rsidRPr="00CC1ADD" w:rsidRDefault="000A3464">
      <w:pPr>
        <w:rPr>
          <w:sz w:val="22"/>
          <w:szCs w:val="22"/>
        </w:rPr>
      </w:pPr>
    </w:p>
    <w:p w14:paraId="1724AC85" w14:textId="77777777" w:rsidR="000A3464" w:rsidRPr="00CC1ADD" w:rsidRDefault="000A3464">
      <w:pPr>
        <w:rPr>
          <w:sz w:val="22"/>
          <w:szCs w:val="22"/>
        </w:rPr>
      </w:pPr>
      <w:r w:rsidRPr="00CC1ADD">
        <w:rPr>
          <w:sz w:val="22"/>
          <w:szCs w:val="22"/>
        </w:rPr>
        <w:t xml:space="preserve">Water-based ice confections and jellies are classified as Category 2, despite an ingredient and nutrient profile closer to non-dairy beverages (Category 1). </w:t>
      </w:r>
    </w:p>
    <w:p w14:paraId="4E8A70D6" w14:textId="77777777" w:rsidR="00953CC0" w:rsidRPr="00CC1ADD" w:rsidRDefault="00953CC0">
      <w:pPr>
        <w:rPr>
          <w:sz w:val="22"/>
          <w:szCs w:val="22"/>
        </w:rPr>
      </w:pPr>
    </w:p>
    <w:tbl>
      <w:tblPr>
        <w:tblStyle w:val="TableGrid"/>
        <w:tblW w:w="0" w:type="auto"/>
        <w:tblLook w:val="04A0" w:firstRow="1" w:lastRow="0" w:firstColumn="1" w:lastColumn="0" w:noHBand="0" w:noVBand="1"/>
        <w:tblCaption w:val="Rec 4E"/>
        <w:tblDescription w:val="Recommendation 4E:   Jellies and water-based ice confections be included in the Category 1 definition to decrease their HSRs and align them with nutritionally similar non-dairy beverages."/>
      </w:tblPr>
      <w:tblGrid>
        <w:gridCol w:w="9736"/>
      </w:tblGrid>
      <w:tr w:rsidR="00AC4451" w:rsidRPr="00CC1ADD" w14:paraId="52E242E7" w14:textId="77777777" w:rsidTr="00F9099D">
        <w:trPr>
          <w:trHeight w:val="1000"/>
        </w:trPr>
        <w:tc>
          <w:tcPr>
            <w:tcW w:w="9736" w:type="dxa"/>
            <w:shd w:val="clear" w:color="auto" w:fill="D9E2F3" w:themeFill="accent1" w:themeFillTint="33"/>
            <w:vAlign w:val="center"/>
          </w:tcPr>
          <w:p w14:paraId="7DC03C9D" w14:textId="26DF3F2A" w:rsidR="00AC4451" w:rsidRPr="00953CC0" w:rsidRDefault="00953CC0">
            <w:pPr>
              <w:ind w:left="2160" w:hanging="2160"/>
              <w:rPr>
                <w:b/>
                <w:sz w:val="22"/>
                <w:szCs w:val="22"/>
              </w:rPr>
            </w:pPr>
            <w:r w:rsidRPr="00953CC0">
              <w:rPr>
                <w:b/>
                <w:sz w:val="22"/>
                <w:szCs w:val="22"/>
              </w:rPr>
              <w:t>Recommendation 4</w:t>
            </w:r>
            <w:r w:rsidR="00FC4168">
              <w:rPr>
                <w:b/>
                <w:sz w:val="22"/>
                <w:szCs w:val="22"/>
              </w:rPr>
              <w:t>E</w:t>
            </w:r>
            <w:r w:rsidRPr="00953CC0">
              <w:rPr>
                <w:b/>
                <w:sz w:val="22"/>
                <w:szCs w:val="22"/>
              </w:rPr>
              <w:t xml:space="preserve">:  </w:t>
            </w:r>
            <w:r w:rsidRPr="00953CC0">
              <w:rPr>
                <w:b/>
                <w:sz w:val="22"/>
                <w:szCs w:val="22"/>
              </w:rPr>
              <w:tab/>
              <w:t xml:space="preserve">Jellies and water-based ice confections be included in </w:t>
            </w:r>
            <w:r w:rsidR="00926BA6">
              <w:rPr>
                <w:b/>
                <w:sz w:val="22"/>
                <w:szCs w:val="22"/>
              </w:rPr>
              <w:t xml:space="preserve">the </w:t>
            </w:r>
            <w:r w:rsidRPr="00953CC0">
              <w:rPr>
                <w:b/>
                <w:sz w:val="22"/>
                <w:szCs w:val="22"/>
              </w:rPr>
              <w:t xml:space="preserve">Category 1 </w:t>
            </w:r>
            <w:r w:rsidR="00926BA6">
              <w:rPr>
                <w:b/>
                <w:sz w:val="22"/>
                <w:szCs w:val="22"/>
              </w:rPr>
              <w:t xml:space="preserve">definition </w:t>
            </w:r>
            <w:r w:rsidRPr="00953CC0">
              <w:rPr>
                <w:b/>
                <w:sz w:val="22"/>
                <w:szCs w:val="22"/>
              </w:rPr>
              <w:t>to decrease their HSRs and align them with nutritionally similar non-dairy beverages.</w:t>
            </w:r>
          </w:p>
        </w:tc>
      </w:tr>
    </w:tbl>
    <w:p w14:paraId="40202E3F" w14:textId="2D9B05AC" w:rsidR="00AC4451" w:rsidRPr="00CC1ADD" w:rsidRDefault="00AC4451" w:rsidP="005A3631">
      <w:pPr>
        <w:rPr>
          <w:sz w:val="22"/>
          <w:szCs w:val="22"/>
        </w:rPr>
      </w:pPr>
    </w:p>
    <w:p w14:paraId="006CDA86" w14:textId="77777777" w:rsidR="000A3464" w:rsidRPr="00CC1ADD" w:rsidRDefault="000A3464">
      <w:pPr>
        <w:rPr>
          <w:sz w:val="22"/>
          <w:szCs w:val="22"/>
        </w:rPr>
      </w:pPr>
      <w:r w:rsidRPr="00CC1ADD">
        <w:rPr>
          <w:sz w:val="22"/>
          <w:szCs w:val="22"/>
        </w:rPr>
        <w:t xml:space="preserve">This approach would redefine Category 1 to include water-based ice confections and jellies. </w:t>
      </w:r>
    </w:p>
    <w:p w14:paraId="6B07ED44" w14:textId="77777777" w:rsidR="000A3464" w:rsidRPr="00CC1ADD" w:rsidRDefault="000A3464">
      <w:pPr>
        <w:rPr>
          <w:sz w:val="22"/>
          <w:szCs w:val="22"/>
        </w:rPr>
      </w:pPr>
    </w:p>
    <w:p w14:paraId="2A263873" w14:textId="77777777" w:rsidR="000A3464" w:rsidRPr="00CC1ADD" w:rsidRDefault="000A3464">
      <w:pPr>
        <w:rPr>
          <w:sz w:val="22"/>
          <w:szCs w:val="22"/>
        </w:rPr>
      </w:pPr>
      <w:r w:rsidRPr="00CC1ADD">
        <w:rPr>
          <w:sz w:val="22"/>
          <w:szCs w:val="22"/>
        </w:rPr>
        <w:t>This would lower the HSRs for ice confection and jelly products and improve discrimination between high and low sugar products (better aligning with Dietary Guidelines). As a result of these changes, the HSRs of all water-based ice confections in the TAG database would decrease from between 3 to 3.5 to 0.5 to 1.0. The HSRs of all jellies in the TAG database would decrease from between 3 to 3.5 to between 0.5 to 1.0.</w:t>
      </w:r>
    </w:p>
    <w:p w14:paraId="175064A1" w14:textId="77777777" w:rsidR="000A3464" w:rsidRPr="00CC1ADD" w:rsidRDefault="000A3464">
      <w:pPr>
        <w:rPr>
          <w:sz w:val="22"/>
          <w:szCs w:val="22"/>
        </w:rPr>
      </w:pPr>
    </w:p>
    <w:p w14:paraId="02312798" w14:textId="73BB7C51" w:rsidR="000A3464" w:rsidRPr="00CC1ADD" w:rsidRDefault="000A3464">
      <w:pPr>
        <w:rPr>
          <w:sz w:val="22"/>
          <w:szCs w:val="22"/>
        </w:rPr>
      </w:pPr>
      <w:r w:rsidRPr="00CC1ADD">
        <w:rPr>
          <w:sz w:val="22"/>
          <w:szCs w:val="22"/>
        </w:rPr>
        <w:t>While the counter-intuitive classification of solid foods as beverages may confuse some consumers familiar with the workings of the HSR Calculator, the resulting HSRs on these products will be more logical.</w:t>
      </w:r>
    </w:p>
    <w:p w14:paraId="32C8A10D" w14:textId="35DC8A6E" w:rsidR="000A3464" w:rsidRDefault="000A3464" w:rsidP="00CD1F86">
      <w:pPr>
        <w:pStyle w:val="mpcNormal"/>
        <w:keepNext w:val="0"/>
      </w:pPr>
    </w:p>
    <w:p w14:paraId="614247BB" w14:textId="77777777" w:rsidR="00BF476F" w:rsidRPr="00CC1ADD" w:rsidRDefault="00BF476F" w:rsidP="00BF476F">
      <w:pPr>
        <w:pStyle w:val="mpcNormal"/>
        <w:keepNext w:val="0"/>
      </w:pPr>
    </w:p>
    <w:p w14:paraId="46C6B004" w14:textId="66B289BE" w:rsidR="00BF476F" w:rsidRPr="00CC1ADD" w:rsidRDefault="00BF476F" w:rsidP="00BF476F">
      <w:pPr>
        <w:pStyle w:val="mpcheading2"/>
        <w:spacing w:after="0"/>
      </w:pPr>
      <w:bookmarkStart w:id="111" w:name="Impact"/>
      <w:bookmarkStart w:id="112" w:name="_Toc9955059"/>
      <w:bookmarkEnd w:id="111"/>
      <w:r w:rsidRPr="00CC1ADD">
        <w:t>Impact of</w:t>
      </w:r>
      <w:r>
        <w:t xml:space="preserve"> all</w:t>
      </w:r>
      <w:r w:rsidRPr="00CC1ADD">
        <w:t xml:space="preserve"> </w:t>
      </w:r>
      <w:r w:rsidR="00286B78">
        <w:t>proposed System enhancements</w:t>
      </w:r>
      <w:bookmarkEnd w:id="112"/>
    </w:p>
    <w:p w14:paraId="4F5B768C" w14:textId="77777777" w:rsidR="00BF476F" w:rsidRPr="00CC1ADD" w:rsidRDefault="00BF476F" w:rsidP="00BF476F">
      <w:pPr>
        <w:pStyle w:val="mpcNormal"/>
        <w:keepNext w:val="0"/>
      </w:pPr>
    </w:p>
    <w:p w14:paraId="02DFC4AF" w14:textId="77777777" w:rsidR="00BF476F" w:rsidRPr="00CC1ADD" w:rsidRDefault="00BF476F" w:rsidP="00BF476F">
      <w:pPr>
        <w:rPr>
          <w:sz w:val="22"/>
          <w:szCs w:val="22"/>
        </w:rPr>
      </w:pPr>
      <w:r w:rsidRPr="00CC1ADD">
        <w:rPr>
          <w:sz w:val="22"/>
          <w:szCs w:val="22"/>
        </w:rPr>
        <w:t>To provide an indication of the potential impact of the combined System enhancements, modelling was undertaken using the TAG database. Based on best estimates, the TAG database represents approximately 37% of the reported 15,767 products eligible to display the HSR in the market</w:t>
      </w:r>
      <w:r w:rsidRPr="00CC1ADD">
        <w:rPr>
          <w:rStyle w:val="FootnoteReference"/>
          <w:sz w:val="22"/>
          <w:szCs w:val="22"/>
        </w:rPr>
        <w:footnoteReference w:id="83"/>
      </w:r>
      <w:r w:rsidRPr="00CC1ADD">
        <w:rPr>
          <w:sz w:val="22"/>
          <w:szCs w:val="22"/>
        </w:rPr>
        <w:t>.</w:t>
      </w:r>
    </w:p>
    <w:p w14:paraId="5D892FA9" w14:textId="77777777" w:rsidR="00BF476F" w:rsidRPr="00CC1ADD" w:rsidRDefault="00BF476F" w:rsidP="00BF476F">
      <w:pPr>
        <w:rPr>
          <w:sz w:val="22"/>
          <w:szCs w:val="22"/>
        </w:rPr>
      </w:pPr>
    </w:p>
    <w:p w14:paraId="72F6482D" w14:textId="77777777" w:rsidR="00BF476F" w:rsidRPr="00CC1ADD" w:rsidRDefault="00BF476F" w:rsidP="00BF476F">
      <w:pPr>
        <w:rPr>
          <w:sz w:val="22"/>
          <w:szCs w:val="22"/>
        </w:rPr>
      </w:pPr>
      <w:r w:rsidRPr="00CC1ADD">
        <w:rPr>
          <w:sz w:val="22"/>
          <w:szCs w:val="22"/>
        </w:rPr>
        <w:t>As changes to non-dairy beverages have been modelled separately, the modelling described below was undertaken on a subset of the TAG database (of 5,522 food products) which excluded non-dairy beverages.</w:t>
      </w:r>
    </w:p>
    <w:p w14:paraId="6D3BD8C3" w14:textId="77777777" w:rsidR="00BF476F" w:rsidRPr="00CC1ADD" w:rsidRDefault="00BF476F" w:rsidP="00BF476F">
      <w:pPr>
        <w:rPr>
          <w:sz w:val="22"/>
          <w:szCs w:val="22"/>
        </w:rPr>
      </w:pPr>
    </w:p>
    <w:p w14:paraId="2BF798C4" w14:textId="714A2EB6" w:rsidR="00BF476F" w:rsidRPr="001272EE" w:rsidRDefault="00BF476F" w:rsidP="00BF476F">
      <w:pPr>
        <w:rPr>
          <w:sz w:val="22"/>
          <w:szCs w:val="22"/>
        </w:rPr>
      </w:pPr>
      <w:r w:rsidRPr="001272EE">
        <w:rPr>
          <w:sz w:val="22"/>
          <w:szCs w:val="22"/>
        </w:rPr>
        <w:t>The modelling shows that the combined impact of preferred options resulted in changed HSRs (increase or decrease) to 1,235 (22%) of products in the TAG database, with HSRs changed by between 0.5 to 3 stars. Of these 1,235 products:</w:t>
      </w:r>
      <w:r w:rsidR="00705EC2" w:rsidRPr="001272EE">
        <w:rPr>
          <w:sz w:val="22"/>
          <w:szCs w:val="22"/>
        </w:rPr>
        <w:t xml:space="preserve"> </w:t>
      </w:r>
    </w:p>
    <w:p w14:paraId="54AC6EA5" w14:textId="77777777" w:rsidR="00BF476F" w:rsidRPr="001272EE" w:rsidRDefault="00BF476F" w:rsidP="00BF476F">
      <w:pPr>
        <w:rPr>
          <w:sz w:val="22"/>
          <w:szCs w:val="22"/>
        </w:rPr>
      </w:pPr>
    </w:p>
    <w:p w14:paraId="761D88CE" w14:textId="77777777" w:rsidR="00BF476F" w:rsidRPr="001272EE" w:rsidRDefault="00BF476F" w:rsidP="007E0D2C">
      <w:pPr>
        <w:pStyle w:val="mpcbullets1"/>
      </w:pPr>
      <w:r w:rsidRPr="001272EE">
        <w:rPr>
          <w:b/>
        </w:rPr>
        <w:t>447 (8%) products</w:t>
      </w:r>
      <w:r w:rsidRPr="001272EE">
        <w:t xml:space="preserve"> see a </w:t>
      </w:r>
      <w:r w:rsidRPr="001272EE">
        <w:rPr>
          <w:i/>
        </w:rPr>
        <w:t>decrease</w:t>
      </w:r>
      <w:r w:rsidRPr="001272EE">
        <w:t xml:space="preserve"> in their HSRs:</w:t>
      </w:r>
    </w:p>
    <w:p w14:paraId="66163102" w14:textId="77777777" w:rsidR="00BF476F" w:rsidRPr="001272EE" w:rsidRDefault="00BF476F" w:rsidP="00173A82">
      <w:pPr>
        <w:pStyle w:val="mpcbullets2"/>
      </w:pPr>
      <w:r w:rsidRPr="001272EE">
        <w:t>More than 70% of these are discretionary foods, while the FFG products decreasing are those higher in sugars or sodium (such as breakfast cereals and processed fruits, vegetables and meats).</w:t>
      </w:r>
    </w:p>
    <w:p w14:paraId="7C630266" w14:textId="77777777" w:rsidR="00BF476F" w:rsidRPr="001272EE" w:rsidRDefault="00BF476F" w:rsidP="00173A82">
      <w:pPr>
        <w:pStyle w:val="mpcbullets2"/>
      </w:pPr>
      <w:r w:rsidRPr="001272EE">
        <w:t>11 (0.2%) decrease by 3 stars – these products are all jellies.</w:t>
      </w:r>
    </w:p>
    <w:p w14:paraId="7D5FF9BD" w14:textId="77777777" w:rsidR="00BF476F" w:rsidRPr="001272EE" w:rsidRDefault="00BF476F" w:rsidP="00173A82">
      <w:pPr>
        <w:pStyle w:val="mpcbullets2"/>
      </w:pPr>
      <w:r w:rsidRPr="001272EE">
        <w:t>54 (1%) decrease by 2.5 stars – these products are all jellies and ice confections (for example, ice blocks and sorbets).</w:t>
      </w:r>
    </w:p>
    <w:p w14:paraId="65FCBD12" w14:textId="77777777" w:rsidR="00BF476F" w:rsidRPr="001272EE" w:rsidRDefault="00BF476F" w:rsidP="00173A82">
      <w:pPr>
        <w:pStyle w:val="mpcbullets2"/>
      </w:pPr>
      <w:r w:rsidRPr="001272EE">
        <w:t>2 (0.1%) decrease by 2 stars – one dairy dessert and one ice confection.</w:t>
      </w:r>
    </w:p>
    <w:p w14:paraId="2BEE4DA8" w14:textId="77777777" w:rsidR="00BF476F" w:rsidRPr="001272EE" w:rsidRDefault="00BF476F" w:rsidP="00173A82">
      <w:pPr>
        <w:pStyle w:val="mpcbullets2"/>
      </w:pPr>
      <w:r w:rsidRPr="001272EE">
        <w:t>30 (0.5%) decrease by 1.5 stars – mostly creams, cream cheeses, custards/dairy desserts and two breakfast cereals.</w:t>
      </w:r>
    </w:p>
    <w:p w14:paraId="7025F202" w14:textId="77777777" w:rsidR="00BF476F" w:rsidRPr="001272EE" w:rsidRDefault="00BF476F" w:rsidP="00173A82">
      <w:pPr>
        <w:pStyle w:val="mpcbullets2"/>
      </w:pPr>
      <w:r w:rsidRPr="001272EE">
        <w:t>39 (0.7%) decrease by 1 star – these products are mostly creams, cream cheeses, breakfast cereals, custards/dairy desserts, muesli bars, processed meats and yeast spreads.</w:t>
      </w:r>
    </w:p>
    <w:p w14:paraId="7AC2179B" w14:textId="77777777" w:rsidR="00BF476F" w:rsidRPr="001272EE" w:rsidRDefault="00BF476F" w:rsidP="00173A82">
      <w:pPr>
        <w:pStyle w:val="mpcbullets2"/>
      </w:pPr>
      <w:r w:rsidRPr="001272EE">
        <w:t>311 (5.6%) decrease by 0.5 stars – these products are mostly creams, cream cheeses, custards/dairy desserts, breakfast cereals, sweetened milks, muesli bars, sugar-based desserts, biscuits, confectionery, dips, ice creams, savoury sauces, salty snacks and processed fruits, vegetables and meats.</w:t>
      </w:r>
    </w:p>
    <w:p w14:paraId="03109045" w14:textId="77777777" w:rsidR="00BF476F" w:rsidRPr="001272EE" w:rsidRDefault="00BF476F" w:rsidP="00BF476F">
      <w:pPr>
        <w:pStyle w:val="mpcNormal"/>
        <w:keepNext w:val="0"/>
      </w:pPr>
    </w:p>
    <w:p w14:paraId="2D7B5D64" w14:textId="77777777" w:rsidR="00BF476F" w:rsidRPr="001272EE" w:rsidRDefault="00BF476F" w:rsidP="007E0D2C">
      <w:pPr>
        <w:pStyle w:val="mpcbullets1"/>
      </w:pPr>
      <w:r w:rsidRPr="001272EE">
        <w:rPr>
          <w:b/>
        </w:rPr>
        <w:t>788 (14%) products</w:t>
      </w:r>
      <w:r w:rsidRPr="001272EE">
        <w:t xml:space="preserve"> see an </w:t>
      </w:r>
      <w:r w:rsidRPr="001272EE">
        <w:rPr>
          <w:i/>
        </w:rPr>
        <w:t>increase</w:t>
      </w:r>
      <w:r w:rsidRPr="001272EE">
        <w:t xml:space="preserve"> in their HSRs:</w:t>
      </w:r>
    </w:p>
    <w:p w14:paraId="70BA9341" w14:textId="77777777" w:rsidR="00BF476F" w:rsidRPr="001272EE" w:rsidRDefault="00BF476F" w:rsidP="00173A82">
      <w:pPr>
        <w:pStyle w:val="mpcbullets2"/>
      </w:pPr>
      <w:r w:rsidRPr="001272EE">
        <w:t>More than 96% of these are FFG, while the discretionary products are mostly custards.</w:t>
      </w:r>
    </w:p>
    <w:p w14:paraId="40B011DC" w14:textId="77777777" w:rsidR="00BF476F" w:rsidRPr="001272EE" w:rsidRDefault="00BF476F" w:rsidP="00173A82">
      <w:pPr>
        <w:pStyle w:val="mpcbullets2"/>
      </w:pPr>
      <w:r w:rsidRPr="001272EE">
        <w:t>6 (0.1%) increase by 2 stars – these products are all yoghurts.</w:t>
      </w:r>
    </w:p>
    <w:p w14:paraId="3DA9F878" w14:textId="77777777" w:rsidR="00BF476F" w:rsidRPr="001272EE" w:rsidRDefault="00BF476F" w:rsidP="00173A82">
      <w:pPr>
        <w:pStyle w:val="mpcbullets2"/>
      </w:pPr>
      <w:r w:rsidRPr="001272EE">
        <w:t>39 (0.7%) increase by 1.5 stars – these products are mostly yoghurts and unripened cheeses.</w:t>
      </w:r>
    </w:p>
    <w:p w14:paraId="3CADDB60" w14:textId="77777777" w:rsidR="00BF476F" w:rsidRPr="001272EE" w:rsidRDefault="00BF476F" w:rsidP="00173A82">
      <w:pPr>
        <w:pStyle w:val="mpcbullets2"/>
      </w:pPr>
      <w:r w:rsidRPr="001272EE">
        <w:t>165 (3%) increase by 1 star – these products are mostly yoghurts and unripened cheeses, some custards, fruits and vegetables.</w:t>
      </w:r>
    </w:p>
    <w:p w14:paraId="74C5CC29" w14:textId="77777777" w:rsidR="00BF476F" w:rsidRPr="001272EE" w:rsidRDefault="00BF476F" w:rsidP="00173A82">
      <w:pPr>
        <w:pStyle w:val="mpcbullets2"/>
      </w:pPr>
      <w:r w:rsidRPr="001272EE">
        <w:t>554 (10%) increase by 0.5 stars – these products include cheeses, yoghurts, some custards/dairy desserts, fruits and vegetables.</w:t>
      </w:r>
    </w:p>
    <w:p w14:paraId="63363C60" w14:textId="77777777" w:rsidR="00BF476F" w:rsidRDefault="00BF476F" w:rsidP="00BF476F">
      <w:pPr>
        <w:rPr>
          <w:sz w:val="22"/>
          <w:szCs w:val="22"/>
        </w:rPr>
      </w:pPr>
    </w:p>
    <w:p w14:paraId="32B715E7" w14:textId="5FA7EAF8" w:rsidR="00BF476F" w:rsidRDefault="00BF476F" w:rsidP="00BF476F">
      <w:pPr>
        <w:rPr>
          <w:sz w:val="22"/>
          <w:szCs w:val="22"/>
        </w:rPr>
      </w:pPr>
      <w:r>
        <w:rPr>
          <w:sz w:val="22"/>
          <w:szCs w:val="22"/>
        </w:rPr>
        <w:t xml:space="preserve">Figure </w:t>
      </w:r>
      <w:r w:rsidR="00D82678">
        <w:rPr>
          <w:sz w:val="22"/>
          <w:szCs w:val="22"/>
        </w:rPr>
        <w:t>9</w:t>
      </w:r>
      <w:r>
        <w:rPr>
          <w:sz w:val="22"/>
          <w:szCs w:val="22"/>
        </w:rPr>
        <w:t xml:space="preserve"> illustrates the proportion of products in the TAG database impacted by </w:t>
      </w:r>
      <w:r w:rsidR="000E195F">
        <w:rPr>
          <w:sz w:val="22"/>
          <w:szCs w:val="22"/>
        </w:rPr>
        <w:t>the proposed System enhancements outlined in Recommendation 4</w:t>
      </w:r>
      <w:r>
        <w:rPr>
          <w:sz w:val="22"/>
          <w:szCs w:val="22"/>
        </w:rPr>
        <w:t>.</w:t>
      </w:r>
    </w:p>
    <w:p w14:paraId="34D00F64" w14:textId="77777777" w:rsidR="00BF476F" w:rsidRPr="00CC1ADD" w:rsidRDefault="00BF476F" w:rsidP="00BF476F">
      <w:pPr>
        <w:rPr>
          <w:sz w:val="22"/>
          <w:szCs w:val="22"/>
        </w:rPr>
      </w:pPr>
    </w:p>
    <w:p w14:paraId="2CEB4C51" w14:textId="77777777" w:rsidR="00BF476F" w:rsidRPr="00CC1ADD" w:rsidRDefault="00BF476F" w:rsidP="00BF476F">
      <w:pPr>
        <w:jc w:val="center"/>
        <w:rPr>
          <w:sz w:val="21"/>
        </w:rPr>
      </w:pPr>
      <w:r w:rsidRPr="00CC1ADD">
        <w:rPr>
          <w:noProof/>
          <w:lang w:eastAsia="en-AU"/>
        </w:rPr>
        <w:drawing>
          <wp:inline distT="0" distB="0" distL="0" distR="0" wp14:anchorId="6DE3D1B3" wp14:editId="0497E43E">
            <wp:extent cx="4611563" cy="2297927"/>
            <wp:effectExtent l="0" t="0" r="11430" b="13970"/>
            <wp:docPr id="31" name="Chart 31" descr="Pie chart showing that 14% of products in the TAG database would have an increased HSR and 8% would have a decreased HSR.">
              <a:extLst xmlns:a="http://schemas.openxmlformats.org/drawingml/2006/main">
                <a:ext uri="{FF2B5EF4-FFF2-40B4-BE49-F238E27FC236}">
                  <a16:creationId xmlns:a16="http://schemas.microsoft.com/office/drawing/2014/main" id="{0CB8F027-07CB-F54C-BC32-A45F5CDD73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9DB82DC" w14:textId="15C78110" w:rsidR="00BF476F" w:rsidRPr="00CC1ADD" w:rsidRDefault="00BF476F" w:rsidP="001272EE">
      <w:pPr>
        <w:spacing w:before="120"/>
        <w:jc w:val="center"/>
        <w:rPr>
          <w:sz w:val="20"/>
        </w:rPr>
      </w:pPr>
      <w:r w:rsidRPr="00CC1ADD">
        <w:rPr>
          <w:b/>
          <w:sz w:val="20"/>
        </w:rPr>
        <w:t xml:space="preserve">Figure </w:t>
      </w:r>
      <w:r w:rsidR="00D82678">
        <w:rPr>
          <w:b/>
          <w:sz w:val="20"/>
        </w:rPr>
        <w:t>9</w:t>
      </w:r>
      <w:r w:rsidRPr="00CC1ADD">
        <w:rPr>
          <w:b/>
          <w:sz w:val="20"/>
        </w:rPr>
        <w:t>:</w:t>
      </w:r>
      <w:r w:rsidRPr="00CC1ADD">
        <w:rPr>
          <w:sz w:val="20"/>
        </w:rPr>
        <w:t xml:space="preserve"> Proportion of products in the TAG database impacted by the recommendations for System enhancements.</w:t>
      </w:r>
    </w:p>
    <w:p w14:paraId="55381E0B" w14:textId="77777777" w:rsidR="00BF476F" w:rsidRPr="00CC1ADD" w:rsidRDefault="00BF476F" w:rsidP="00BF476F">
      <w:pPr>
        <w:rPr>
          <w:sz w:val="22"/>
          <w:szCs w:val="22"/>
        </w:rPr>
      </w:pPr>
    </w:p>
    <w:p w14:paraId="64E569F4" w14:textId="0F6758FD" w:rsidR="00BF476F" w:rsidRPr="002D0C2D" w:rsidRDefault="00BF476F" w:rsidP="00BF476F">
      <w:pPr>
        <w:rPr>
          <w:sz w:val="22"/>
          <w:szCs w:val="22"/>
        </w:rPr>
      </w:pPr>
      <w:r w:rsidRPr="0017608D">
        <w:rPr>
          <w:sz w:val="22"/>
          <w:szCs w:val="22"/>
        </w:rPr>
        <w:t xml:space="preserve">While the TAG provides a representative sample of products and contains actual food composition data provided by industry (including real FVNL values rather than estimates), its limitations are acknowledged. As such, the impact of changes </w:t>
      </w:r>
      <w:r w:rsidR="00082063">
        <w:rPr>
          <w:sz w:val="22"/>
          <w:szCs w:val="22"/>
        </w:rPr>
        <w:t xml:space="preserve">in Recommendation 4 </w:t>
      </w:r>
      <w:r w:rsidRPr="0017608D">
        <w:rPr>
          <w:sz w:val="22"/>
          <w:szCs w:val="22"/>
        </w:rPr>
        <w:t>has also been tested by the University of Auckland using the Nutri</w:t>
      </w:r>
      <w:r w:rsidR="00F37134">
        <w:rPr>
          <w:sz w:val="22"/>
          <w:szCs w:val="22"/>
        </w:rPr>
        <w:t>t</w:t>
      </w:r>
      <w:r w:rsidRPr="0017608D">
        <w:rPr>
          <w:sz w:val="22"/>
          <w:szCs w:val="22"/>
        </w:rPr>
        <w:t>rack database and by the George Institute using the FoodSwitch database.</w:t>
      </w:r>
      <w:r w:rsidRPr="002D0C2D">
        <w:rPr>
          <w:sz w:val="22"/>
          <w:szCs w:val="22"/>
        </w:rPr>
        <w:t xml:space="preserve"> </w:t>
      </w:r>
    </w:p>
    <w:p w14:paraId="501EAD4D" w14:textId="0BD05643" w:rsidR="00BF476F" w:rsidRDefault="00BF476F" w:rsidP="00BF476F">
      <w:pPr>
        <w:rPr>
          <w:sz w:val="22"/>
          <w:szCs w:val="22"/>
        </w:rPr>
      </w:pPr>
    </w:p>
    <w:p w14:paraId="7AA7ED9E" w14:textId="547269BA" w:rsidR="005539E3" w:rsidRDefault="005539E3" w:rsidP="005539E3">
      <w:pPr>
        <w:rPr>
          <w:sz w:val="22"/>
          <w:szCs w:val="22"/>
        </w:rPr>
      </w:pPr>
      <w:r w:rsidRPr="004410ED">
        <w:rPr>
          <w:sz w:val="22"/>
          <w:szCs w:val="22"/>
        </w:rPr>
        <w:t>Modelling in Nutri</w:t>
      </w:r>
      <w:r w:rsidR="00F37134">
        <w:rPr>
          <w:sz w:val="22"/>
          <w:szCs w:val="22"/>
        </w:rPr>
        <w:t>t</w:t>
      </w:r>
      <w:r w:rsidRPr="004410ED">
        <w:rPr>
          <w:sz w:val="22"/>
          <w:szCs w:val="22"/>
        </w:rPr>
        <w:t xml:space="preserve">rack indicated </w:t>
      </w:r>
      <w:r w:rsidRPr="000E195F">
        <w:rPr>
          <w:sz w:val="22"/>
          <w:szCs w:val="22"/>
        </w:rPr>
        <w:t>that th</w:t>
      </w:r>
      <w:r w:rsidR="004410ED" w:rsidRPr="000E195F">
        <w:rPr>
          <w:sz w:val="22"/>
          <w:szCs w:val="22"/>
        </w:rPr>
        <w:t>e</w:t>
      </w:r>
      <w:r w:rsidRPr="000E195F">
        <w:rPr>
          <w:sz w:val="22"/>
          <w:szCs w:val="22"/>
        </w:rPr>
        <w:t xml:space="preserve"> recommend</w:t>
      </w:r>
      <w:r w:rsidR="004410ED" w:rsidRPr="000E195F">
        <w:rPr>
          <w:sz w:val="22"/>
          <w:szCs w:val="22"/>
        </w:rPr>
        <w:t>ed changes</w:t>
      </w:r>
      <w:r w:rsidRPr="000E195F">
        <w:rPr>
          <w:sz w:val="22"/>
          <w:szCs w:val="22"/>
        </w:rPr>
        <w:t xml:space="preserve"> impacted 15% (1,801) of products in the database, with the HSRs of 5</w:t>
      </w:r>
      <w:r w:rsidR="00082063" w:rsidRPr="000E195F">
        <w:rPr>
          <w:sz w:val="22"/>
          <w:szCs w:val="22"/>
        </w:rPr>
        <w:t>.4</w:t>
      </w:r>
      <w:r w:rsidRPr="000E195F">
        <w:rPr>
          <w:sz w:val="22"/>
          <w:szCs w:val="22"/>
        </w:rPr>
        <w:t xml:space="preserve">% </w:t>
      </w:r>
      <w:r w:rsidR="00082063" w:rsidRPr="000E195F">
        <w:rPr>
          <w:sz w:val="22"/>
          <w:szCs w:val="22"/>
        </w:rPr>
        <w:t xml:space="preserve">of products </w:t>
      </w:r>
      <w:r w:rsidRPr="000E195F">
        <w:rPr>
          <w:sz w:val="22"/>
          <w:szCs w:val="22"/>
        </w:rPr>
        <w:t xml:space="preserve">increasing and </w:t>
      </w:r>
      <w:r w:rsidR="00082063" w:rsidRPr="000E195F">
        <w:rPr>
          <w:sz w:val="22"/>
          <w:szCs w:val="22"/>
        </w:rPr>
        <w:t>9.6</w:t>
      </w:r>
      <w:r w:rsidRPr="000E195F">
        <w:rPr>
          <w:sz w:val="22"/>
          <w:szCs w:val="22"/>
        </w:rPr>
        <w:t xml:space="preserve">% decreasing. </w:t>
      </w:r>
      <w:r w:rsidR="001523DE" w:rsidRPr="000E195F">
        <w:rPr>
          <w:sz w:val="22"/>
          <w:szCs w:val="22"/>
        </w:rPr>
        <w:t>This is consistent with m</w:t>
      </w:r>
      <w:r w:rsidRPr="000E195F">
        <w:rPr>
          <w:sz w:val="22"/>
          <w:szCs w:val="22"/>
        </w:rPr>
        <w:t>odelling in FoodSwitch</w:t>
      </w:r>
      <w:r w:rsidR="00082063" w:rsidRPr="000E195F">
        <w:rPr>
          <w:sz w:val="22"/>
          <w:szCs w:val="22"/>
        </w:rPr>
        <w:t>,</w:t>
      </w:r>
      <w:r w:rsidRPr="000E195F">
        <w:rPr>
          <w:sz w:val="22"/>
          <w:szCs w:val="22"/>
        </w:rPr>
        <w:t xml:space="preserve"> </w:t>
      </w:r>
      <w:r w:rsidR="001523DE" w:rsidRPr="000E195F">
        <w:rPr>
          <w:sz w:val="22"/>
          <w:szCs w:val="22"/>
        </w:rPr>
        <w:t>which showed that</w:t>
      </w:r>
      <w:r w:rsidRPr="000E195F">
        <w:rPr>
          <w:sz w:val="22"/>
          <w:szCs w:val="22"/>
        </w:rPr>
        <w:t xml:space="preserve"> </w:t>
      </w:r>
      <w:r w:rsidR="00082063" w:rsidRPr="000E195F">
        <w:rPr>
          <w:sz w:val="22"/>
          <w:szCs w:val="22"/>
        </w:rPr>
        <w:t>1</w:t>
      </w:r>
      <w:r w:rsidR="000E195F">
        <w:rPr>
          <w:sz w:val="22"/>
          <w:szCs w:val="22"/>
        </w:rPr>
        <w:t>6</w:t>
      </w:r>
      <w:r w:rsidRPr="000E195F">
        <w:rPr>
          <w:sz w:val="22"/>
          <w:szCs w:val="22"/>
        </w:rPr>
        <w:t>% (2,163) of products in the database</w:t>
      </w:r>
      <w:r w:rsidR="001523DE" w:rsidRPr="000E195F">
        <w:rPr>
          <w:sz w:val="22"/>
          <w:szCs w:val="22"/>
        </w:rPr>
        <w:t xml:space="preserve"> were</w:t>
      </w:r>
      <w:r w:rsidR="00082063" w:rsidRPr="000E195F">
        <w:rPr>
          <w:sz w:val="22"/>
          <w:szCs w:val="22"/>
        </w:rPr>
        <w:t xml:space="preserve"> impacted</w:t>
      </w:r>
      <w:r w:rsidRPr="000E195F">
        <w:rPr>
          <w:sz w:val="22"/>
          <w:szCs w:val="22"/>
        </w:rPr>
        <w:t xml:space="preserve">, </w:t>
      </w:r>
      <w:r w:rsidR="000E195F">
        <w:rPr>
          <w:sz w:val="22"/>
          <w:szCs w:val="22"/>
        </w:rPr>
        <w:t>6</w:t>
      </w:r>
      <w:r w:rsidRPr="000E195F">
        <w:rPr>
          <w:sz w:val="22"/>
          <w:szCs w:val="22"/>
        </w:rPr>
        <w:t xml:space="preserve">% increasing and </w:t>
      </w:r>
      <w:r w:rsidR="000E195F">
        <w:rPr>
          <w:sz w:val="22"/>
          <w:szCs w:val="22"/>
        </w:rPr>
        <w:t>10</w:t>
      </w:r>
      <w:r w:rsidRPr="000E195F">
        <w:rPr>
          <w:sz w:val="22"/>
          <w:szCs w:val="22"/>
        </w:rPr>
        <w:t xml:space="preserve">% decreasing. </w:t>
      </w:r>
      <w:r w:rsidR="000E195F">
        <w:rPr>
          <w:sz w:val="22"/>
          <w:szCs w:val="22"/>
        </w:rPr>
        <w:t>Average</w:t>
      </w:r>
      <w:r w:rsidR="00CC6939" w:rsidRPr="000E195F">
        <w:rPr>
          <w:sz w:val="22"/>
          <w:szCs w:val="22"/>
        </w:rPr>
        <w:t xml:space="preserve"> results are illustrated in Figure </w:t>
      </w:r>
      <w:r w:rsidR="00D82678">
        <w:rPr>
          <w:sz w:val="22"/>
          <w:szCs w:val="22"/>
        </w:rPr>
        <w:t>10</w:t>
      </w:r>
      <w:r w:rsidR="00CC6939" w:rsidRPr="000E195F">
        <w:rPr>
          <w:sz w:val="22"/>
          <w:szCs w:val="22"/>
        </w:rPr>
        <w:t>.</w:t>
      </w:r>
    </w:p>
    <w:p w14:paraId="766A90CB" w14:textId="77777777" w:rsidR="001523DE" w:rsidRDefault="001523DE" w:rsidP="005539E3">
      <w:pPr>
        <w:rPr>
          <w:sz w:val="22"/>
          <w:szCs w:val="22"/>
        </w:rPr>
      </w:pPr>
    </w:p>
    <w:p w14:paraId="26F849CA" w14:textId="2A690B89" w:rsidR="001523DE" w:rsidRDefault="003272AE" w:rsidP="001523DE">
      <w:pPr>
        <w:jc w:val="center"/>
        <w:rPr>
          <w:sz w:val="22"/>
          <w:szCs w:val="22"/>
        </w:rPr>
      </w:pPr>
      <w:r>
        <w:rPr>
          <w:noProof/>
          <w:lang w:eastAsia="en-AU"/>
        </w:rPr>
        <w:drawing>
          <wp:inline distT="0" distB="0" distL="0" distR="0" wp14:anchorId="1AEC4543" wp14:editId="4BEE8790">
            <wp:extent cx="4897924" cy="2516863"/>
            <wp:effectExtent l="0" t="0" r="17145" b="10795"/>
            <wp:docPr id="25" name="Chart 25" descr="Pie chart showing that 6% of products in the TAG database would have an increased HSR and 10% would have a decreased HSR.">
              <a:extLst xmlns:a="http://schemas.openxmlformats.org/drawingml/2006/main">
                <a:ext uri="{FF2B5EF4-FFF2-40B4-BE49-F238E27FC236}">
                  <a16:creationId xmlns:a16="http://schemas.microsoft.com/office/drawing/2014/main" id="{103E68A8-96DE-044A-A1CA-353B3F289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83B8F35" w14:textId="4CACDB05" w:rsidR="001523DE" w:rsidRPr="00CC1ADD" w:rsidRDefault="001523DE" w:rsidP="001272EE">
      <w:pPr>
        <w:spacing w:before="120"/>
        <w:jc w:val="center"/>
        <w:rPr>
          <w:sz w:val="20"/>
        </w:rPr>
      </w:pPr>
      <w:r w:rsidRPr="00CC1ADD">
        <w:rPr>
          <w:b/>
          <w:sz w:val="20"/>
        </w:rPr>
        <w:t xml:space="preserve">Figure </w:t>
      </w:r>
      <w:r w:rsidR="00D82678">
        <w:rPr>
          <w:b/>
          <w:sz w:val="20"/>
        </w:rPr>
        <w:t>10</w:t>
      </w:r>
      <w:r w:rsidRPr="00CC1ADD">
        <w:rPr>
          <w:b/>
          <w:sz w:val="20"/>
        </w:rPr>
        <w:t>:</w:t>
      </w:r>
      <w:r w:rsidRPr="00CC1ADD">
        <w:rPr>
          <w:sz w:val="20"/>
        </w:rPr>
        <w:t xml:space="preserve"> Proportion of products impacted by the recommendations for System enhancements</w:t>
      </w:r>
      <w:r>
        <w:rPr>
          <w:sz w:val="20"/>
        </w:rPr>
        <w:t xml:space="preserve"> based on modelling in the Nutri</w:t>
      </w:r>
      <w:r w:rsidR="00F37134">
        <w:rPr>
          <w:sz w:val="20"/>
        </w:rPr>
        <w:t>t</w:t>
      </w:r>
      <w:r>
        <w:rPr>
          <w:sz w:val="20"/>
        </w:rPr>
        <w:t>rack and FoodSwitch databases</w:t>
      </w:r>
      <w:r w:rsidRPr="00CC1ADD">
        <w:rPr>
          <w:sz w:val="20"/>
        </w:rPr>
        <w:t>.</w:t>
      </w:r>
    </w:p>
    <w:p w14:paraId="16EE9CA3" w14:textId="77777777" w:rsidR="001523DE" w:rsidRDefault="001523DE" w:rsidP="001523DE">
      <w:pPr>
        <w:jc w:val="center"/>
        <w:rPr>
          <w:sz w:val="22"/>
          <w:szCs w:val="22"/>
        </w:rPr>
      </w:pPr>
    </w:p>
    <w:p w14:paraId="4DDC4AB8" w14:textId="3A957613" w:rsidR="00451E70" w:rsidRDefault="00CC6939" w:rsidP="005539E3">
      <w:pPr>
        <w:rPr>
          <w:sz w:val="22"/>
          <w:szCs w:val="22"/>
        </w:rPr>
      </w:pPr>
      <w:r w:rsidRPr="004410ED">
        <w:rPr>
          <w:sz w:val="22"/>
          <w:szCs w:val="22"/>
        </w:rPr>
        <w:t xml:space="preserve">This modelling indicates that the TAG database overestimates the proportion of products impacted by Recommendation 4. This is </w:t>
      </w:r>
      <w:r w:rsidR="00451E70" w:rsidRPr="004410ED">
        <w:rPr>
          <w:sz w:val="22"/>
          <w:szCs w:val="22"/>
        </w:rPr>
        <w:t>likely</w:t>
      </w:r>
      <w:r w:rsidRPr="004410ED">
        <w:rPr>
          <w:sz w:val="22"/>
          <w:szCs w:val="22"/>
        </w:rPr>
        <w:t xml:space="preserve"> due to the high proportion of dairy products (yoghurts and cheeses) present in the TAG database. </w:t>
      </w:r>
      <w:r w:rsidR="00451E70" w:rsidRPr="004410ED">
        <w:rPr>
          <w:sz w:val="22"/>
          <w:szCs w:val="22"/>
        </w:rPr>
        <w:t>Given the significantly different sizes of the databases (e.g. approximately 11,987 products modelled in Nutri</w:t>
      </w:r>
      <w:r w:rsidR="00F37134">
        <w:rPr>
          <w:sz w:val="22"/>
          <w:szCs w:val="22"/>
        </w:rPr>
        <w:t>t</w:t>
      </w:r>
      <w:r w:rsidR="00451E70" w:rsidRPr="004410ED">
        <w:rPr>
          <w:sz w:val="22"/>
          <w:szCs w:val="22"/>
        </w:rPr>
        <w:t xml:space="preserve">rack, 14,691 in FoodSwitch, and 5,522 in the TAG database), for the purposes of estimating overall impact, </w:t>
      </w:r>
      <w:r w:rsidR="004410ED" w:rsidRPr="004410ED">
        <w:rPr>
          <w:sz w:val="22"/>
          <w:szCs w:val="22"/>
        </w:rPr>
        <w:t>the Review</w:t>
      </w:r>
      <w:r w:rsidR="00451E70" w:rsidRPr="004410ED">
        <w:rPr>
          <w:sz w:val="22"/>
          <w:szCs w:val="22"/>
        </w:rPr>
        <w:t xml:space="preserve"> consider</w:t>
      </w:r>
      <w:r w:rsidR="004410ED" w:rsidRPr="004410ED">
        <w:rPr>
          <w:sz w:val="22"/>
          <w:szCs w:val="22"/>
        </w:rPr>
        <w:t>s</w:t>
      </w:r>
      <w:r w:rsidR="00451E70" w:rsidRPr="004410ED">
        <w:rPr>
          <w:sz w:val="22"/>
          <w:szCs w:val="22"/>
        </w:rPr>
        <w:t xml:space="preserve"> the Nutri</w:t>
      </w:r>
      <w:r w:rsidR="00F37134">
        <w:rPr>
          <w:sz w:val="22"/>
          <w:szCs w:val="22"/>
        </w:rPr>
        <w:t>t</w:t>
      </w:r>
      <w:r w:rsidR="00451E70" w:rsidRPr="004410ED">
        <w:rPr>
          <w:sz w:val="22"/>
          <w:szCs w:val="22"/>
        </w:rPr>
        <w:t xml:space="preserve">rack and FoodSwitch databases provide a more </w:t>
      </w:r>
      <w:r w:rsidR="004410ED" w:rsidRPr="004410ED">
        <w:rPr>
          <w:sz w:val="22"/>
          <w:szCs w:val="22"/>
        </w:rPr>
        <w:t>meaningful</w:t>
      </w:r>
      <w:r w:rsidR="00451E70" w:rsidRPr="004410ED">
        <w:rPr>
          <w:sz w:val="22"/>
          <w:szCs w:val="22"/>
        </w:rPr>
        <w:t xml:space="preserve"> estimate of the total proportion of products likely to be impacted by Recommendation 4.</w:t>
      </w:r>
    </w:p>
    <w:p w14:paraId="181E1F85" w14:textId="56ABF341" w:rsidR="004410ED" w:rsidRDefault="004410ED" w:rsidP="005539E3">
      <w:pPr>
        <w:rPr>
          <w:sz w:val="22"/>
          <w:szCs w:val="22"/>
        </w:rPr>
      </w:pPr>
    </w:p>
    <w:p w14:paraId="1D9FD876" w14:textId="1A65B5D2" w:rsidR="004410ED" w:rsidRDefault="004410ED" w:rsidP="005539E3">
      <w:pPr>
        <w:rPr>
          <w:sz w:val="22"/>
          <w:szCs w:val="22"/>
        </w:rPr>
      </w:pPr>
      <w:r w:rsidRPr="001272EE">
        <w:rPr>
          <w:sz w:val="22"/>
          <w:szCs w:val="22"/>
        </w:rPr>
        <w:t xml:space="preserve">While this provides a valid estimate of the </w:t>
      </w:r>
      <w:r w:rsidR="001272EE" w:rsidRPr="001272EE">
        <w:rPr>
          <w:sz w:val="22"/>
          <w:szCs w:val="22"/>
        </w:rPr>
        <w:t>proportion</w:t>
      </w:r>
      <w:r w:rsidRPr="001272EE">
        <w:rPr>
          <w:sz w:val="22"/>
          <w:szCs w:val="22"/>
        </w:rPr>
        <w:t xml:space="preserve"> of products that could be impacted by the change, the </w:t>
      </w:r>
      <w:r w:rsidR="001272EE" w:rsidRPr="001272EE">
        <w:rPr>
          <w:sz w:val="22"/>
          <w:szCs w:val="22"/>
        </w:rPr>
        <w:t>actual number</w:t>
      </w:r>
      <w:r w:rsidR="000347CF" w:rsidRPr="001272EE">
        <w:rPr>
          <w:sz w:val="22"/>
          <w:szCs w:val="22"/>
        </w:rPr>
        <w:t xml:space="preserve"> of</w:t>
      </w:r>
      <w:r w:rsidRPr="001272EE">
        <w:rPr>
          <w:sz w:val="22"/>
          <w:szCs w:val="22"/>
        </w:rPr>
        <w:t xml:space="preserve"> products</w:t>
      </w:r>
      <w:r w:rsidR="000347CF" w:rsidRPr="001272EE">
        <w:rPr>
          <w:sz w:val="22"/>
          <w:szCs w:val="22"/>
        </w:rPr>
        <w:t xml:space="preserve"> requiring a labelling change </w:t>
      </w:r>
      <w:r w:rsidRPr="001272EE">
        <w:rPr>
          <w:sz w:val="22"/>
          <w:szCs w:val="22"/>
        </w:rPr>
        <w:t xml:space="preserve">is much lower. </w:t>
      </w:r>
      <w:r w:rsidR="00091025" w:rsidRPr="001272EE">
        <w:rPr>
          <w:sz w:val="22"/>
          <w:szCs w:val="22"/>
        </w:rPr>
        <w:t xml:space="preserve">This is because </w:t>
      </w:r>
      <w:r w:rsidR="000347CF" w:rsidRPr="001272EE">
        <w:rPr>
          <w:sz w:val="22"/>
          <w:szCs w:val="22"/>
        </w:rPr>
        <w:t xml:space="preserve">most products do not </w:t>
      </w:r>
      <w:r w:rsidR="00091025" w:rsidRPr="001272EE">
        <w:rPr>
          <w:sz w:val="22"/>
          <w:szCs w:val="22"/>
        </w:rPr>
        <w:t xml:space="preserve">currently display the HSR. </w:t>
      </w:r>
      <w:r w:rsidR="0068687E" w:rsidRPr="001272EE">
        <w:rPr>
          <w:sz w:val="22"/>
          <w:szCs w:val="22"/>
        </w:rPr>
        <w:t>In 2017-18, the HSR appeared on approximately 31% of eligible products in Australia</w:t>
      </w:r>
      <w:r w:rsidR="0068687E" w:rsidRPr="001272EE">
        <w:rPr>
          <w:sz w:val="22"/>
          <w:szCs w:val="22"/>
          <w:vertAlign w:val="superscript"/>
        </w:rPr>
        <w:footnoteReference w:id="84"/>
      </w:r>
      <w:r w:rsidR="0068687E" w:rsidRPr="001272EE">
        <w:rPr>
          <w:sz w:val="22"/>
          <w:szCs w:val="22"/>
        </w:rPr>
        <w:t xml:space="preserve"> and 21% of eligible products in New Zealand</w:t>
      </w:r>
      <w:r w:rsidR="0068687E" w:rsidRPr="001272EE">
        <w:rPr>
          <w:sz w:val="22"/>
          <w:szCs w:val="22"/>
          <w:vertAlign w:val="superscript"/>
        </w:rPr>
        <w:footnoteReference w:id="85"/>
      </w:r>
      <w:r w:rsidR="0068687E" w:rsidRPr="001272EE">
        <w:rPr>
          <w:sz w:val="22"/>
          <w:szCs w:val="22"/>
        </w:rPr>
        <w:t>. Given these statistics, actual labelling changes would only be required for approximately 5% of the products that are eligible to display the HSR in Australia and 3% of the eligible products in New Zealand.</w:t>
      </w:r>
    </w:p>
    <w:p w14:paraId="4AFCF588" w14:textId="65643DBE" w:rsidR="00F37134" w:rsidRDefault="00F37134" w:rsidP="005539E3">
      <w:pPr>
        <w:rPr>
          <w:sz w:val="22"/>
          <w:szCs w:val="22"/>
        </w:rPr>
      </w:pPr>
    </w:p>
    <w:p w14:paraId="51A18BF9" w14:textId="24988805" w:rsidR="00F37134" w:rsidRDefault="00F37134" w:rsidP="005539E3">
      <w:pPr>
        <w:rPr>
          <w:sz w:val="22"/>
          <w:szCs w:val="22"/>
        </w:rPr>
      </w:pPr>
      <w:r>
        <w:rPr>
          <w:sz w:val="22"/>
          <w:szCs w:val="22"/>
        </w:rPr>
        <w:t xml:space="preserve">Modelling in the TAG database, Nutritrack database and FoodSwitch database (including breakdown by food category) is at </w:t>
      </w:r>
      <w:r w:rsidRPr="00F37134">
        <w:rPr>
          <w:sz w:val="22"/>
          <w:szCs w:val="22"/>
          <w:u w:val="single"/>
        </w:rPr>
        <w:t>Appendix F</w:t>
      </w:r>
      <w:r>
        <w:rPr>
          <w:sz w:val="22"/>
          <w:szCs w:val="22"/>
        </w:rPr>
        <w:t>.</w:t>
      </w:r>
    </w:p>
    <w:p w14:paraId="2B8D5667" w14:textId="0F95C379" w:rsidR="000A3464" w:rsidRPr="00CC1ADD" w:rsidRDefault="000A3464" w:rsidP="007B1D76">
      <w:pPr>
        <w:pStyle w:val="mpcNormal"/>
        <w:keepNext w:val="0"/>
      </w:pPr>
    </w:p>
    <w:p w14:paraId="545E42B5" w14:textId="77777777" w:rsidR="00D36202" w:rsidRPr="00CC1ADD" w:rsidRDefault="00D36202" w:rsidP="005A162A">
      <w:pPr>
        <w:pStyle w:val="mpcheading2"/>
        <w:spacing w:after="0"/>
      </w:pPr>
      <w:bookmarkStart w:id="113" w:name="Beverages"/>
      <w:bookmarkStart w:id="114" w:name="_Toc9955060"/>
      <w:bookmarkEnd w:id="113"/>
      <w:r w:rsidRPr="00CC1ADD">
        <w:t>Non-dairy beverages</w:t>
      </w:r>
      <w:bookmarkEnd w:id="114"/>
    </w:p>
    <w:p w14:paraId="6E560974" w14:textId="77777777" w:rsidR="005A162A" w:rsidRDefault="005A162A" w:rsidP="00CD1F86">
      <w:pPr>
        <w:pStyle w:val="mpcNormal"/>
        <w:keepNext w:val="0"/>
        <w:widowControl w:val="0"/>
      </w:pPr>
    </w:p>
    <w:p w14:paraId="7970B088" w14:textId="551DABD6" w:rsidR="005A162A" w:rsidRDefault="005A162A" w:rsidP="005A162A">
      <w:pPr>
        <w:pStyle w:val="mpcheading3"/>
      </w:pPr>
      <w:r>
        <w:t>Context</w:t>
      </w:r>
    </w:p>
    <w:p w14:paraId="45FAC0A8" w14:textId="77777777" w:rsidR="005A162A" w:rsidRDefault="005A162A" w:rsidP="00CD1F86">
      <w:pPr>
        <w:pStyle w:val="mpcNormal"/>
        <w:keepNext w:val="0"/>
        <w:widowControl w:val="0"/>
      </w:pPr>
    </w:p>
    <w:p w14:paraId="3F3201FB" w14:textId="733150EE" w:rsidR="00D36202" w:rsidRPr="00CC1ADD" w:rsidRDefault="00D36202" w:rsidP="00CD1F86">
      <w:pPr>
        <w:pStyle w:val="mpcNormal"/>
        <w:keepNext w:val="0"/>
        <w:widowControl w:val="0"/>
      </w:pPr>
      <w:r w:rsidRPr="00CC1ADD">
        <w:t xml:space="preserve">Non-dairy beverages are intrinsically difficult to profile nutritionally, as many have minimal nutritional value and the HSR Calculator depends on a balance of positive and negative components in order to derive an HSR. </w:t>
      </w:r>
    </w:p>
    <w:p w14:paraId="5376095F" w14:textId="77777777" w:rsidR="00024FD4" w:rsidRDefault="00024FD4" w:rsidP="00024FD4">
      <w:pPr>
        <w:pStyle w:val="mpcNormal"/>
        <w:keepNext w:val="0"/>
      </w:pPr>
    </w:p>
    <w:p w14:paraId="72525368" w14:textId="77777777" w:rsidR="00024FD4" w:rsidRDefault="00024FD4" w:rsidP="00024FD4">
      <w:pPr>
        <w:pStyle w:val="mpcNormal"/>
        <w:keepNext w:val="0"/>
      </w:pPr>
      <w:r>
        <w:t>As</w:t>
      </w:r>
      <w:r w:rsidRPr="00CC1ADD">
        <w:t xml:space="preserve"> the result of a policy decision to encourage consumption of water</w:t>
      </w:r>
      <w:r>
        <w:t xml:space="preserve"> prior to implementation of the System</w:t>
      </w:r>
      <w:r w:rsidRPr="00CC1ADD">
        <w:t xml:space="preserve">, packaged plain </w:t>
      </w:r>
      <w:r>
        <w:t xml:space="preserve">or carbonated </w:t>
      </w:r>
      <w:r w:rsidRPr="00CC1ADD">
        <w:t>water with no additives receives an automatic HSR of 5. For all other non</w:t>
      </w:r>
      <w:r w:rsidRPr="00CC1ADD">
        <w:noBreakHyphen/>
        <w:t>dairy beverages, the HSR is awarded based on the combination of nutrients. Non-dairy beverages with higher FVNL content (such as fruit juices) generally receive HSRs of 4 to 5, despite an average total sugars content of 9g/100g</w:t>
      </w:r>
      <w:r w:rsidRPr="00CC1ADD">
        <w:rPr>
          <w:rStyle w:val="FootnoteReference"/>
          <w:sz w:val="22"/>
        </w:rPr>
        <w:footnoteReference w:id="86"/>
      </w:r>
      <w:r w:rsidRPr="00CC1ADD">
        <w:t>. For other non</w:t>
      </w:r>
      <w:r w:rsidRPr="00CC1ADD">
        <w:noBreakHyphen/>
        <w:t>dairy beverages, the operative components of the HSR Calculator are energy and total sugars, which is why they generally receive low</w:t>
      </w:r>
      <w:r>
        <w:t>er</w:t>
      </w:r>
      <w:r w:rsidRPr="00CC1ADD">
        <w:t xml:space="preserve"> HSRs. </w:t>
      </w:r>
    </w:p>
    <w:p w14:paraId="5DF99FE2" w14:textId="6F0C2522" w:rsidR="0017589C" w:rsidRDefault="0017589C" w:rsidP="0017589C">
      <w:pPr>
        <w:pStyle w:val="mpcNormal"/>
        <w:keepNext w:val="0"/>
      </w:pPr>
    </w:p>
    <w:p w14:paraId="7BE7BD26" w14:textId="77777777" w:rsidR="00024FD4" w:rsidRDefault="00024FD4" w:rsidP="00024FD4">
      <w:pPr>
        <w:widowControl w:val="0"/>
        <w:rPr>
          <w:rFonts w:cstheme="minorHAnsi"/>
          <w:sz w:val="22"/>
          <w:szCs w:val="22"/>
        </w:rPr>
      </w:pPr>
      <w:r w:rsidRPr="00CC1ADD">
        <w:rPr>
          <w:rFonts w:cstheme="minorHAnsi"/>
          <w:sz w:val="22"/>
          <w:szCs w:val="22"/>
        </w:rPr>
        <w:t>Research highlights that non-dairy beverages are a major source of total sugars and the leading source of free sugars in Australian and New Zealander diets:</w:t>
      </w:r>
    </w:p>
    <w:p w14:paraId="04506726" w14:textId="4D3C93BD" w:rsidR="00024FD4" w:rsidRPr="00CC1ADD" w:rsidRDefault="00024FD4" w:rsidP="00024FD4">
      <w:pPr>
        <w:rPr>
          <w:rFonts w:cstheme="minorHAnsi"/>
          <w:sz w:val="22"/>
          <w:szCs w:val="22"/>
        </w:rPr>
      </w:pPr>
    </w:p>
    <w:p w14:paraId="1B91D886" w14:textId="33E689CC" w:rsidR="00024FD4" w:rsidRDefault="00024FD4" w:rsidP="007E0D2C">
      <w:pPr>
        <w:pStyle w:val="mpcbullets1"/>
      </w:pPr>
      <w:r w:rsidRPr="00CC1ADD">
        <w:t>2</w:t>
      </w:r>
      <w:r>
        <w:t>7</w:t>
      </w:r>
      <w:r w:rsidRPr="00CC1ADD">
        <w:t>% of total sugars in Australian diets comes from non-dairy beverages</w:t>
      </w:r>
      <w:r w:rsidRPr="00CC1ADD">
        <w:rPr>
          <w:rStyle w:val="FootnoteReference"/>
        </w:rPr>
        <w:footnoteReference w:id="87"/>
      </w:r>
    </w:p>
    <w:p w14:paraId="452C5D9A" w14:textId="77777777" w:rsidR="00024FD4" w:rsidRPr="00CC1ADD" w:rsidRDefault="00024FD4" w:rsidP="007E0D2C">
      <w:pPr>
        <w:pStyle w:val="mpcbullets1"/>
      </w:pPr>
      <w:r w:rsidRPr="00CC1ADD">
        <w:t xml:space="preserve">52% of free sugars in Australian diets comes from non-dairy beverages, with the leading </w:t>
      </w:r>
      <w:r>
        <w:t>contributors</w:t>
      </w:r>
      <w:r w:rsidRPr="00CC1ADD">
        <w:t xml:space="preserve"> being soft drinks, electrolyte and energy drinks (19%), fruit and vegetable juices and drinks (13%) and cordial (</w:t>
      </w:r>
      <w:r>
        <w:t>5</w:t>
      </w:r>
      <w:r w:rsidRPr="00CC1ADD">
        <w:t>%)</w:t>
      </w:r>
      <w:r w:rsidRPr="00CC1ADD">
        <w:rPr>
          <w:rStyle w:val="FootnoteReference"/>
        </w:rPr>
        <w:footnoteReference w:id="88"/>
      </w:r>
    </w:p>
    <w:p w14:paraId="520FBD61" w14:textId="77777777" w:rsidR="00024FD4" w:rsidRPr="00CC1ADD" w:rsidRDefault="00024FD4" w:rsidP="007E0D2C">
      <w:pPr>
        <w:pStyle w:val="mpcbullets1"/>
      </w:pPr>
      <w:r w:rsidRPr="00CC1ADD">
        <w:t>17% of total sugars in New Zealand diets comes from non-dairy beverages</w:t>
      </w:r>
      <w:r w:rsidRPr="00CC1ADD">
        <w:rPr>
          <w:rStyle w:val="FootnoteReference"/>
        </w:rPr>
        <w:footnoteReference w:id="89"/>
      </w:r>
      <w:r w:rsidRPr="00CC1ADD">
        <w:t>.</w:t>
      </w:r>
    </w:p>
    <w:p w14:paraId="40E10350" w14:textId="370DA537" w:rsidR="00024FD4" w:rsidRPr="00CC1ADD" w:rsidRDefault="00024FD4" w:rsidP="00024FD4">
      <w:pPr>
        <w:rPr>
          <w:rFonts w:cstheme="minorHAnsi"/>
          <w:sz w:val="22"/>
          <w:szCs w:val="22"/>
        </w:rPr>
      </w:pPr>
    </w:p>
    <w:p w14:paraId="1348DC12" w14:textId="4F3557F8" w:rsidR="00024FD4" w:rsidRPr="00CC1ADD" w:rsidRDefault="00024FD4" w:rsidP="00024FD4">
      <w:pPr>
        <w:rPr>
          <w:rFonts w:cstheme="minorHAnsi"/>
          <w:sz w:val="22"/>
          <w:szCs w:val="22"/>
        </w:rPr>
      </w:pPr>
      <w:r w:rsidRPr="00CC1ADD">
        <w:rPr>
          <w:rFonts w:cstheme="minorHAnsi"/>
          <w:sz w:val="22"/>
          <w:szCs w:val="22"/>
        </w:rPr>
        <w:t>Given this significant contribution to total sugars in Australian and New Zealander diets, it is important that the HSR promotes healthier beverages that are lower in total sugars.</w:t>
      </w:r>
    </w:p>
    <w:p w14:paraId="3FF9868F" w14:textId="77777777" w:rsidR="00024FD4" w:rsidRDefault="00024FD4" w:rsidP="0017589C">
      <w:pPr>
        <w:pStyle w:val="mpcNormal"/>
        <w:keepNext w:val="0"/>
      </w:pPr>
    </w:p>
    <w:p w14:paraId="4C77788B" w14:textId="77777777" w:rsidR="0017589C" w:rsidRDefault="0017589C" w:rsidP="0017589C">
      <w:pPr>
        <w:pStyle w:val="mpcNormal"/>
        <w:keepNext w:val="0"/>
      </w:pPr>
      <w:r w:rsidRPr="00CC1ADD">
        <w:t xml:space="preserve">International FoPL </w:t>
      </w:r>
      <w:r>
        <w:t>schemes</w:t>
      </w:r>
      <w:r w:rsidRPr="00CC1ADD">
        <w:t xml:space="preserve"> (such as the French Nutri-Score</w:t>
      </w:r>
      <w:r>
        <w:t xml:space="preserve"> System</w:t>
      </w:r>
      <w:r w:rsidRPr="00CC1ADD">
        <w:t>) have encountered similar challenges in determining appropriate labelling for non-dairy beverages</w:t>
      </w:r>
      <w:r>
        <w:t>. S</w:t>
      </w:r>
      <w:r w:rsidRPr="00CC1ADD">
        <w:t xml:space="preserve">pecific adaptations to </w:t>
      </w:r>
      <w:r>
        <w:t>the way the ratings are calculated in this category were made to the original</w:t>
      </w:r>
      <w:r>
        <w:rPr>
          <w:lang w:val="en-US"/>
        </w:rPr>
        <w:t xml:space="preserve"> Nutri-Score model to be consistent with French official nutritional recommendations.</w:t>
      </w:r>
    </w:p>
    <w:p w14:paraId="7C82C70F" w14:textId="5E702532" w:rsidR="00D36202" w:rsidRDefault="00D36202" w:rsidP="005A3631">
      <w:pPr>
        <w:pStyle w:val="mpcNormal"/>
        <w:keepNext w:val="0"/>
        <w:widowControl w:val="0"/>
      </w:pPr>
    </w:p>
    <w:p w14:paraId="3B69C499" w14:textId="0E20ED80" w:rsidR="0017589C" w:rsidRDefault="0017589C" w:rsidP="005A3631">
      <w:pPr>
        <w:pStyle w:val="mpcNormal"/>
        <w:keepNext w:val="0"/>
        <w:widowControl w:val="0"/>
      </w:pPr>
      <w:r>
        <w:t xml:space="preserve">The key issues in profiling non-dairy beverages </w:t>
      </w:r>
      <w:r w:rsidR="00024FD4">
        <w:t xml:space="preserve">relate to </w:t>
      </w:r>
      <w:r w:rsidR="00D0663A">
        <w:t xml:space="preserve">how the HSR Calculator deals with </w:t>
      </w:r>
      <w:r w:rsidR="00024FD4">
        <w:t>flavoured waters and fruit juices.</w:t>
      </w:r>
    </w:p>
    <w:p w14:paraId="3ADBB8A5" w14:textId="74FC3088" w:rsidR="0017589C" w:rsidRDefault="0017589C" w:rsidP="005A3631">
      <w:pPr>
        <w:pStyle w:val="mpcNormal"/>
        <w:keepNext w:val="0"/>
        <w:widowControl w:val="0"/>
      </w:pPr>
    </w:p>
    <w:p w14:paraId="47B19AC4" w14:textId="080D6465" w:rsidR="00024FD4" w:rsidRPr="00024FD4" w:rsidRDefault="00F37134" w:rsidP="000D1315">
      <w:pPr>
        <w:pStyle w:val="mpcNormal"/>
        <w:rPr>
          <w:b/>
        </w:rPr>
      </w:pPr>
      <w:r w:rsidRPr="002D0C2D">
        <w:rPr>
          <w:noProof/>
          <w:lang w:eastAsia="en-AU"/>
        </w:rPr>
        <w:drawing>
          <wp:anchor distT="0" distB="0" distL="114300" distR="114300" simplePos="0" relativeHeight="251706368" behindDoc="0" locked="0" layoutInCell="1" allowOverlap="1" wp14:anchorId="6D2F675E" wp14:editId="63CE6088">
            <wp:simplePos x="0" y="0"/>
            <wp:positionH relativeFrom="column">
              <wp:posOffset>2671445</wp:posOffset>
            </wp:positionH>
            <wp:positionV relativeFrom="paragraph">
              <wp:posOffset>4571</wp:posOffset>
            </wp:positionV>
            <wp:extent cx="3513455" cy="2224405"/>
            <wp:effectExtent l="0" t="0" r="4445" b="0"/>
            <wp:wrapSquare wrapText="bothSides"/>
            <wp:docPr id="37" name="Picture 37" descr="Figure 10: Image of lightly sparkling mineral water displaying an HSR of 5 next to a lightly sparking lemon flavoured spring water displaying an HSR of 2.&#10;&#10;The Lightly Sparkling Mineral Water receives an HSR of 5, due to a policy decision made prior to implementation of the System, however the Lightly Sparkling Lemon Flavoured Mineral Water (which is almost identical in nutritional profile, with only 1kJ per 100g) receives an HSR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hqprint">
                      <a:extLst>
                        <a:ext uri="{28A0092B-C50C-407E-A947-70E740481C1C}">
                          <a14:useLocalDpi xmlns:a14="http://schemas.microsoft.com/office/drawing/2010/main" val="0"/>
                        </a:ext>
                      </a:extLst>
                    </a:blip>
                    <a:srcRect/>
                    <a:stretch/>
                  </pic:blipFill>
                  <pic:spPr bwMode="auto">
                    <a:xfrm>
                      <a:off x="0" y="0"/>
                      <a:ext cx="3513455" cy="2224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4FD4" w:rsidRPr="00024FD4">
        <w:rPr>
          <w:b/>
        </w:rPr>
        <w:t>Flavoured waters</w:t>
      </w:r>
    </w:p>
    <w:p w14:paraId="5DFF0F1E" w14:textId="06C67F46" w:rsidR="00024FD4" w:rsidRDefault="00024FD4" w:rsidP="000D1315">
      <w:pPr>
        <w:pStyle w:val="mpcNormal"/>
      </w:pPr>
    </w:p>
    <w:p w14:paraId="342AA902" w14:textId="64072F42" w:rsidR="001647CF" w:rsidRDefault="000C6E56" w:rsidP="000D1315">
      <w:pPr>
        <w:pStyle w:val="mpcNormal"/>
      </w:pPr>
      <w:r>
        <w:t>F</w:t>
      </w:r>
      <w:r w:rsidR="00C60199" w:rsidRPr="00CC1ADD">
        <w:t xml:space="preserve">lavoured waters generally receive HSRs of around 2, despite </w:t>
      </w:r>
      <w:r w:rsidR="001C7B7D">
        <w:t>having no</w:t>
      </w:r>
      <w:r w:rsidR="00C60199" w:rsidRPr="00CC1ADD">
        <w:t xml:space="preserve"> total sugars and </w:t>
      </w:r>
      <w:r w:rsidR="001C7B7D">
        <w:t xml:space="preserve">being </w:t>
      </w:r>
      <w:r w:rsidR="00C60199" w:rsidRPr="00CC1ADD">
        <w:t>close in nutritional profile to plain water</w:t>
      </w:r>
      <w:r w:rsidR="00C60199">
        <w:t xml:space="preserve"> (see Figure </w:t>
      </w:r>
      <w:r w:rsidR="00D82678">
        <w:t>11</w:t>
      </w:r>
      <w:r w:rsidR="00C60199">
        <w:t>)</w:t>
      </w:r>
      <w:r w:rsidR="00C60199" w:rsidRPr="00CC1ADD">
        <w:t>.</w:t>
      </w:r>
      <w:r w:rsidR="009F61D7">
        <w:t xml:space="preserve"> </w:t>
      </w:r>
      <w:r w:rsidR="009F61D7" w:rsidRPr="00024FD4">
        <w:t xml:space="preserve">This is because </w:t>
      </w:r>
      <w:r w:rsidRPr="00024FD4">
        <w:t>they do not contain sugars, sodium, saturated fats, FVNL, fibre or protein and so do not</w:t>
      </w:r>
      <w:r w:rsidR="009F61D7" w:rsidRPr="00024FD4">
        <w:t xml:space="preserve"> score </w:t>
      </w:r>
      <w:r w:rsidRPr="00024FD4">
        <w:t xml:space="preserve">either </w:t>
      </w:r>
      <w:r w:rsidR="009F61D7" w:rsidRPr="00024FD4">
        <w:t xml:space="preserve">baseline or modifying points in the </w:t>
      </w:r>
      <w:r w:rsidR="00024FD4">
        <w:t xml:space="preserve">HSR </w:t>
      </w:r>
      <w:r w:rsidR="009F61D7" w:rsidRPr="00024FD4">
        <w:t>Calculator.</w:t>
      </w:r>
    </w:p>
    <w:p w14:paraId="682DDCD2" w14:textId="2FF1533C" w:rsidR="007A543F" w:rsidRDefault="007A543F" w:rsidP="004A6A27">
      <w:pPr>
        <w:pStyle w:val="mpcNormal"/>
        <w:keepNext w:val="0"/>
      </w:pPr>
    </w:p>
    <w:p w14:paraId="79728B5D" w14:textId="6D36E386" w:rsidR="00E40F95" w:rsidRDefault="001272EE" w:rsidP="004A6A27">
      <w:pPr>
        <w:pStyle w:val="mpcNormal"/>
        <w:keepNext w:val="0"/>
      </w:pPr>
      <w:r>
        <w:rPr>
          <w:noProof/>
          <w:lang w:eastAsia="en-AU"/>
        </w:rPr>
        <mc:AlternateContent>
          <mc:Choice Requires="wps">
            <w:drawing>
              <wp:anchor distT="0" distB="0" distL="114300" distR="114300" simplePos="0" relativeHeight="251710464" behindDoc="0" locked="0" layoutInCell="1" allowOverlap="1" wp14:anchorId="119A4BF9" wp14:editId="7BAC49B4">
                <wp:simplePos x="0" y="0"/>
                <wp:positionH relativeFrom="column">
                  <wp:posOffset>2627630</wp:posOffset>
                </wp:positionH>
                <wp:positionV relativeFrom="paragraph">
                  <wp:posOffset>504190</wp:posOffset>
                </wp:positionV>
                <wp:extent cx="3611880" cy="904875"/>
                <wp:effectExtent l="0" t="0" r="0" b="0"/>
                <wp:wrapSquare wrapText="bothSides"/>
                <wp:docPr id="43" name="Text Box 43" descr="Figure 10: The Lightly Sparkling Mineral Water receives an HSR of 5, due to a policy decision made prior to implementation of the System, however the Lightly Sparkling Lemon Flavoured Mineral Water (which is almost identical in nutritional profile, with only 1kJ per 100g) receives an HSR of 2."/>
                <wp:cNvGraphicFramePr/>
                <a:graphic xmlns:a="http://schemas.openxmlformats.org/drawingml/2006/main">
                  <a:graphicData uri="http://schemas.microsoft.com/office/word/2010/wordprocessingShape">
                    <wps:wsp>
                      <wps:cNvSpPr txBox="1"/>
                      <wps:spPr>
                        <a:xfrm>
                          <a:off x="0" y="0"/>
                          <a:ext cx="3611880" cy="904875"/>
                        </a:xfrm>
                        <a:prstGeom prst="rect">
                          <a:avLst/>
                        </a:prstGeom>
                        <a:solidFill>
                          <a:schemeClr val="lt1"/>
                        </a:solidFill>
                        <a:ln w="6350">
                          <a:noFill/>
                        </a:ln>
                      </wps:spPr>
                      <wps:txbx>
                        <w:txbxContent>
                          <w:p w14:paraId="027D4170" w14:textId="0FA68948" w:rsidR="00E254FE" w:rsidRPr="00D91887" w:rsidRDefault="00E254FE" w:rsidP="001272EE">
                            <w:pPr>
                              <w:rPr>
                                <w:rFonts w:cstheme="minorHAnsi"/>
                                <w:sz w:val="20"/>
                                <w:szCs w:val="22"/>
                              </w:rPr>
                            </w:pPr>
                            <w:r w:rsidRPr="00D91887">
                              <w:rPr>
                                <w:rFonts w:cstheme="minorHAnsi"/>
                                <w:b/>
                                <w:sz w:val="20"/>
                                <w:szCs w:val="22"/>
                              </w:rPr>
                              <w:t xml:space="preserve">Figure </w:t>
                            </w:r>
                            <w:r>
                              <w:rPr>
                                <w:rFonts w:cstheme="minorHAnsi"/>
                                <w:b/>
                                <w:sz w:val="20"/>
                                <w:szCs w:val="22"/>
                              </w:rPr>
                              <w:t>11</w:t>
                            </w:r>
                            <w:r w:rsidRPr="00D91887">
                              <w:rPr>
                                <w:rFonts w:cstheme="minorHAnsi"/>
                                <w:b/>
                                <w:sz w:val="20"/>
                                <w:szCs w:val="22"/>
                              </w:rPr>
                              <w:t>:</w:t>
                            </w:r>
                            <w:r w:rsidRPr="00D91887">
                              <w:rPr>
                                <w:rFonts w:cstheme="minorHAnsi"/>
                                <w:sz w:val="20"/>
                                <w:szCs w:val="22"/>
                              </w:rPr>
                              <w:t xml:space="preserve"> </w:t>
                            </w:r>
                            <w:r>
                              <w:rPr>
                                <w:rFonts w:cstheme="minorHAnsi"/>
                                <w:sz w:val="20"/>
                                <w:szCs w:val="22"/>
                              </w:rPr>
                              <w:t>The Lightly Sparkling Mineral Water receives an HSR of 5, due to a policy decision made prior to implementation of the System, however the Lightly Sparkling Lemon Flavoured Mineral Water (which is almost identical in nutritional profile, with only 1kJ per 100g) receives an HSR of 2.</w:t>
                            </w:r>
                          </w:p>
                          <w:p w14:paraId="1A440B61" w14:textId="77777777" w:rsidR="00E254FE" w:rsidRDefault="00E254FE" w:rsidP="001272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A4BF9" id="Text Box 43" o:spid="_x0000_s1032" type="#_x0000_t202" alt="Figure 10: The Lightly Sparkling Mineral Water receives an HSR of 5, due to a policy decision made prior to implementation of the System, however the Lightly Sparkling Lemon Flavoured Mineral Water (which is almost identical in nutritional profile, with only 1kJ per 100g) receives an HSR of 2." style="position:absolute;margin-left:206.9pt;margin-top:39.7pt;width:284.4pt;height:7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" fillcolor="white [3201]" stroked="f" strokeweight=".5pt">
                <v:textbox>
                  <w:txbxContent>
                    <w:p w14:paraId="027D4170" w14:textId="0FA68948" w:rsidR="00E254FE" w:rsidRPr="00D91887" w:rsidRDefault="00E254FE" w:rsidP="001272EE">
                      <w:pPr>
                        <w:rPr>
                          <w:rFonts w:cstheme="minorHAnsi"/>
                          <w:sz w:val="20"/>
                          <w:szCs w:val="22"/>
                        </w:rPr>
                      </w:pPr>
                      <w:r w:rsidRPr="00D91887">
                        <w:rPr>
                          <w:rFonts w:cstheme="minorHAnsi"/>
                          <w:b/>
                          <w:sz w:val="20"/>
                          <w:szCs w:val="22"/>
                        </w:rPr>
                        <w:t xml:space="preserve">Figure </w:t>
                      </w:r>
                      <w:r>
                        <w:rPr>
                          <w:rFonts w:cstheme="minorHAnsi"/>
                          <w:b/>
                          <w:sz w:val="20"/>
                          <w:szCs w:val="22"/>
                        </w:rPr>
                        <w:t>11</w:t>
                      </w:r>
                      <w:r w:rsidRPr="00D91887">
                        <w:rPr>
                          <w:rFonts w:cstheme="minorHAnsi"/>
                          <w:b/>
                          <w:sz w:val="20"/>
                          <w:szCs w:val="22"/>
                        </w:rPr>
                        <w:t>:</w:t>
                      </w:r>
                      <w:r w:rsidRPr="00D91887">
                        <w:rPr>
                          <w:rFonts w:cstheme="minorHAnsi"/>
                          <w:sz w:val="20"/>
                          <w:szCs w:val="22"/>
                        </w:rPr>
                        <w:t xml:space="preserve"> </w:t>
                      </w:r>
                      <w:r>
                        <w:rPr>
                          <w:rFonts w:cstheme="minorHAnsi"/>
                          <w:sz w:val="20"/>
                          <w:szCs w:val="22"/>
                        </w:rPr>
                        <w:t>The Lightly Sparkling Mineral Water receives an HSR of 5, due to a policy decision made prior to implementation of the System, however the Lightly Sparkling Lemon Flavoured Mineral Water (which is almost identical in nutritional profile, with only 1kJ per 100g) receives an HSR of 2.</w:t>
                      </w:r>
                    </w:p>
                    <w:p w14:paraId="1A440B61" w14:textId="77777777" w:rsidR="00E254FE" w:rsidRDefault="00E254FE" w:rsidP="001272EE"/>
                  </w:txbxContent>
                </v:textbox>
                <w10:wrap type="square"/>
              </v:shape>
            </w:pict>
          </mc:Fallback>
        </mc:AlternateContent>
      </w:r>
      <w:r w:rsidR="00292D23">
        <w:t xml:space="preserve">However, flavoured waters without added sugars are a healthy, low kilojoule alternative to plain water </w:t>
      </w:r>
      <w:r w:rsidR="0082688E">
        <w:t xml:space="preserve">including </w:t>
      </w:r>
      <w:r w:rsidR="00292D23">
        <w:t>for those who find plain water unpalatable. It is confusing for consumers to see plain water with an HSR of 5, while water with a small amount of flavouring has an HSR of 2. Further, it is</w:t>
      </w:r>
      <w:r w:rsidR="00292D23" w:rsidRPr="00292D23">
        <w:t xml:space="preserve"> </w:t>
      </w:r>
      <w:r w:rsidR="00292D23">
        <w:t xml:space="preserve">misleading for </w:t>
      </w:r>
      <w:r w:rsidR="00E40F95">
        <w:t>flavoured waters to score lower HSRs than other non</w:t>
      </w:r>
      <w:r w:rsidR="00F37134">
        <w:noBreakHyphen/>
      </w:r>
      <w:r w:rsidR="00E40F95">
        <w:t>dairy beverages with higher sugars and energy content, such as fruit juices.</w:t>
      </w:r>
    </w:p>
    <w:p w14:paraId="064F0C82" w14:textId="58BC09DB" w:rsidR="000D1315" w:rsidRDefault="000D1315" w:rsidP="000D1315">
      <w:pPr>
        <w:pStyle w:val="mpcNormal"/>
        <w:keepNext w:val="0"/>
      </w:pPr>
    </w:p>
    <w:p w14:paraId="219F9DE3" w14:textId="15C9EC87" w:rsidR="000D1315" w:rsidRDefault="000D1315" w:rsidP="000D1315">
      <w:pPr>
        <w:pStyle w:val="mpcNormal"/>
        <w:keepNext w:val="0"/>
      </w:pPr>
      <w:r>
        <w:t xml:space="preserve">Industry has highlighted that flavoured waters are one of the fastest growing non-dairy beverage product categories, so it is important to ensure the HSR System accurately reflects their nutritional quality and encourages innovation in this area. </w:t>
      </w:r>
    </w:p>
    <w:p w14:paraId="72C455FD" w14:textId="77777777" w:rsidR="000D1315" w:rsidRDefault="000D1315" w:rsidP="004A6A27">
      <w:pPr>
        <w:pStyle w:val="mpcNormal"/>
        <w:keepNext w:val="0"/>
      </w:pPr>
    </w:p>
    <w:p w14:paraId="7B1CA4BE" w14:textId="4ED7779E" w:rsidR="0017589C" w:rsidRPr="0017589C" w:rsidRDefault="0017589C" w:rsidP="00BF476F">
      <w:pPr>
        <w:pStyle w:val="mpcNormal"/>
        <w:rPr>
          <w:b/>
        </w:rPr>
      </w:pPr>
      <w:r w:rsidRPr="0017589C">
        <w:rPr>
          <w:b/>
        </w:rPr>
        <w:t>Fruit juices</w:t>
      </w:r>
    </w:p>
    <w:p w14:paraId="47F5C68D" w14:textId="77777777" w:rsidR="0017589C" w:rsidRPr="00CC1ADD" w:rsidRDefault="0017589C" w:rsidP="00BF476F">
      <w:pPr>
        <w:pStyle w:val="mpcNormal"/>
      </w:pPr>
    </w:p>
    <w:p w14:paraId="2D2933A4" w14:textId="69F7BCD9" w:rsidR="00D36202" w:rsidRPr="00CC1ADD" w:rsidRDefault="000D1315" w:rsidP="00BF476F">
      <w:pPr>
        <w:pStyle w:val="mpcNormal"/>
      </w:pPr>
      <w:r>
        <w:t xml:space="preserve">A contentious </w:t>
      </w:r>
      <w:r w:rsidR="0082688E">
        <w:t xml:space="preserve">topic </w:t>
      </w:r>
      <w:r>
        <w:t>throughout the Review</w:t>
      </w:r>
      <w:r w:rsidR="001C7B7D">
        <w:t>,</w:t>
      </w:r>
      <w:r w:rsidR="00D36202" w:rsidRPr="00CC1ADD">
        <w:t xml:space="preserve"> is the extent to which the HSR should </w:t>
      </w:r>
      <w:r w:rsidR="00CD1F86">
        <w:t xml:space="preserve">encourage consumers to choose </w:t>
      </w:r>
      <w:r w:rsidR="001C7B7D">
        <w:t xml:space="preserve">fruit </w:t>
      </w:r>
      <w:r w:rsidR="00D36202" w:rsidRPr="00CC1ADD">
        <w:t>juices. Both Dietary Guidelines recommend water as the healthiest beverage, however with regard to juices:</w:t>
      </w:r>
    </w:p>
    <w:p w14:paraId="20AEEBBA" w14:textId="77777777" w:rsidR="00D36202" w:rsidRPr="00CC1ADD" w:rsidRDefault="00D36202" w:rsidP="00CD1F86">
      <w:pPr>
        <w:pStyle w:val="mpcNormal"/>
        <w:keepNext w:val="0"/>
      </w:pPr>
    </w:p>
    <w:p w14:paraId="71960D8B" w14:textId="77777777" w:rsidR="00D36202" w:rsidRPr="00CC1ADD" w:rsidRDefault="00D36202" w:rsidP="007E0D2C">
      <w:pPr>
        <w:pStyle w:val="mpcbullets1"/>
      </w:pPr>
      <w:r>
        <w:t>t</w:t>
      </w:r>
      <w:r w:rsidRPr="00CC1ADD">
        <w:t>he ADG note that whole fruit is preferable to fruit juice, however the occasional 125mL serve of fruit juice may assist with nutrient intake when fresh, frozen or canned supply of fruit is sub</w:t>
      </w:r>
      <w:r w:rsidRPr="00CC1ADD">
        <w:noBreakHyphen/>
        <w:t xml:space="preserve">optimal. </w:t>
      </w:r>
      <w:r>
        <w:t>The ADG note that f</w:t>
      </w:r>
      <w:r w:rsidRPr="00CC1ADD">
        <w:t>ruit juice is energy dense and, if consumed in excess, can displace other nutritious foods from the diet and lead to health concerns such as obesity</w:t>
      </w:r>
    </w:p>
    <w:p w14:paraId="24927892" w14:textId="5D30D40A" w:rsidR="00D36202" w:rsidRPr="005A3631" w:rsidRDefault="00D36202" w:rsidP="007E0D2C">
      <w:pPr>
        <w:pStyle w:val="mpcbullets1"/>
      </w:pPr>
      <w:r>
        <w:t>t</w:t>
      </w:r>
      <w:r w:rsidRPr="00CC1ADD">
        <w:t xml:space="preserve">he </w:t>
      </w:r>
      <w:r w:rsidRPr="005A3631">
        <w:t xml:space="preserve">NZEAG </w:t>
      </w:r>
      <w:r w:rsidR="001C7B7D" w:rsidRPr="005A3631">
        <w:t xml:space="preserve">note </w:t>
      </w:r>
      <w:r w:rsidR="001C7B7D" w:rsidRPr="00CD1F86">
        <w:t xml:space="preserve">fruit juice is a high-sugar drink as it contains all the naturally occurring sugar found in the many pieces of fruit required to make one glass of juice. The NZEAG </w:t>
      </w:r>
      <w:r w:rsidRPr="005A3631">
        <w:t>recommend eating fresh fruit and drinking plain water rather than drinking fruit juice.</w:t>
      </w:r>
    </w:p>
    <w:p w14:paraId="55997A5D" w14:textId="2393924B" w:rsidR="001C7B7D" w:rsidRDefault="001C7B7D" w:rsidP="00CD1F86">
      <w:pPr>
        <w:pStyle w:val="mpcNormal"/>
        <w:keepNext w:val="0"/>
      </w:pPr>
    </w:p>
    <w:p w14:paraId="507E8792" w14:textId="6C57861E" w:rsidR="009A1B44" w:rsidRDefault="001647CF" w:rsidP="001647CF">
      <w:pPr>
        <w:pStyle w:val="mpcNormal"/>
        <w:keepNext w:val="0"/>
      </w:pPr>
      <w:r>
        <w:t>Fruit juices currently score HSRs of between 4 and 5, despite generally being high in sugars</w:t>
      </w:r>
      <w:r w:rsidR="00C01129">
        <w:t>.</w:t>
      </w:r>
    </w:p>
    <w:p w14:paraId="742BDD41" w14:textId="439CF9A5" w:rsidR="009A1B44" w:rsidRDefault="009A1B44" w:rsidP="001647CF">
      <w:pPr>
        <w:pStyle w:val="mpcNormal"/>
        <w:keepNext w:val="0"/>
      </w:pPr>
    </w:p>
    <w:tbl>
      <w:tblPr>
        <w:tblStyle w:val="TableGrid"/>
        <w:tblW w:w="0" w:type="auto"/>
        <w:tblLook w:val="04A0" w:firstRow="1" w:lastRow="0" w:firstColumn="1" w:lastColumn="0" w:noHBand="0" w:noVBand="1"/>
        <w:tblCaption w:val="WHO recs"/>
        <w:tblDescription w:val="WHO recommends limiting daily intake of free sugars to less than 10% of total daily energy intake . This includes the sugars in juices. The average sugars content of 100% juice on the Australian market is 10g/100mL, comparable with other sugary non dairy beverages, such as soft drinks.  A 500mL bottle of fruit juice can contain up to 12 teaspoons of free sugars, which, for the average person, equates to the total daily free sugars intake in one drink (based on WHO recommendations)."/>
      </w:tblPr>
      <w:tblGrid>
        <w:gridCol w:w="9736"/>
      </w:tblGrid>
      <w:tr w:rsidR="00C01129" w14:paraId="0C02F18A" w14:textId="77777777" w:rsidTr="00F37134">
        <w:trPr>
          <w:trHeight w:val="1414"/>
        </w:trPr>
        <w:tc>
          <w:tcPr>
            <w:tcW w:w="9736" w:type="dxa"/>
            <w:shd w:val="clear" w:color="auto" w:fill="F2F2F2" w:themeFill="background1" w:themeFillShade="F2"/>
            <w:vAlign w:val="center"/>
          </w:tcPr>
          <w:p w14:paraId="4FBC75E0" w14:textId="35080B84" w:rsidR="00C01129" w:rsidRDefault="00C01129" w:rsidP="00C01129">
            <w:pPr>
              <w:pStyle w:val="mpcNormal"/>
              <w:keepNext w:val="0"/>
            </w:pPr>
            <w:r>
              <w:t>WHO</w:t>
            </w:r>
            <w:r w:rsidRPr="00425BAF">
              <w:t xml:space="preserve"> recommend</w:t>
            </w:r>
            <w:r>
              <w:t>s</w:t>
            </w:r>
            <w:r w:rsidRPr="00425BAF">
              <w:t xml:space="preserve"> limit</w:t>
            </w:r>
            <w:r>
              <w:t>ing</w:t>
            </w:r>
            <w:r w:rsidRPr="00425BAF">
              <w:t xml:space="preserve"> daily intake of free sugars</w:t>
            </w:r>
            <w:r>
              <w:t xml:space="preserve"> </w:t>
            </w:r>
            <w:r w:rsidRPr="00425BAF">
              <w:t>to less than 10% of total daily energy intake</w:t>
            </w:r>
            <w:r>
              <w:rPr>
                <w:rStyle w:val="FootnoteReference"/>
              </w:rPr>
              <w:footnoteReference w:id="90"/>
            </w:r>
            <w:r w:rsidRPr="00425BAF">
              <w:t>.</w:t>
            </w:r>
            <w:r>
              <w:t xml:space="preserve"> This includes the sugars in juices. The average sugars content of 100% juice on the Australian market is 10g/100mL, comparable with other sugary non</w:t>
            </w:r>
            <w:r>
              <w:noBreakHyphen/>
              <w:t>dairy beverages, such as soft drinks.</w:t>
            </w:r>
            <w:r>
              <w:rPr>
                <w:rStyle w:val="FootnoteReference"/>
              </w:rPr>
              <w:footnoteReference w:id="91"/>
            </w:r>
            <w:r>
              <w:t xml:space="preserve"> A</w:t>
            </w:r>
            <w:r w:rsidRPr="001647CF">
              <w:t xml:space="preserve"> 500mL bottle of </w:t>
            </w:r>
            <w:r>
              <w:t xml:space="preserve">fruit </w:t>
            </w:r>
            <w:r w:rsidRPr="001647CF">
              <w:t xml:space="preserve">juice can contain </w:t>
            </w:r>
            <w:r>
              <w:t>up to</w:t>
            </w:r>
            <w:r w:rsidRPr="001647CF">
              <w:t xml:space="preserve"> 12 teaspoons of </w:t>
            </w:r>
            <w:r>
              <w:t xml:space="preserve">free </w:t>
            </w:r>
            <w:r w:rsidRPr="001647CF">
              <w:t>sugar</w:t>
            </w:r>
            <w:r>
              <w:t>s, which, f</w:t>
            </w:r>
            <w:r w:rsidRPr="001647CF">
              <w:t>or the average person, equate</w:t>
            </w:r>
            <w:r>
              <w:t>s</w:t>
            </w:r>
            <w:r w:rsidRPr="001647CF">
              <w:t xml:space="preserve"> to</w:t>
            </w:r>
            <w:r>
              <w:t xml:space="preserve"> the </w:t>
            </w:r>
            <w:r w:rsidRPr="001647CF">
              <w:t xml:space="preserve">total daily </w:t>
            </w:r>
            <w:r>
              <w:t xml:space="preserve">free </w:t>
            </w:r>
            <w:r w:rsidRPr="001647CF">
              <w:t>sugar</w:t>
            </w:r>
            <w:r>
              <w:t>s</w:t>
            </w:r>
            <w:r w:rsidRPr="001647CF">
              <w:t xml:space="preserve"> intake in one drink (</w:t>
            </w:r>
            <w:r>
              <w:t>based on WHO recommendations)</w:t>
            </w:r>
            <w:r w:rsidRPr="001647CF">
              <w:t>.</w:t>
            </w:r>
          </w:p>
        </w:tc>
      </w:tr>
    </w:tbl>
    <w:p w14:paraId="78221271" w14:textId="77777777" w:rsidR="00C01129" w:rsidRDefault="00C01129" w:rsidP="001647CF">
      <w:pPr>
        <w:pStyle w:val="mpcNormal"/>
        <w:keepNext w:val="0"/>
      </w:pPr>
    </w:p>
    <w:p w14:paraId="70CCCCCE" w14:textId="096312B1" w:rsidR="0082688E" w:rsidRDefault="009A1B44" w:rsidP="0082688E">
      <w:pPr>
        <w:pStyle w:val="mpcNormal"/>
        <w:keepNext w:val="0"/>
      </w:pPr>
      <w:r w:rsidRPr="001B7536">
        <w:t xml:space="preserve">Some stakeholders have noted that fruit and vegetable juices provide beneficial </w:t>
      </w:r>
      <w:r w:rsidR="000347CF" w:rsidRPr="001B7536">
        <w:t xml:space="preserve">fibre, </w:t>
      </w:r>
      <w:r w:rsidRPr="001B7536">
        <w:t xml:space="preserve">vitamins and nutrients, </w:t>
      </w:r>
      <w:r w:rsidR="0082688E" w:rsidRPr="001B7536">
        <w:t xml:space="preserve">warranting </w:t>
      </w:r>
      <w:r w:rsidRPr="001B7536">
        <w:t>high</w:t>
      </w:r>
      <w:r w:rsidR="0082688E" w:rsidRPr="001B7536">
        <w:t>er</w:t>
      </w:r>
      <w:r w:rsidRPr="001B7536">
        <w:t xml:space="preserve"> HSRs. </w:t>
      </w:r>
      <w:r w:rsidR="001272EE" w:rsidRPr="001B7536">
        <w:t xml:space="preserve">There is evidence to suggest that </w:t>
      </w:r>
      <w:r w:rsidR="00C01129" w:rsidRPr="001B7536">
        <w:t xml:space="preserve">consumers perceive fruit juices as </w:t>
      </w:r>
      <w:r w:rsidR="001272EE" w:rsidRPr="001B7536">
        <w:t xml:space="preserve">healthier than </w:t>
      </w:r>
      <w:r w:rsidR="00C01129" w:rsidRPr="001B7536">
        <w:t xml:space="preserve">other </w:t>
      </w:r>
      <w:r w:rsidR="00D03694">
        <w:t xml:space="preserve">similarly sugary </w:t>
      </w:r>
      <w:r w:rsidR="00C01129" w:rsidRPr="001B7536">
        <w:t>non</w:t>
      </w:r>
      <w:r w:rsidR="00C01129" w:rsidRPr="001B7536">
        <w:noBreakHyphen/>
        <w:t>dairy beverages.</w:t>
      </w:r>
      <w:r w:rsidR="00C01129" w:rsidRPr="001B7536">
        <w:rPr>
          <w:rStyle w:val="FootnoteReference"/>
        </w:rPr>
        <w:footnoteReference w:id="92"/>
      </w:r>
      <w:r w:rsidR="0040639E" w:rsidRPr="001B7536">
        <w:rPr>
          <w:vertAlign w:val="superscript"/>
        </w:rPr>
        <w:t>,</w:t>
      </w:r>
      <w:r w:rsidR="00C01129" w:rsidRPr="001B7536">
        <w:rPr>
          <w:rStyle w:val="FootnoteReference"/>
        </w:rPr>
        <w:footnoteReference w:id="93"/>
      </w:r>
      <w:r w:rsidR="0040639E" w:rsidRPr="001B7536">
        <w:rPr>
          <w:vertAlign w:val="superscript"/>
        </w:rPr>
        <w:t>,</w:t>
      </w:r>
      <w:r w:rsidR="00C01129" w:rsidRPr="001B7536">
        <w:rPr>
          <w:rStyle w:val="FootnoteReference"/>
        </w:rPr>
        <w:footnoteReference w:id="94"/>
      </w:r>
      <w:r w:rsidR="0040639E" w:rsidRPr="001B7536">
        <w:rPr>
          <w:vertAlign w:val="superscript"/>
        </w:rPr>
        <w:t>,</w:t>
      </w:r>
      <w:r w:rsidR="00C01129" w:rsidRPr="001B7536">
        <w:rPr>
          <w:rStyle w:val="FootnoteReference"/>
        </w:rPr>
        <w:footnoteReference w:id="95"/>
      </w:r>
      <w:r w:rsidR="00C01129" w:rsidRPr="001B7536">
        <w:t xml:space="preserve"> One study found that 41% of South Australians believed juices contain less sugars than other sugary no</w:t>
      </w:r>
      <w:r w:rsidR="0040639E" w:rsidRPr="001B7536">
        <w:t>n</w:t>
      </w:r>
      <w:r w:rsidR="00C01129" w:rsidRPr="001B7536">
        <w:t>-dairy beverages, despite being comparable in sugars content.</w:t>
      </w:r>
      <w:r w:rsidR="00C01129" w:rsidRPr="001B7536">
        <w:rPr>
          <w:rStyle w:val="FootnoteReference"/>
        </w:rPr>
        <w:footnoteReference w:id="96"/>
      </w:r>
      <w:r w:rsidR="00C01129" w:rsidRPr="00C01129">
        <w:t xml:space="preserve"> </w:t>
      </w:r>
    </w:p>
    <w:p w14:paraId="0A8608B0" w14:textId="3CCDB7FE" w:rsidR="00024FD4" w:rsidRDefault="00024FD4" w:rsidP="00CD1F86">
      <w:pPr>
        <w:pStyle w:val="mpcNormal"/>
        <w:keepNext w:val="0"/>
        <w:rPr>
          <w:b/>
          <w:bCs/>
          <w:iCs/>
        </w:rPr>
      </w:pPr>
    </w:p>
    <w:p w14:paraId="0FF8BD43" w14:textId="77777777" w:rsidR="0082688E" w:rsidRDefault="00D36202" w:rsidP="0082688E">
      <w:pPr>
        <w:pStyle w:val="mpcNormal"/>
        <w:keepNext w:val="0"/>
      </w:pPr>
      <w:r>
        <w:t xml:space="preserve">Despite differences of opinion regarding the value of fruit juices in the diet, stakeholders broadly agreed the HSR </w:t>
      </w:r>
      <w:r w:rsidR="00331057">
        <w:t xml:space="preserve">System </w:t>
      </w:r>
      <w:r>
        <w:t>is not working well for non-dairy beverages and that c</w:t>
      </w:r>
      <w:r w:rsidRPr="00CC1ADD">
        <w:t>onsumers should be encouraged to</w:t>
      </w:r>
      <w:r w:rsidR="0082688E">
        <w:t>:</w:t>
      </w:r>
    </w:p>
    <w:p w14:paraId="4458231C" w14:textId="77777777" w:rsidR="0082688E" w:rsidRDefault="0082688E" w:rsidP="0082688E">
      <w:pPr>
        <w:pStyle w:val="mpcNormal"/>
        <w:keepNext w:val="0"/>
      </w:pPr>
    </w:p>
    <w:p w14:paraId="34DBF1B1" w14:textId="77777777" w:rsidR="0082688E" w:rsidRDefault="00D36202" w:rsidP="007E0D2C">
      <w:pPr>
        <w:pStyle w:val="mpcbullets1"/>
      </w:pPr>
      <w:r w:rsidRPr="00CC1ADD">
        <w:t xml:space="preserve">drink water or those beverages closest in nutritional profile to water, with the same hydrating qualities and no or low </w:t>
      </w:r>
      <w:r w:rsidR="009F61D7">
        <w:t>kilojoules</w:t>
      </w:r>
      <w:r w:rsidRPr="00CC1ADD">
        <w:t xml:space="preserve"> (</w:t>
      </w:r>
      <w:r w:rsidR="0030513A">
        <w:t>for example,</w:t>
      </w:r>
      <w:r w:rsidR="0030513A" w:rsidRPr="00CC1ADD">
        <w:t xml:space="preserve"> </w:t>
      </w:r>
      <w:r w:rsidRPr="00CC1ADD">
        <w:t>flavoured waters</w:t>
      </w:r>
      <w:r w:rsidR="00D0663A">
        <w:t xml:space="preserve"> with no sugars</w:t>
      </w:r>
      <w:r w:rsidRPr="00CC1ADD">
        <w:t>)</w:t>
      </w:r>
    </w:p>
    <w:p w14:paraId="7D82301E" w14:textId="66D794DA" w:rsidR="00D36202" w:rsidRDefault="0082688E" w:rsidP="007E0D2C">
      <w:pPr>
        <w:pStyle w:val="mpcbullets1"/>
      </w:pPr>
      <w:r>
        <w:t>select beverages low in sugars and energy.</w:t>
      </w:r>
    </w:p>
    <w:p w14:paraId="067CE8D0" w14:textId="77777777" w:rsidR="00D36202" w:rsidRDefault="00D36202" w:rsidP="00CD1F86">
      <w:pPr>
        <w:pStyle w:val="mpcNormal"/>
        <w:keepNext w:val="0"/>
        <w:widowControl w:val="0"/>
      </w:pPr>
    </w:p>
    <w:p w14:paraId="6C5F1306" w14:textId="79768C64" w:rsidR="00050E4E" w:rsidRDefault="00050E4E" w:rsidP="00050E4E">
      <w:pPr>
        <w:pStyle w:val="mpcNormal"/>
        <w:keepNext w:val="0"/>
      </w:pPr>
      <w:r>
        <w:t>A wide range of options were tested throughout the Review t</w:t>
      </w:r>
      <w:r w:rsidR="00D36202" w:rsidRPr="00CC1ADD">
        <w:t>o improve the relative HSRs of non-dairy beverages when compared across the category</w:t>
      </w:r>
      <w:r w:rsidR="00C95717">
        <w:t xml:space="preserve">. These are detailed at </w:t>
      </w:r>
      <w:r w:rsidR="00C95717" w:rsidRPr="000347CF">
        <w:rPr>
          <w:u w:val="single"/>
        </w:rPr>
        <w:t xml:space="preserve">Appendix </w:t>
      </w:r>
      <w:r w:rsidR="00F37134">
        <w:rPr>
          <w:u w:val="single"/>
        </w:rPr>
        <w:t>D</w:t>
      </w:r>
      <w:r w:rsidR="00C95717">
        <w:t>.</w:t>
      </w:r>
    </w:p>
    <w:p w14:paraId="32FBE845" w14:textId="3A658430" w:rsidR="00975FE3" w:rsidRDefault="00975FE3" w:rsidP="0017608D">
      <w:pPr>
        <w:pStyle w:val="mpcNormal"/>
        <w:keepNext w:val="0"/>
      </w:pPr>
    </w:p>
    <w:p w14:paraId="69B8578F" w14:textId="3ABB218E" w:rsidR="00BE0D83" w:rsidRDefault="00C150AC" w:rsidP="0017608D">
      <w:pPr>
        <w:pStyle w:val="mpcNormal"/>
        <w:keepNext w:val="0"/>
      </w:pPr>
      <w:r>
        <w:t xml:space="preserve">Based on </w:t>
      </w:r>
      <w:r w:rsidR="000347CF">
        <w:t>modelling</w:t>
      </w:r>
      <w:r>
        <w:t xml:space="preserve"> and </w:t>
      </w:r>
      <w:r w:rsidR="00FC6833">
        <w:t xml:space="preserve">in response to </w:t>
      </w:r>
      <w:r>
        <w:t>stakeholder feedback</w:t>
      </w:r>
      <w:r w:rsidR="0082688E">
        <w:t xml:space="preserve"> on the draft Review Report</w:t>
      </w:r>
      <w:r>
        <w:t xml:space="preserve">, </w:t>
      </w:r>
      <w:r w:rsidR="0082688E">
        <w:t xml:space="preserve">the Review </w:t>
      </w:r>
      <w:r>
        <w:t xml:space="preserve">recommendation </w:t>
      </w:r>
      <w:r w:rsidR="0082688E">
        <w:t xml:space="preserve">has been </w:t>
      </w:r>
      <w:r w:rsidR="000347CF">
        <w:t>further refined</w:t>
      </w:r>
      <w:r w:rsidR="00FC6833">
        <w:t>.</w:t>
      </w:r>
      <w:r w:rsidR="00265B62">
        <w:t xml:space="preserve"> </w:t>
      </w:r>
    </w:p>
    <w:p w14:paraId="7552C9E6" w14:textId="77777777" w:rsidR="0017589C" w:rsidRPr="00CC1ADD" w:rsidRDefault="0017589C" w:rsidP="0017608D">
      <w:pPr>
        <w:pStyle w:val="mpcNormal"/>
        <w:keepNext w:val="0"/>
      </w:pPr>
    </w:p>
    <w:tbl>
      <w:tblPr>
        <w:tblStyle w:val="TableGrid"/>
        <w:tblW w:w="0" w:type="auto"/>
        <w:tblLook w:val="04A0" w:firstRow="1" w:lastRow="0" w:firstColumn="1" w:lastColumn="0" w:noHBand="0" w:noVBand="1"/>
        <w:tblCaption w:val="Rec 5"/>
        <w:tblDescription w:val="Recommendation 5:  Changes be made to the way the HSR is calculated for non-dairy beverages, based on adjusted total sugars, energy and FVNL points to better discern water (and beverages similar in nutritional profile to water) from high energy drinks."/>
      </w:tblPr>
      <w:tblGrid>
        <w:gridCol w:w="9736"/>
      </w:tblGrid>
      <w:tr w:rsidR="00D36202" w:rsidRPr="00CC1ADD" w14:paraId="674CA998" w14:textId="77777777" w:rsidTr="004A6A27">
        <w:trPr>
          <w:trHeight w:val="993"/>
        </w:trPr>
        <w:tc>
          <w:tcPr>
            <w:tcW w:w="9736" w:type="dxa"/>
            <w:tcBorders>
              <w:top w:val="single" w:sz="2" w:space="0" w:color="auto"/>
              <w:left w:val="single" w:sz="2" w:space="0" w:color="auto"/>
              <w:bottom w:val="single" w:sz="2" w:space="0" w:color="auto"/>
              <w:right w:val="single" w:sz="2" w:space="0" w:color="auto"/>
            </w:tcBorders>
            <w:shd w:val="clear" w:color="auto" w:fill="D9E2F3" w:themeFill="accent1" w:themeFillTint="33"/>
            <w:vAlign w:val="center"/>
          </w:tcPr>
          <w:p w14:paraId="35144FF8" w14:textId="690118B8" w:rsidR="00D36202" w:rsidRPr="00CC1ADD" w:rsidRDefault="00D36202" w:rsidP="0017608D">
            <w:pPr>
              <w:pStyle w:val="mpcheading4"/>
              <w:keepNext w:val="0"/>
              <w:shd w:val="clear" w:color="auto" w:fill="D9E2F3" w:themeFill="accent1" w:themeFillTint="33"/>
              <w:ind w:left="2127" w:hanging="2127"/>
              <w:rPr>
                <w:rFonts w:cstheme="minorHAnsi"/>
              </w:rPr>
            </w:pPr>
            <w:r w:rsidRPr="00CC1ADD">
              <w:rPr>
                <w:rFonts w:cstheme="minorHAnsi"/>
              </w:rPr>
              <w:t>Recommendation</w:t>
            </w:r>
            <w:r w:rsidR="00C85324">
              <w:rPr>
                <w:rFonts w:cstheme="minorHAnsi"/>
              </w:rPr>
              <w:t xml:space="preserve"> 5</w:t>
            </w:r>
            <w:r w:rsidRPr="00CC1ADD">
              <w:rPr>
                <w:rFonts w:cstheme="minorHAnsi"/>
              </w:rPr>
              <w:t xml:space="preserve">: </w:t>
            </w:r>
            <w:r w:rsidRPr="00CC1ADD">
              <w:rPr>
                <w:rFonts w:cstheme="minorHAnsi"/>
              </w:rPr>
              <w:tab/>
            </w:r>
            <w:r w:rsidR="00372E4A">
              <w:rPr>
                <w:rFonts w:cstheme="minorHAnsi"/>
              </w:rPr>
              <w:t xml:space="preserve">Changes be made to the way the HSR is calculated </w:t>
            </w:r>
            <w:r w:rsidRPr="00CC1ADD">
              <w:rPr>
                <w:rFonts w:cstheme="minorHAnsi"/>
              </w:rPr>
              <w:t xml:space="preserve">for non-dairy beverages, based on adjusted </w:t>
            </w:r>
            <w:r w:rsidR="00226420">
              <w:rPr>
                <w:rFonts w:cstheme="minorHAnsi"/>
              </w:rPr>
              <w:t xml:space="preserve">total </w:t>
            </w:r>
            <w:r w:rsidRPr="00CC1ADD">
              <w:rPr>
                <w:rFonts w:cstheme="minorHAnsi"/>
              </w:rPr>
              <w:t>sugars, energy and FVNL points to better discern water (and beverages similar in nutritional profile to water) from high energy drinks.</w:t>
            </w:r>
          </w:p>
        </w:tc>
      </w:tr>
    </w:tbl>
    <w:p w14:paraId="03131785" w14:textId="77777777" w:rsidR="00D36202" w:rsidRPr="00CC1ADD" w:rsidRDefault="00D36202" w:rsidP="0017608D">
      <w:pPr>
        <w:pStyle w:val="mpcNormal"/>
        <w:keepNext w:val="0"/>
      </w:pPr>
    </w:p>
    <w:p w14:paraId="25329E65" w14:textId="0A10A6FF" w:rsidR="00050E4E" w:rsidRDefault="00D0663A" w:rsidP="005A25A2">
      <w:pPr>
        <w:pStyle w:val="mpcNormal"/>
        <w:keepNext w:val="0"/>
      </w:pPr>
      <w:r>
        <w:t xml:space="preserve">It is recommended that the HSR Calculator </w:t>
      </w:r>
      <w:r w:rsidR="0082688E">
        <w:t>be</w:t>
      </w:r>
      <w:r>
        <w:t xml:space="preserve"> adjusted </w:t>
      </w:r>
      <w:r w:rsidRPr="00050E4E">
        <w:t>specifically for the non</w:t>
      </w:r>
      <w:r w:rsidRPr="00050E4E">
        <w:noBreakHyphen/>
        <w:t>dairy beverages category (HSR Category 1) to account for the limited variety of nutrients driving the HSRs in this Category. This is achieved by:</w:t>
      </w:r>
    </w:p>
    <w:p w14:paraId="172CAB0B" w14:textId="450C41B6" w:rsidR="00226420" w:rsidRPr="00050E4E" w:rsidRDefault="00226420" w:rsidP="005A25A2">
      <w:pPr>
        <w:pStyle w:val="mpcNormal"/>
        <w:keepNext w:val="0"/>
      </w:pPr>
    </w:p>
    <w:p w14:paraId="34400513" w14:textId="77777777" w:rsidR="00333576" w:rsidRPr="00333576" w:rsidRDefault="00BA35A1" w:rsidP="007E0D2C">
      <w:pPr>
        <w:pStyle w:val="mpcbullets1"/>
        <w:rPr>
          <w:rStyle w:val="Hyperlink"/>
          <w:color w:val="000000"/>
          <w:u w:val="none"/>
        </w:rPr>
      </w:pPr>
      <w:r w:rsidRPr="00050E4E">
        <w:t xml:space="preserve">maintaining the current policy position such that an automatic HSR of 5 applies to packaged </w:t>
      </w:r>
      <w:r w:rsidR="001F1A1F" w:rsidRPr="00050E4E">
        <w:t xml:space="preserve">plain still or carbonated </w:t>
      </w:r>
      <w:r w:rsidRPr="00050E4E">
        <w:t>water as regulated in</w:t>
      </w:r>
      <w:r w:rsidR="001B7452">
        <w:t xml:space="preserve"> the Code</w:t>
      </w:r>
      <w:r w:rsidRPr="00050E4E">
        <w:t xml:space="preserve"> </w:t>
      </w:r>
      <w:hyperlink r:id="rId74" w:history="1">
        <w:r w:rsidRPr="00050E4E">
          <w:rPr>
            <w:rStyle w:val="Hyperlink"/>
            <w:i/>
          </w:rPr>
          <w:t>Standard 2.6.2 Non-alcoholic beverages and brewed soft drinks</w:t>
        </w:r>
      </w:hyperlink>
      <w:r w:rsidRPr="00050E4E">
        <w:rPr>
          <w:rStyle w:val="Hyperlink"/>
          <w:i/>
        </w:rPr>
        <w:t xml:space="preserve"> </w:t>
      </w:r>
    </w:p>
    <w:p w14:paraId="00A8E816" w14:textId="40806C24" w:rsidR="00226420" w:rsidRPr="00050E4E" w:rsidRDefault="00226420" w:rsidP="007E0D2C">
      <w:pPr>
        <w:pStyle w:val="mpcbullets1"/>
      </w:pPr>
      <w:r w:rsidRPr="00050E4E">
        <w:t>including an additional policy</w:t>
      </w:r>
      <w:r w:rsidR="007E3016" w:rsidRPr="00050E4E">
        <w:t xml:space="preserve"> position</w:t>
      </w:r>
      <w:r w:rsidRPr="00050E4E">
        <w:t xml:space="preserve"> to increase the HSRs of</w:t>
      </w:r>
      <w:r w:rsidR="00BA35A1" w:rsidRPr="00050E4E">
        <w:t xml:space="preserve"> </w:t>
      </w:r>
      <w:r w:rsidR="001F1A1F" w:rsidRPr="00050E4E">
        <w:t xml:space="preserve">still or carbonated </w:t>
      </w:r>
      <w:r w:rsidR="00BA35A1" w:rsidRPr="00050E4E">
        <w:t xml:space="preserve">flavoured </w:t>
      </w:r>
      <w:r w:rsidRPr="00050E4E">
        <w:t>waters</w:t>
      </w:r>
      <w:r w:rsidR="00AD7D17">
        <w:t xml:space="preserve"> (with no added sugar)</w:t>
      </w:r>
      <w:r w:rsidR="000347CF">
        <w:t xml:space="preserve"> to HSR of 4.5</w:t>
      </w:r>
      <w:r w:rsidR="00333576">
        <w:t xml:space="preserve">. </w:t>
      </w:r>
      <w:r w:rsidR="00333576" w:rsidRPr="00050E4E">
        <w:t xml:space="preserve">As waters (flavoured and unflavoured) have no nutrients, this result cannot be reached solely through </w:t>
      </w:r>
      <w:r w:rsidR="00333576">
        <w:t>manipulation</w:t>
      </w:r>
      <w:r w:rsidR="00333576" w:rsidRPr="00050E4E">
        <w:t xml:space="preserve"> of the</w:t>
      </w:r>
      <w:r w:rsidR="00333576">
        <w:t xml:space="preserve"> existing</w:t>
      </w:r>
      <w:r w:rsidR="00333576" w:rsidRPr="00050E4E">
        <w:t xml:space="preserve"> HSR Calculator</w:t>
      </w:r>
    </w:p>
    <w:p w14:paraId="67B527CD" w14:textId="4F1D766C" w:rsidR="00BA35A1" w:rsidRPr="0017608D" w:rsidRDefault="00226420" w:rsidP="007E0D2C">
      <w:pPr>
        <w:pStyle w:val="mpcbullets1"/>
      </w:pPr>
      <w:r w:rsidRPr="00050E4E">
        <w:t xml:space="preserve">using </w:t>
      </w:r>
      <w:r w:rsidR="000347CF">
        <w:t>a new points table for all other non-dairy beverages</w:t>
      </w:r>
      <w:r w:rsidR="00333576">
        <w:t>. The proposed</w:t>
      </w:r>
      <w:r w:rsidRPr="00050E4E">
        <w:t xml:space="preserve"> points table</w:t>
      </w:r>
      <w:r w:rsidR="00333576">
        <w:t xml:space="preserve"> is based on the</w:t>
      </w:r>
      <w:r w:rsidR="00333576" w:rsidRPr="00050E4E">
        <w:t xml:space="preserve"> </w:t>
      </w:r>
      <w:r w:rsidR="001B7536">
        <w:t xml:space="preserve">French </w:t>
      </w:r>
      <w:r w:rsidR="00333576" w:rsidRPr="00050E4E">
        <w:t>Nutri-Score System</w:t>
      </w:r>
      <w:r w:rsidR="00333576">
        <w:t xml:space="preserve"> (</w:t>
      </w:r>
      <w:r w:rsidRPr="00050E4E">
        <w:t>fo</w:t>
      </w:r>
      <w:r w:rsidR="00333576">
        <w:t>cused on</w:t>
      </w:r>
      <w:r w:rsidRPr="00050E4E">
        <w:t xml:space="preserve"> total sugars</w:t>
      </w:r>
      <w:r w:rsidR="00BA35A1" w:rsidRPr="00050E4E">
        <w:t xml:space="preserve"> and</w:t>
      </w:r>
      <w:r w:rsidRPr="00050E4E">
        <w:t xml:space="preserve"> energy</w:t>
      </w:r>
      <w:r w:rsidR="00333576">
        <w:t xml:space="preserve">) but with adjustments </w:t>
      </w:r>
      <w:r w:rsidR="00BA35A1" w:rsidRPr="00050E4E">
        <w:t xml:space="preserve">for FVNL </w:t>
      </w:r>
      <w:r w:rsidR="001B7452">
        <w:t>based on Australian and New Zealand regulations regarding fruit and vegetable drinks and juices.</w:t>
      </w:r>
    </w:p>
    <w:p w14:paraId="16DC656A" w14:textId="4FF98F38" w:rsidR="005A162A" w:rsidRDefault="005A162A" w:rsidP="0017608D">
      <w:pPr>
        <w:pStyle w:val="mpcNormal"/>
        <w:keepNext w:val="0"/>
      </w:pPr>
    </w:p>
    <w:p w14:paraId="33F83C33" w14:textId="43C4231E" w:rsidR="00FC6833" w:rsidRDefault="00FC6833" w:rsidP="00FC6833">
      <w:pPr>
        <w:pStyle w:val="mpcheading4"/>
      </w:pPr>
      <w:r>
        <w:t>Definition of flavoured waters</w:t>
      </w:r>
    </w:p>
    <w:p w14:paraId="5683FFA0" w14:textId="618552AA" w:rsidR="00FC6833" w:rsidRDefault="00FC6833" w:rsidP="0017608D">
      <w:pPr>
        <w:pStyle w:val="mpcNormal"/>
        <w:keepNext w:val="0"/>
      </w:pPr>
    </w:p>
    <w:p w14:paraId="52C12217" w14:textId="55E35B98" w:rsidR="00FC6833" w:rsidRDefault="00333576" w:rsidP="0017608D">
      <w:pPr>
        <w:pStyle w:val="mpcNormal"/>
        <w:keepNext w:val="0"/>
      </w:pPr>
      <w:r>
        <w:t>It is proposed that flavoured waters be tightly defined as</w:t>
      </w:r>
      <w:r w:rsidR="00FC6833">
        <w:t>:</w:t>
      </w:r>
    </w:p>
    <w:p w14:paraId="07F72D1B" w14:textId="77777777" w:rsidR="00FC6833" w:rsidRDefault="00FC6833" w:rsidP="0017608D">
      <w:pPr>
        <w:pStyle w:val="mpcNormal"/>
        <w:keepNext w:val="0"/>
      </w:pPr>
    </w:p>
    <w:p w14:paraId="42BCD6B2" w14:textId="7077F7E8" w:rsidR="00FC6833" w:rsidRPr="001B7536" w:rsidRDefault="00FC6833" w:rsidP="007E0D2C">
      <w:pPr>
        <w:pStyle w:val="mpcbullets1"/>
      </w:pPr>
      <w:r w:rsidRPr="001B7536">
        <w:t xml:space="preserve">Products </w:t>
      </w:r>
      <w:r w:rsidR="001B7536">
        <w:t xml:space="preserve">must be </w:t>
      </w:r>
      <w:r w:rsidRPr="001B7536">
        <w:t xml:space="preserve">sold as flavoured waters as appropriate </w:t>
      </w:r>
      <w:r w:rsidR="001B7536">
        <w:t xml:space="preserve">and </w:t>
      </w:r>
      <w:r w:rsidRPr="001B7536">
        <w:t>can be uncarbonated, carbonated, mineralised or soda waters that are unsweetened (as defined by</w:t>
      </w:r>
      <w:r w:rsidR="001B7452" w:rsidRPr="001B7536">
        <w:t xml:space="preserve"> the Code</w:t>
      </w:r>
      <w:r w:rsidRPr="001B7536">
        <w:t xml:space="preserve"> </w:t>
      </w:r>
      <w:hyperlink r:id="rId75" w:history="1">
        <w:r w:rsidRPr="001B7536">
          <w:rPr>
            <w:rStyle w:val="Hyperlink"/>
            <w:i/>
          </w:rPr>
          <w:t>Schedule 4-3 Conditions for nutrient content claims</w:t>
        </w:r>
      </w:hyperlink>
      <w:r w:rsidRPr="001B7536">
        <w:t xml:space="preserve">) and contain only </w:t>
      </w:r>
      <w:r w:rsidR="00333576" w:rsidRPr="001B7536">
        <w:t xml:space="preserve">the </w:t>
      </w:r>
      <w:r w:rsidRPr="001B7536">
        <w:t xml:space="preserve">addition of substances at Good Manufacturing Practice (GMP) as per </w:t>
      </w:r>
      <w:r w:rsidR="001B7452" w:rsidRPr="001B7536">
        <w:t xml:space="preserve">the Code </w:t>
      </w:r>
      <w:hyperlink r:id="rId76" w:history="1">
        <w:r w:rsidRPr="001B7536">
          <w:rPr>
            <w:rStyle w:val="Hyperlink"/>
            <w:i/>
          </w:rPr>
          <w:t>Schedule 16 Types of substances that may be used as food additives</w:t>
        </w:r>
      </w:hyperlink>
      <w:r w:rsidRPr="001B7536">
        <w:t>, with nothing else added. </w:t>
      </w:r>
    </w:p>
    <w:p w14:paraId="1AA64AEA" w14:textId="77777777" w:rsidR="001B7452" w:rsidRDefault="001B7452" w:rsidP="001B7452">
      <w:pPr>
        <w:pStyle w:val="mpcNormal"/>
        <w:keepNext w:val="0"/>
      </w:pPr>
    </w:p>
    <w:p w14:paraId="7894A069" w14:textId="77777777" w:rsidR="001B7452" w:rsidRDefault="001B7452" w:rsidP="001B7452">
      <w:pPr>
        <w:pStyle w:val="mpcNormal"/>
        <w:keepNext w:val="0"/>
      </w:pPr>
      <w:r>
        <w:t xml:space="preserve">The Code </w:t>
      </w:r>
      <w:hyperlink r:id="rId77" w:history="1">
        <w:r w:rsidRPr="00227074">
          <w:rPr>
            <w:rStyle w:val="Hyperlink"/>
            <w:i/>
          </w:rPr>
          <w:t>Schedule 16 Types of substances that may be used as food additives</w:t>
        </w:r>
      </w:hyperlink>
      <w:r>
        <w:t xml:space="preserve"> describes the types of ingredients that may be added to foods at GMP</w:t>
      </w:r>
      <w:r>
        <w:rPr>
          <w:rStyle w:val="FootnoteReference"/>
        </w:rPr>
        <w:footnoteReference w:id="97"/>
      </w:r>
      <w:r>
        <w:t xml:space="preserve"> for specific purposes. </w:t>
      </w:r>
    </w:p>
    <w:p w14:paraId="78DADF31" w14:textId="77777777" w:rsidR="001B7452" w:rsidRDefault="001B7452" w:rsidP="001B7452">
      <w:pPr>
        <w:pStyle w:val="mpcNormal"/>
        <w:keepNext w:val="0"/>
      </w:pPr>
    </w:p>
    <w:tbl>
      <w:tblPr>
        <w:tblStyle w:val="TableGrid"/>
        <w:tblW w:w="0" w:type="auto"/>
        <w:tblLook w:val="04A0" w:firstRow="1" w:lastRow="0" w:firstColumn="1" w:lastColumn="0" w:noHBand="0" w:noVBand="1"/>
        <w:tblCaption w:val="Definition of GMP"/>
        <w:tblDescription w:val="Table explains what GMP means for substances used as food additives."/>
      </w:tblPr>
      <w:tblGrid>
        <w:gridCol w:w="9736"/>
      </w:tblGrid>
      <w:tr w:rsidR="001B7452" w14:paraId="27E03CB3" w14:textId="77777777" w:rsidTr="001B7536">
        <w:trPr>
          <w:trHeight w:val="2899"/>
        </w:trPr>
        <w:tc>
          <w:tcPr>
            <w:tcW w:w="9736" w:type="dxa"/>
            <w:shd w:val="clear" w:color="auto" w:fill="F2F2F2" w:themeFill="background1" w:themeFillShade="F2"/>
            <w:vAlign w:val="center"/>
          </w:tcPr>
          <w:p w14:paraId="7FB14F29" w14:textId="77777777" w:rsidR="001B7452" w:rsidRDefault="001B7452" w:rsidP="00BF476F">
            <w:pPr>
              <w:pStyle w:val="mpcNormal"/>
              <w:keepNext w:val="0"/>
            </w:pPr>
            <w:r w:rsidRPr="00D0663A">
              <w:t>GMP</w:t>
            </w:r>
            <w:r>
              <w:t>,</w:t>
            </w:r>
            <w:r w:rsidRPr="00D0663A">
              <w:t> with respect to the addition of substances used as food additives and substances used as processing aids to food, means the practice of:</w:t>
            </w:r>
          </w:p>
          <w:p w14:paraId="5036DB8B" w14:textId="77777777" w:rsidR="001B7452" w:rsidRDefault="001B7452" w:rsidP="00BF476F">
            <w:pPr>
              <w:pStyle w:val="mpcNormal"/>
              <w:keepNext w:val="0"/>
            </w:pPr>
          </w:p>
          <w:p w14:paraId="639142E1" w14:textId="77777777" w:rsidR="001B7452" w:rsidRDefault="001B7452" w:rsidP="007E0D2C">
            <w:pPr>
              <w:pStyle w:val="mpcbullets1"/>
              <w:rPr>
                <w:rFonts w:eastAsiaTheme="minorHAnsi"/>
              </w:rPr>
            </w:pPr>
            <w:r w:rsidRPr="00D0663A">
              <w:t>limiting</w:t>
            </w:r>
            <w:r w:rsidRPr="00D0663A">
              <w:rPr>
                <w:rFonts w:eastAsiaTheme="minorHAnsi"/>
              </w:rPr>
              <w:t xml:space="preserve"> the amount of substance that is added to food to the lowest possible level necessary to accomplish its desired effect</w:t>
            </w:r>
          </w:p>
          <w:p w14:paraId="56BF9458" w14:textId="77777777" w:rsidR="001B7452" w:rsidRPr="00D0663A" w:rsidRDefault="001B7452" w:rsidP="007E0D2C">
            <w:pPr>
              <w:pStyle w:val="mpcbullets1"/>
              <w:rPr>
                <w:rFonts w:eastAsiaTheme="minorHAnsi"/>
                <w:color w:val="auto"/>
              </w:rPr>
            </w:pPr>
            <w:r w:rsidRPr="00D0663A">
              <w:rPr>
                <w:rFonts w:eastAsiaTheme="minorHAnsi"/>
              </w:rPr>
              <w:t>to the extent reasonably possible, reducing the amount of the substance or its derivatives that:</w:t>
            </w:r>
          </w:p>
          <w:p w14:paraId="0EAACF4F" w14:textId="77777777" w:rsidR="001B7452" w:rsidRPr="00D0663A" w:rsidRDefault="001B7452" w:rsidP="00173A82">
            <w:pPr>
              <w:pStyle w:val="mpcbullets2"/>
            </w:pPr>
            <w:r w:rsidRPr="00D0663A">
              <w:t>remains as a component of the food as a result of its use in the manufacture, processing or packaging</w:t>
            </w:r>
          </w:p>
          <w:p w14:paraId="49DFCD49" w14:textId="77777777" w:rsidR="001B7452" w:rsidRPr="00D0663A" w:rsidRDefault="001B7452" w:rsidP="00173A82">
            <w:pPr>
              <w:pStyle w:val="mpcbullets2"/>
            </w:pPr>
            <w:r w:rsidRPr="00D0663A">
              <w:t>is not intended to accomplish any physical or other technical effect in the food itself</w:t>
            </w:r>
          </w:p>
          <w:p w14:paraId="29D33D37" w14:textId="77777777" w:rsidR="001B7452" w:rsidRPr="008E7DE1" w:rsidRDefault="001B7452" w:rsidP="007E0D2C">
            <w:pPr>
              <w:pStyle w:val="mpcbullets1"/>
              <w:rPr>
                <w:rFonts w:eastAsiaTheme="minorHAnsi"/>
              </w:rPr>
            </w:pPr>
            <w:r w:rsidRPr="00D0663A">
              <w:rPr>
                <w:rFonts w:eastAsiaTheme="minorHAnsi"/>
              </w:rPr>
              <w:t>preparing and handling the substance in the same way as a food ingredient.</w:t>
            </w:r>
            <w:r>
              <w:rPr>
                <w:rStyle w:val="FootnoteReference"/>
                <w:rFonts w:eastAsiaTheme="minorHAnsi"/>
                <w:color w:val="auto"/>
              </w:rPr>
              <w:footnoteReference w:id="98"/>
            </w:r>
          </w:p>
        </w:tc>
      </w:tr>
    </w:tbl>
    <w:p w14:paraId="60857112" w14:textId="77777777" w:rsidR="001B7452" w:rsidRDefault="001B7452" w:rsidP="001B7452">
      <w:pPr>
        <w:pStyle w:val="mpcNormal"/>
        <w:keepNext w:val="0"/>
      </w:pPr>
    </w:p>
    <w:p w14:paraId="7A4FBBC4" w14:textId="7A9B56A0" w:rsidR="001B7452" w:rsidRDefault="001B7452" w:rsidP="001B7452">
      <w:pPr>
        <w:pStyle w:val="mpcNormal"/>
        <w:keepNext w:val="0"/>
      </w:pPr>
      <w:r>
        <w:t xml:space="preserve">The substances listed in Schedule 16 include additives permitted at GMP, colourings permitted at GMP and colourings permitted to a maximum level. </w:t>
      </w:r>
      <w:r w:rsidR="008A314D">
        <w:t xml:space="preserve">This includes ‘permitted flavouring substances’ as defined in the Code </w:t>
      </w:r>
      <w:hyperlink r:id="rId78" w:history="1">
        <w:r w:rsidR="008A314D" w:rsidRPr="001530BF">
          <w:rPr>
            <w:rStyle w:val="Hyperlink"/>
            <w:i/>
          </w:rPr>
          <w:t>Standard 1.1.2 Definitions used throughout the Code</w:t>
        </w:r>
      </w:hyperlink>
      <w:r w:rsidR="008A314D">
        <w:t xml:space="preserve">, such as fruit essences or extracts. </w:t>
      </w:r>
      <w:r>
        <w:t xml:space="preserve">These are the additives that FSANZ has not deemed it necessary to place a specific limit on, while the Code </w:t>
      </w:r>
      <w:hyperlink r:id="rId79" w:history="1">
        <w:r w:rsidRPr="00227074">
          <w:rPr>
            <w:rStyle w:val="Hyperlink"/>
            <w:i/>
          </w:rPr>
          <w:t>Schedule 15 Substances that may be used as food additives</w:t>
        </w:r>
      </w:hyperlink>
      <w:r>
        <w:t xml:space="preserve"> lists a wider range of additives and places restrictions and permitted levels on these. </w:t>
      </w:r>
    </w:p>
    <w:p w14:paraId="5FE3548C" w14:textId="77777777" w:rsidR="001B7452" w:rsidRDefault="001B7452" w:rsidP="001B7452">
      <w:pPr>
        <w:pStyle w:val="mpcNormal"/>
        <w:keepNext w:val="0"/>
      </w:pPr>
    </w:p>
    <w:p w14:paraId="340871E0" w14:textId="506173DA" w:rsidR="00333576" w:rsidRDefault="00333576" w:rsidP="001B7452">
      <w:pPr>
        <w:pStyle w:val="mpcNormal"/>
        <w:keepNext w:val="0"/>
      </w:pPr>
      <w:r>
        <w:t>The effect of using the above definition is that:</w:t>
      </w:r>
    </w:p>
    <w:p w14:paraId="45A64FC8" w14:textId="77777777" w:rsidR="00333576" w:rsidRDefault="00333576" w:rsidP="001B7452">
      <w:pPr>
        <w:pStyle w:val="mpcNormal"/>
        <w:keepNext w:val="0"/>
      </w:pPr>
    </w:p>
    <w:p w14:paraId="7D9CB55E" w14:textId="2B51A897" w:rsidR="00333576" w:rsidRDefault="00333576" w:rsidP="007E0D2C">
      <w:pPr>
        <w:pStyle w:val="mpcbullets1"/>
      </w:pPr>
      <w:r>
        <w:t>if s</w:t>
      </w:r>
      <w:r w:rsidR="001B7452">
        <w:t xml:space="preserve">ugars </w:t>
      </w:r>
      <w:r>
        <w:t xml:space="preserve">or </w:t>
      </w:r>
      <w:r w:rsidR="001B7452">
        <w:t>sweeteners</w:t>
      </w:r>
      <w:r>
        <w:t xml:space="preserve"> are added to the water, </w:t>
      </w:r>
      <w:r w:rsidR="00173A82">
        <w:t>it</w:t>
      </w:r>
      <w:r w:rsidR="00D02263">
        <w:t xml:space="preserve"> </w:t>
      </w:r>
      <w:r>
        <w:t xml:space="preserve">would not meet the definition and would not </w:t>
      </w:r>
      <w:r w:rsidR="00173A82">
        <w:t xml:space="preserve">be eligible to </w:t>
      </w:r>
      <w:r>
        <w:t xml:space="preserve">automatically score </w:t>
      </w:r>
      <w:r w:rsidR="00173A82">
        <w:t xml:space="preserve">an HSR of </w:t>
      </w:r>
      <w:r>
        <w:t xml:space="preserve">4.5. This </w:t>
      </w:r>
      <w:r w:rsidR="001B7452">
        <w:t>ensure</w:t>
      </w:r>
      <w:r>
        <w:t>s</w:t>
      </w:r>
      <w:r w:rsidR="001B7452">
        <w:t xml:space="preserve"> that the flavour and nutrient profile of flavoured waters </w:t>
      </w:r>
      <w:r w:rsidR="00173A82">
        <w:t xml:space="preserve">scoring high HSRs </w:t>
      </w:r>
      <w:r w:rsidR="001B7452">
        <w:t>remain as close as possible to that of plain waters</w:t>
      </w:r>
    </w:p>
    <w:p w14:paraId="3C936E2F" w14:textId="607CC426" w:rsidR="006F0AC8" w:rsidRPr="00944C2E" w:rsidRDefault="00944C2E" w:rsidP="007E0D2C">
      <w:pPr>
        <w:pStyle w:val="mpcbullets1"/>
      </w:pPr>
      <w:r w:rsidRPr="00944C2E">
        <w:t>natural or artificial flavourings</w:t>
      </w:r>
      <w:r w:rsidR="00173A82">
        <w:t>,</w:t>
      </w:r>
      <w:r w:rsidRPr="00944C2E">
        <w:t xml:space="preserve"> typically add</w:t>
      </w:r>
      <w:r>
        <w:t>ed in small amounts (&lt;</w:t>
      </w:r>
      <w:r w:rsidRPr="00944C2E">
        <w:t>0.</w:t>
      </w:r>
      <w:r>
        <w:t>5</w:t>
      </w:r>
      <w:r w:rsidRPr="00944C2E">
        <w:t>%</w:t>
      </w:r>
      <w:r>
        <w:t>)</w:t>
      </w:r>
      <w:r w:rsidRPr="00944C2E">
        <w:t xml:space="preserve"> with minimal impact on kilojoules</w:t>
      </w:r>
      <w:r w:rsidR="00173A82">
        <w:t>,</w:t>
      </w:r>
      <w:r w:rsidRPr="00944C2E">
        <w:t xml:space="preserve"> may be added to the </w:t>
      </w:r>
      <w:r w:rsidR="00173A82">
        <w:t>flavoured water to improve taste</w:t>
      </w:r>
    </w:p>
    <w:p w14:paraId="73A815A4" w14:textId="059CD2EC" w:rsidR="00F16FF6" w:rsidRDefault="00F16FF6" w:rsidP="007E0D2C">
      <w:pPr>
        <w:pStyle w:val="mpcbullets1"/>
      </w:pPr>
      <w:r>
        <w:t xml:space="preserve">products such as sparkling waters with natural lemon flavour </w:t>
      </w:r>
      <w:r w:rsidR="00333576">
        <w:t xml:space="preserve">will </w:t>
      </w:r>
      <w:r>
        <w:t>score HSRs of 4.5, while excluding non</w:t>
      </w:r>
      <w:r w:rsidR="001B7536">
        <w:noBreakHyphen/>
      </w:r>
      <w:r>
        <w:t xml:space="preserve">dairy beverages closer in nutritional profile to fruit drinks or diet soft drinks. </w:t>
      </w:r>
    </w:p>
    <w:p w14:paraId="18F1382C" w14:textId="38D0CE6B" w:rsidR="001B7536" w:rsidRDefault="001B7536" w:rsidP="00F16FF6">
      <w:pPr>
        <w:pStyle w:val="mpcNormal"/>
        <w:keepNext w:val="0"/>
      </w:pPr>
    </w:p>
    <w:p w14:paraId="3D8BA89A" w14:textId="12503EEB" w:rsidR="00D03694" w:rsidRDefault="00D03694" w:rsidP="00F16FF6">
      <w:pPr>
        <w:pStyle w:val="mpcNormal"/>
        <w:keepNext w:val="0"/>
      </w:pPr>
      <w:r>
        <w:t>The following case study illustrates how this may apply to products in the market.</w:t>
      </w:r>
    </w:p>
    <w:tbl>
      <w:tblPr>
        <w:tblStyle w:val="TableGrid"/>
        <w:tblW w:w="0" w:type="auto"/>
        <w:tblLook w:val="04A0" w:firstRow="1" w:lastRow="0" w:firstColumn="1" w:lastColumn="0" w:noHBand="0" w:noVBand="1"/>
        <w:tblCaption w:val="Case study "/>
        <w:tblDescription w:val="This table shows an example of how real life products would be impacted by Recommendation 5.&#10;"/>
      </w:tblPr>
      <w:tblGrid>
        <w:gridCol w:w="9736"/>
      </w:tblGrid>
      <w:tr w:rsidR="00F16FF6" w14:paraId="6584E234" w14:textId="77777777" w:rsidTr="001B7536">
        <w:trPr>
          <w:tblHeader/>
        </w:trPr>
        <w:tc>
          <w:tcPr>
            <w:tcW w:w="9736" w:type="dxa"/>
            <w:shd w:val="clear" w:color="auto" w:fill="F2F2F2" w:themeFill="background1" w:themeFillShade="F2"/>
          </w:tcPr>
          <w:p w14:paraId="2694E07F" w14:textId="77777777" w:rsidR="00F16FF6" w:rsidRDefault="00F16FF6" w:rsidP="00217038">
            <w:pPr>
              <w:pStyle w:val="mpcheading4"/>
              <w:keepNext w:val="0"/>
            </w:pPr>
            <w:r>
              <w:t>Case study</w:t>
            </w:r>
          </w:p>
          <w:p w14:paraId="38754007" w14:textId="75585CE1" w:rsidR="00F16FF6" w:rsidRDefault="00F16FF6" w:rsidP="00217038">
            <w:pPr>
              <w:pStyle w:val="mpcNormal"/>
              <w:keepNext w:val="0"/>
            </w:pPr>
          </w:p>
          <w:p w14:paraId="269AD72A" w14:textId="0C571333" w:rsidR="00217038" w:rsidRPr="00BD52A7" w:rsidRDefault="00217038" w:rsidP="00217038">
            <w:pPr>
              <w:pStyle w:val="mpcNormal"/>
              <w:keepNext w:val="0"/>
              <w:rPr>
                <w:u w:val="single"/>
              </w:rPr>
            </w:pPr>
            <w:r w:rsidRPr="00BD52A7">
              <w:rPr>
                <w:u w:val="single"/>
              </w:rPr>
              <w:t>Product 1.</w:t>
            </w:r>
          </w:p>
          <w:p w14:paraId="03884CA5" w14:textId="77777777" w:rsidR="00217038" w:rsidRDefault="00217038" w:rsidP="00217038">
            <w:pPr>
              <w:pStyle w:val="mpcNormal"/>
              <w:keepNext w:val="0"/>
            </w:pPr>
          </w:p>
          <w:p w14:paraId="094B2309" w14:textId="3E6979BF" w:rsidR="00894BA5" w:rsidRDefault="00217038" w:rsidP="00217038">
            <w:pPr>
              <w:pStyle w:val="mpcNormal"/>
              <w:keepNext w:val="0"/>
            </w:pPr>
            <w:r>
              <w:rPr>
                <w:noProof/>
                <w:lang w:eastAsia="en-AU"/>
              </w:rPr>
              <w:drawing>
                <wp:inline distT="0" distB="0" distL="0" distR="0" wp14:anchorId="35A37758" wp14:editId="0CAB344D">
                  <wp:extent cx="5943600" cy="1470025"/>
                  <wp:effectExtent l="0" t="0" r="0" b="0"/>
                  <wp:docPr id="38" name="Picture 38" descr="Label: Mount Franklin Lightly Sparkling spring water with a hint of natural lemon flav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1470025"/>
                          </a:xfrm>
                          <a:prstGeom prst="rect">
                            <a:avLst/>
                          </a:prstGeom>
                        </pic:spPr>
                      </pic:pic>
                    </a:graphicData>
                  </a:graphic>
                </wp:inline>
              </w:drawing>
            </w:r>
          </w:p>
          <w:p w14:paraId="6F7059C5" w14:textId="77777777" w:rsidR="00217038" w:rsidRDefault="00217038" w:rsidP="00217038">
            <w:pPr>
              <w:pStyle w:val="mpcNormal"/>
              <w:keepNext w:val="0"/>
            </w:pPr>
          </w:p>
          <w:p w14:paraId="76A8C47D" w14:textId="7A60C666" w:rsidR="00217038" w:rsidRPr="00217038" w:rsidRDefault="00217038" w:rsidP="00217038">
            <w:pPr>
              <w:pStyle w:val="mpcNormal"/>
              <w:keepNext w:val="0"/>
            </w:pPr>
            <w:r w:rsidRPr="00217038">
              <w:t xml:space="preserve">Mount Franklin Lightly Sparkling Lemon </w:t>
            </w:r>
            <w:r>
              <w:t xml:space="preserve">contains carbonated water and natural flavour. </w:t>
            </w:r>
          </w:p>
          <w:p w14:paraId="5999CA79" w14:textId="6514285D" w:rsidR="00217038" w:rsidRDefault="00217038" w:rsidP="00217038">
            <w:pPr>
              <w:pStyle w:val="mpcNormal"/>
              <w:keepNext w:val="0"/>
            </w:pPr>
            <w:r>
              <w:t>This product would meet the proposed definition of ‘flavoured water’ and be eligible for an automatic HSR of 4.5, as it:</w:t>
            </w:r>
          </w:p>
          <w:p w14:paraId="2C11046F" w14:textId="77777777" w:rsidR="00217038" w:rsidRDefault="00217038" w:rsidP="00217038">
            <w:pPr>
              <w:pStyle w:val="mpcNormal"/>
              <w:keepNext w:val="0"/>
            </w:pPr>
          </w:p>
          <w:p w14:paraId="19527F8F" w14:textId="5161C324" w:rsidR="00217038" w:rsidRPr="00217038" w:rsidRDefault="00217038" w:rsidP="007E0D2C">
            <w:pPr>
              <w:pStyle w:val="mpcbullets1"/>
            </w:pPr>
            <w:r>
              <w:t xml:space="preserve">contains only carbonated water and flavouring substances permitted at GMP under Schedule 16 of the Food Standards Code (in this </w:t>
            </w:r>
            <w:r w:rsidRPr="00217038">
              <w:t>instance natural lemon flavour)</w:t>
            </w:r>
          </w:p>
          <w:p w14:paraId="1641A99C" w14:textId="58D450C1" w:rsidR="00217038" w:rsidRPr="00217038" w:rsidRDefault="00217038" w:rsidP="007E0D2C">
            <w:pPr>
              <w:pStyle w:val="mpcbullets1"/>
            </w:pPr>
            <w:r>
              <w:t xml:space="preserve">is </w:t>
            </w:r>
            <w:r w:rsidRPr="00217038">
              <w:t>marketed and sold as</w:t>
            </w:r>
            <w:r w:rsidR="001530BF">
              <w:t xml:space="preserve"> a</w:t>
            </w:r>
            <w:r w:rsidRPr="00217038">
              <w:t xml:space="preserve"> ‘flavoured water’.</w:t>
            </w:r>
          </w:p>
          <w:p w14:paraId="052628DC" w14:textId="77777777" w:rsidR="00F16FF6" w:rsidRDefault="00F16FF6" w:rsidP="00217038">
            <w:pPr>
              <w:pStyle w:val="mpcNormal"/>
              <w:keepNext w:val="0"/>
            </w:pPr>
          </w:p>
          <w:p w14:paraId="23FA2B02" w14:textId="1AD9123D" w:rsidR="00F16FF6" w:rsidRPr="00BD52A7" w:rsidRDefault="00217038" w:rsidP="001530BF">
            <w:pPr>
              <w:pStyle w:val="mpcNormal"/>
              <w:rPr>
                <w:u w:val="single"/>
              </w:rPr>
            </w:pPr>
            <w:r w:rsidRPr="00BD52A7">
              <w:rPr>
                <w:u w:val="single"/>
              </w:rPr>
              <w:t>Product 2.</w:t>
            </w:r>
          </w:p>
          <w:p w14:paraId="0846AFF5" w14:textId="77777777" w:rsidR="00217038" w:rsidRDefault="00217038" w:rsidP="001530BF">
            <w:pPr>
              <w:pStyle w:val="mpcNormal"/>
            </w:pPr>
          </w:p>
          <w:p w14:paraId="754AA4A8" w14:textId="77777777" w:rsidR="00F16FF6" w:rsidRDefault="00217038" w:rsidP="00217038">
            <w:pPr>
              <w:pStyle w:val="mpcNormal"/>
              <w:keepNext w:val="0"/>
            </w:pPr>
            <w:r w:rsidRPr="00F55081">
              <w:rPr>
                <w:noProof/>
                <w:lang w:eastAsia="en-AU"/>
              </w:rPr>
              <w:drawing>
                <wp:inline distT="0" distB="0" distL="0" distR="0" wp14:anchorId="1BB51EB5" wp14:editId="27A7A077">
                  <wp:extent cx="5943600" cy="1957070"/>
                  <wp:effectExtent l="0" t="0" r="0" b="5080"/>
                  <wp:docPr id="40" name="Picture 40" descr="Label: Deep spring with sparkling natural mineral water - orange and m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1957070"/>
                          </a:xfrm>
                          <a:prstGeom prst="rect">
                            <a:avLst/>
                          </a:prstGeom>
                        </pic:spPr>
                      </pic:pic>
                    </a:graphicData>
                  </a:graphic>
                </wp:inline>
              </w:drawing>
            </w:r>
          </w:p>
          <w:p w14:paraId="527C7902" w14:textId="77777777" w:rsidR="00217038" w:rsidRDefault="00217038" w:rsidP="00217038">
            <w:pPr>
              <w:pStyle w:val="mpcNormal"/>
              <w:keepNext w:val="0"/>
            </w:pPr>
          </w:p>
          <w:p w14:paraId="531EB587" w14:textId="402DBA28" w:rsidR="00217038" w:rsidRDefault="00217038" w:rsidP="00217038">
            <w:pPr>
              <w:pStyle w:val="mpcNormal"/>
              <w:keepNext w:val="0"/>
            </w:pPr>
            <w:r w:rsidRPr="00217038">
              <w:t>Deep Spring Orange &amp; Mango</w:t>
            </w:r>
            <w:r>
              <w:t xml:space="preserve"> contains carbonated water, sugar, juices from concentrate (orange and mango), food acid (330), natural flavour, preservative (211)</w:t>
            </w:r>
            <w:r w:rsidR="002B4B45">
              <w:t xml:space="preserve"> and </w:t>
            </w:r>
            <w:r>
              <w:t>natural colour (120).</w:t>
            </w:r>
          </w:p>
          <w:p w14:paraId="6D475852" w14:textId="77777777" w:rsidR="00217038" w:rsidRDefault="00217038" w:rsidP="00217038">
            <w:pPr>
              <w:pStyle w:val="mpcNormal"/>
              <w:keepNext w:val="0"/>
            </w:pPr>
            <w:bookmarkStart w:id="115" w:name="_Hlk7166191"/>
          </w:p>
          <w:p w14:paraId="64F9505B" w14:textId="78E48BB1" w:rsidR="00217038" w:rsidRDefault="00217038" w:rsidP="00333576">
            <w:pPr>
              <w:pStyle w:val="mpcNormal"/>
              <w:keepNext w:val="0"/>
            </w:pPr>
            <w:r>
              <w:t xml:space="preserve">This product would </w:t>
            </w:r>
            <w:r w:rsidRPr="00217038">
              <w:rPr>
                <w:u w:val="single"/>
              </w:rPr>
              <w:t>not</w:t>
            </w:r>
            <w:r>
              <w:t xml:space="preserve"> meet the proposed definition of ‘flavoured water’ and would </w:t>
            </w:r>
            <w:r w:rsidRPr="00217038">
              <w:rPr>
                <w:u w:val="single"/>
              </w:rPr>
              <w:t>not</w:t>
            </w:r>
            <w:r>
              <w:t xml:space="preserve"> be eligible for an automatic HSR of 4.5, as it contains</w:t>
            </w:r>
            <w:r w:rsidR="00333576">
              <w:t xml:space="preserve"> </w:t>
            </w:r>
            <w:r>
              <w:t>sugars</w:t>
            </w:r>
            <w:r w:rsidR="00333576">
              <w:t xml:space="preserve">, </w:t>
            </w:r>
            <w:r>
              <w:t>juice</w:t>
            </w:r>
            <w:r w:rsidR="00333576">
              <w:t xml:space="preserve">, </w:t>
            </w:r>
            <w:r w:rsidRPr="00217038">
              <w:t xml:space="preserve">preservative (211) </w:t>
            </w:r>
            <w:r w:rsidR="00333576">
              <w:t>(</w:t>
            </w:r>
            <w:r w:rsidRPr="00217038">
              <w:t>not permitted under Schedule 16</w:t>
            </w:r>
            <w:r w:rsidR="00333576">
              <w:t xml:space="preserve">) and is </w:t>
            </w:r>
            <w:bookmarkStart w:id="116" w:name="_Hlk7166392"/>
            <w:bookmarkEnd w:id="115"/>
            <w:r w:rsidRPr="00217038">
              <w:t>marketed and sold as a ‘fruit drink’</w:t>
            </w:r>
            <w:r>
              <w:t>.</w:t>
            </w:r>
          </w:p>
          <w:p w14:paraId="5703C9AC" w14:textId="77777777" w:rsidR="00217038" w:rsidRPr="00217038" w:rsidRDefault="00217038" w:rsidP="00217038">
            <w:pPr>
              <w:pStyle w:val="mpcNormal"/>
              <w:keepNext w:val="0"/>
            </w:pPr>
          </w:p>
          <w:p w14:paraId="4B8C94D7" w14:textId="70615D3F" w:rsidR="00217038" w:rsidRDefault="00217038" w:rsidP="00217038">
            <w:pPr>
              <w:pStyle w:val="mpcNormal"/>
              <w:keepNext w:val="0"/>
            </w:pPr>
            <w:r>
              <w:t xml:space="preserve">Deep Spring Orange &amp; Mango would </w:t>
            </w:r>
            <w:r w:rsidR="00BD52A7">
              <w:t xml:space="preserve">use the HSR Calculator for Category 1 to determine the HSR and would </w:t>
            </w:r>
            <w:r>
              <w:t>score an HSR of 1.5 stars.</w:t>
            </w:r>
          </w:p>
          <w:bookmarkEnd w:id="116"/>
          <w:p w14:paraId="4F50B036" w14:textId="674162E9" w:rsidR="00217038" w:rsidRDefault="00217038" w:rsidP="004A4C62">
            <w:pPr>
              <w:pStyle w:val="mpcNormal"/>
              <w:keepNext w:val="0"/>
            </w:pPr>
          </w:p>
        </w:tc>
      </w:tr>
    </w:tbl>
    <w:p w14:paraId="4F82ABB4" w14:textId="77777777" w:rsidR="00FC6833" w:rsidRDefault="00FC6833" w:rsidP="0017608D">
      <w:pPr>
        <w:pStyle w:val="mpcNormal"/>
        <w:keepNext w:val="0"/>
      </w:pPr>
    </w:p>
    <w:p w14:paraId="52B11B62" w14:textId="577C140A" w:rsidR="005A162A" w:rsidRDefault="005A162A" w:rsidP="00217038">
      <w:pPr>
        <w:pStyle w:val="mpcNormal"/>
        <w:rPr>
          <w:b/>
        </w:rPr>
      </w:pPr>
      <w:r>
        <w:rPr>
          <w:b/>
        </w:rPr>
        <w:t>Points tables</w:t>
      </w:r>
    </w:p>
    <w:p w14:paraId="4E19AF4E" w14:textId="4A671DD9" w:rsidR="005A162A" w:rsidRDefault="005A162A" w:rsidP="00217038">
      <w:pPr>
        <w:pStyle w:val="mpcNormal"/>
        <w:rPr>
          <w:b/>
        </w:rPr>
      </w:pPr>
    </w:p>
    <w:p w14:paraId="67616738" w14:textId="1B946E69" w:rsidR="005A162A" w:rsidRPr="00CC1ADD" w:rsidRDefault="005A162A" w:rsidP="00217038">
      <w:pPr>
        <w:pStyle w:val="mpcNormal"/>
      </w:pPr>
      <w:r w:rsidRPr="00CC1ADD">
        <w:t>The proposed points tables for calculating HSRs for</w:t>
      </w:r>
      <w:r w:rsidR="00F37134">
        <w:t xml:space="preserve"> non-dairy beverages (</w:t>
      </w:r>
      <w:r w:rsidRPr="00CC1ADD">
        <w:t>HSR Category 1</w:t>
      </w:r>
      <w:r w:rsidR="00F37134">
        <w:t>)</w:t>
      </w:r>
      <w:r w:rsidRPr="00CC1ADD">
        <w:t xml:space="preserve"> are at </w:t>
      </w:r>
      <w:r w:rsidRPr="00CC1ADD">
        <w:rPr>
          <w:u w:val="single"/>
        </w:rPr>
        <w:t xml:space="preserve">Appendix </w:t>
      </w:r>
      <w:r w:rsidR="00F37134">
        <w:rPr>
          <w:u w:val="single"/>
        </w:rPr>
        <w:t>E</w:t>
      </w:r>
      <w:r w:rsidRPr="00CC1ADD">
        <w:t>.</w:t>
      </w:r>
    </w:p>
    <w:p w14:paraId="5D1B7C9A" w14:textId="453236C2" w:rsidR="005A162A" w:rsidRDefault="005A162A" w:rsidP="005A162A">
      <w:pPr>
        <w:pStyle w:val="mpcNormal"/>
        <w:keepNext w:val="0"/>
      </w:pPr>
    </w:p>
    <w:p w14:paraId="05630C60" w14:textId="0CB7EE3C" w:rsidR="00FC6833" w:rsidRPr="00050E4E" w:rsidRDefault="00FC6833" w:rsidP="00FC6833">
      <w:pPr>
        <w:pStyle w:val="mpcNormal"/>
      </w:pPr>
      <w:r w:rsidRPr="00050E4E">
        <w:t xml:space="preserve">The points tables </w:t>
      </w:r>
      <w:r>
        <w:t xml:space="preserve">for energy and total sugars </w:t>
      </w:r>
      <w:r w:rsidRPr="00050E4E">
        <w:t xml:space="preserve">were developed </w:t>
      </w:r>
      <w:r>
        <w:t xml:space="preserve">as part of the French Nutri-Score System </w:t>
      </w:r>
      <w:r w:rsidRPr="00050E4E">
        <w:t>to reflect the distribution of energy and total sugars in beverages.</w:t>
      </w:r>
      <w:r w:rsidRPr="00050E4E">
        <w:rPr>
          <w:rStyle w:val="FootnoteReference"/>
        </w:rPr>
        <w:footnoteReference w:id="99"/>
      </w:r>
      <w:r>
        <w:t xml:space="preserve"> </w:t>
      </w:r>
      <w:r w:rsidRPr="00050E4E">
        <w:t>This provides improved discrimination within this category across the full spectrum of HSRs (from 0.5 to 5).</w:t>
      </w:r>
    </w:p>
    <w:p w14:paraId="64AD2213" w14:textId="77777777" w:rsidR="00FC6833" w:rsidRDefault="00FC6833" w:rsidP="005A162A">
      <w:pPr>
        <w:pStyle w:val="mpcNormal"/>
        <w:keepNext w:val="0"/>
      </w:pPr>
    </w:p>
    <w:p w14:paraId="1D52EC39" w14:textId="30881588" w:rsidR="005A162A" w:rsidRDefault="00FC6833" w:rsidP="005A162A">
      <w:pPr>
        <w:pStyle w:val="mpcNormal"/>
        <w:keepNext w:val="0"/>
      </w:pPr>
      <w:r>
        <w:t>While</w:t>
      </w:r>
      <w:r w:rsidR="005A162A">
        <w:t xml:space="preserve"> the Nutri-Score System determines FVNL points based on the French food regulations, the </w:t>
      </w:r>
      <w:r>
        <w:t xml:space="preserve">FVNL </w:t>
      </w:r>
      <w:r w:rsidR="005A162A">
        <w:t xml:space="preserve">points table for non-dairy beverages has been adjusted to reflect the Code and how it defines fruit and vegetable drinks and juices: </w:t>
      </w:r>
    </w:p>
    <w:p w14:paraId="6DEBD100" w14:textId="77777777" w:rsidR="005A162A" w:rsidRDefault="005A162A" w:rsidP="005A162A">
      <w:pPr>
        <w:pStyle w:val="mpcNormal"/>
        <w:keepNext w:val="0"/>
      </w:pPr>
    </w:p>
    <w:p w14:paraId="68877705" w14:textId="66B46D9E" w:rsidR="005A162A" w:rsidRDefault="005A162A" w:rsidP="007E0D2C">
      <w:pPr>
        <w:pStyle w:val="mpcbullets1"/>
      </w:pPr>
      <w:r w:rsidRPr="00766299">
        <w:t>Under</w:t>
      </w:r>
      <w:r w:rsidR="00BD52A7">
        <w:t xml:space="preserve"> the Code</w:t>
      </w:r>
      <w:r w:rsidRPr="00766299">
        <w:t xml:space="preserve"> </w:t>
      </w:r>
      <w:hyperlink r:id="rId82" w:history="1">
        <w:r w:rsidRPr="00C91C91">
          <w:rPr>
            <w:rStyle w:val="Hyperlink"/>
            <w:i/>
          </w:rPr>
          <w:t xml:space="preserve">Schedule 17 </w:t>
        </w:r>
        <w:r w:rsidR="00C91C91" w:rsidRPr="00C91C91">
          <w:rPr>
            <w:rStyle w:val="Hyperlink"/>
            <w:i/>
          </w:rPr>
          <w:t>Vitamins and minerals</w:t>
        </w:r>
      </w:hyperlink>
      <w:r w:rsidRPr="00766299">
        <w:t xml:space="preserve">, fruit drinks, vegetable drinks and fruit and vegetable drinks containing at least 25% of the juice, </w:t>
      </w:r>
      <w:r w:rsidRPr="00AD7D17">
        <w:t>puree or comminution (the reduction</w:t>
      </w:r>
      <w:r>
        <w:t xml:space="preserve"> of a solid material to fragments) </w:t>
      </w:r>
      <w:r w:rsidRPr="00766299">
        <w:t xml:space="preserve">of the fruit or vegetable or both are permitted to make certain vitamin claims. </w:t>
      </w:r>
      <w:r>
        <w:t>As such</w:t>
      </w:r>
      <w:r w:rsidRPr="00766299">
        <w:t>, 25% has been selected as the lower limit for claiming FVNL points in non-dairy beverages.</w:t>
      </w:r>
    </w:p>
    <w:p w14:paraId="33F9F646" w14:textId="729AAECA" w:rsidR="005A162A" w:rsidRDefault="00BD52A7" w:rsidP="007E0D2C">
      <w:pPr>
        <w:pStyle w:val="mpcbullets1"/>
      </w:pPr>
      <w:r>
        <w:t xml:space="preserve">The Code </w:t>
      </w:r>
      <w:hyperlink r:id="rId83" w:history="1">
        <w:r w:rsidR="005A162A" w:rsidRPr="00BD52A7">
          <w:rPr>
            <w:rStyle w:val="Hyperlink"/>
            <w:i/>
          </w:rPr>
          <w:t xml:space="preserve">Standard 2.6.1 </w:t>
        </w:r>
        <w:r w:rsidRPr="00BD52A7">
          <w:rPr>
            <w:rStyle w:val="Hyperlink"/>
            <w:i/>
          </w:rPr>
          <w:t>Fruit juice and vegetable juice</w:t>
        </w:r>
      </w:hyperlink>
      <w:r>
        <w:t xml:space="preserve"> </w:t>
      </w:r>
      <w:r w:rsidR="005A162A" w:rsidRPr="00766299">
        <w:t>defines a product as a juice at 96% or more juice content</w:t>
      </w:r>
      <w:r w:rsidR="005A162A">
        <w:t>. As such,</w:t>
      </w:r>
      <w:r w:rsidR="005A162A" w:rsidRPr="00766299">
        <w:t xml:space="preserve"> </w:t>
      </w:r>
      <w:r w:rsidR="00FC6833">
        <w:t xml:space="preserve">96% has been selected as the upper limit for claiming FVNL points </w:t>
      </w:r>
      <w:r w:rsidR="005A162A" w:rsidRPr="00766299">
        <w:t>to allow all ‘juices’ to receive the maximum number of modifying points</w:t>
      </w:r>
      <w:r w:rsidR="005A162A">
        <w:t xml:space="preserve"> for non</w:t>
      </w:r>
      <w:r w:rsidR="005A162A">
        <w:noBreakHyphen/>
        <w:t>dairy beverages</w:t>
      </w:r>
      <w:r w:rsidR="005A162A" w:rsidRPr="00766299">
        <w:t xml:space="preserve">. </w:t>
      </w:r>
    </w:p>
    <w:p w14:paraId="52B35AD0" w14:textId="77777777" w:rsidR="005A162A" w:rsidRPr="00766299" w:rsidRDefault="005A162A" w:rsidP="005A162A">
      <w:pPr>
        <w:pStyle w:val="mpcNormal"/>
        <w:keepNext w:val="0"/>
      </w:pPr>
    </w:p>
    <w:p w14:paraId="5EC0376C" w14:textId="5F5C077B" w:rsidR="001B7452" w:rsidRPr="0017608D" w:rsidRDefault="00FC6833" w:rsidP="001B7452">
      <w:pPr>
        <w:pStyle w:val="mpcNormal"/>
      </w:pPr>
      <w:r>
        <w:t xml:space="preserve">This </w:t>
      </w:r>
      <w:r w:rsidR="001B7452" w:rsidRPr="0017608D">
        <w:t>recognises the nutritional value of juices containing fruit and vegetable content, while ensuring these products do not receive the same ratings as low energy waters</w:t>
      </w:r>
      <w:r w:rsidR="001B7452">
        <w:t xml:space="preserve"> and ensures</w:t>
      </w:r>
      <w:r w:rsidR="005A162A" w:rsidRPr="00ED385A">
        <w:t xml:space="preserve"> the upper and lower FVNL content for non-dairy beverages </w:t>
      </w:r>
      <w:r w:rsidR="005A162A">
        <w:t>is</w:t>
      </w:r>
      <w:r w:rsidR="005A162A" w:rsidRPr="00ED385A">
        <w:t xml:space="preserve"> grounded in current </w:t>
      </w:r>
      <w:r w:rsidR="005A162A">
        <w:t xml:space="preserve">Australian and New Zealand </w:t>
      </w:r>
      <w:r w:rsidR="005A162A" w:rsidRPr="00ED385A">
        <w:t>food regulations.</w:t>
      </w:r>
      <w:r w:rsidR="001B7452">
        <w:t xml:space="preserve"> </w:t>
      </w:r>
    </w:p>
    <w:p w14:paraId="16A765B6" w14:textId="1EC1C775" w:rsidR="002322C6" w:rsidRDefault="002322C6" w:rsidP="0017608D">
      <w:pPr>
        <w:pStyle w:val="mpcNormal"/>
        <w:keepNext w:val="0"/>
      </w:pPr>
    </w:p>
    <w:p w14:paraId="0B0D8D81" w14:textId="2187794F" w:rsidR="005A162A" w:rsidRDefault="005A162A" w:rsidP="005A162A">
      <w:pPr>
        <w:pStyle w:val="mpcheading3"/>
      </w:pPr>
      <w:r>
        <w:t>Outcome</w:t>
      </w:r>
    </w:p>
    <w:p w14:paraId="21A3A263" w14:textId="77777777" w:rsidR="0067385B" w:rsidRDefault="0067385B" w:rsidP="0017608D">
      <w:pPr>
        <w:pStyle w:val="mpcNormal"/>
        <w:keepNext w:val="0"/>
      </w:pPr>
    </w:p>
    <w:p w14:paraId="7D7A2103" w14:textId="4E1A0311" w:rsidR="00D36202" w:rsidRDefault="00D36202" w:rsidP="0017608D">
      <w:pPr>
        <w:pStyle w:val="mpcNormal"/>
        <w:keepNext w:val="0"/>
      </w:pPr>
      <w:r w:rsidRPr="0017608D">
        <w:t>Under this approach, plain waters would score 5, unsweetened flavoured waters would score 4.5, 100% fruit and vegetable juices would score between 2.5 and 4 (based on their sugars and energy content), diet drinks would score no more than 3.5 and sugary soft drinks would continue to score between 0.5 and 2 (based on their sugars and energy content).</w:t>
      </w:r>
    </w:p>
    <w:p w14:paraId="56F48A47" w14:textId="7E699D3B" w:rsidR="00010CF6" w:rsidRDefault="00010CF6" w:rsidP="0017608D">
      <w:pPr>
        <w:pStyle w:val="mpcNormal"/>
        <w:keepNext w:val="0"/>
      </w:pPr>
    </w:p>
    <w:p w14:paraId="3CDA9895" w14:textId="77777777" w:rsidR="00D36202" w:rsidRPr="00CC1ADD" w:rsidRDefault="00D36202" w:rsidP="0017608D">
      <w:pPr>
        <w:pStyle w:val="mpcNormal"/>
        <w:keepNext w:val="0"/>
      </w:pPr>
      <w:r w:rsidRPr="00CC1ADD">
        <w:t>Based on modelling, this would result in a spread of beverages against HSRs as follows:</w:t>
      </w:r>
    </w:p>
    <w:p w14:paraId="291C5B68" w14:textId="77777777" w:rsidR="00D36202" w:rsidRPr="00CC1ADD" w:rsidRDefault="00D36202" w:rsidP="0017608D">
      <w:pPr>
        <w:pStyle w:val="mpcNormal"/>
        <w:keepNext w:val="0"/>
      </w:pPr>
    </w:p>
    <w:tbl>
      <w:tblPr>
        <w:tblStyle w:val="TableGrid"/>
        <w:tblW w:w="0" w:type="auto"/>
        <w:tblLook w:val="04A0" w:firstRow="1" w:lastRow="0" w:firstColumn="1" w:lastColumn="0" w:noHBand="0" w:noVBand="1"/>
        <w:tblCaption w:val="Non-dairy beverages - Examples"/>
        <w:tblDescription w:val="This table provides examples of non-dairy beverages and the HSR they are likely to receive."/>
      </w:tblPr>
      <w:tblGrid>
        <w:gridCol w:w="1271"/>
        <w:gridCol w:w="4232"/>
        <w:gridCol w:w="4233"/>
      </w:tblGrid>
      <w:tr w:rsidR="00D36202" w:rsidRPr="00676537" w14:paraId="2DC4CCDB" w14:textId="77777777" w:rsidTr="0017608D">
        <w:trPr>
          <w:trHeight w:val="463"/>
          <w:tblHeader/>
        </w:trPr>
        <w:tc>
          <w:tcPr>
            <w:tcW w:w="1271" w:type="dxa"/>
            <w:shd w:val="clear" w:color="auto" w:fill="516A8E"/>
            <w:vAlign w:val="center"/>
          </w:tcPr>
          <w:p w14:paraId="3FEB5F00" w14:textId="77777777" w:rsidR="00D36202" w:rsidRPr="00676537" w:rsidRDefault="00D36202" w:rsidP="0017608D">
            <w:pPr>
              <w:pStyle w:val="mpcNormal"/>
              <w:keepNext w:val="0"/>
              <w:rPr>
                <w:b/>
                <w:color w:val="FFFFFF" w:themeColor="background1"/>
                <w:sz w:val="20"/>
                <w:szCs w:val="20"/>
              </w:rPr>
            </w:pPr>
            <w:r w:rsidRPr="00676537">
              <w:rPr>
                <w:b/>
                <w:color w:val="FFFFFF" w:themeColor="background1"/>
                <w:sz w:val="20"/>
                <w:szCs w:val="20"/>
              </w:rPr>
              <w:t>HSR</w:t>
            </w:r>
            <w:bookmarkStart w:id="117" w:name="HSR"/>
            <w:bookmarkEnd w:id="117"/>
          </w:p>
        </w:tc>
        <w:tc>
          <w:tcPr>
            <w:tcW w:w="8465" w:type="dxa"/>
            <w:gridSpan w:val="2"/>
            <w:shd w:val="clear" w:color="auto" w:fill="516A8E"/>
            <w:vAlign w:val="center"/>
          </w:tcPr>
          <w:p w14:paraId="43A86202" w14:textId="77777777" w:rsidR="00D36202" w:rsidRPr="00676537" w:rsidRDefault="00D36202" w:rsidP="0017608D">
            <w:pPr>
              <w:pStyle w:val="mpcNormal"/>
              <w:keepNext w:val="0"/>
              <w:rPr>
                <w:b/>
                <w:color w:val="FFFFFF" w:themeColor="background1"/>
                <w:sz w:val="20"/>
                <w:szCs w:val="20"/>
              </w:rPr>
            </w:pPr>
            <w:r w:rsidRPr="00676537">
              <w:rPr>
                <w:b/>
                <w:color w:val="FFFFFF" w:themeColor="background1"/>
                <w:sz w:val="20"/>
                <w:szCs w:val="20"/>
              </w:rPr>
              <w:t>Examples of beverages likely to receive this rating</w:t>
            </w:r>
          </w:p>
        </w:tc>
      </w:tr>
      <w:tr w:rsidR="00D36202" w:rsidRPr="00676537" w14:paraId="11DCA7C4" w14:textId="77777777" w:rsidTr="0059693D">
        <w:tc>
          <w:tcPr>
            <w:tcW w:w="1271" w:type="dxa"/>
          </w:tcPr>
          <w:p w14:paraId="71F3B723" w14:textId="77777777" w:rsidR="00D36202" w:rsidRPr="00676537" w:rsidRDefault="00D36202" w:rsidP="0017608D">
            <w:pPr>
              <w:pStyle w:val="mpcNormal"/>
              <w:keepNext w:val="0"/>
              <w:rPr>
                <w:sz w:val="20"/>
                <w:szCs w:val="20"/>
              </w:rPr>
            </w:pPr>
            <w:r w:rsidRPr="00676537">
              <w:rPr>
                <w:sz w:val="20"/>
                <w:szCs w:val="20"/>
              </w:rPr>
              <w:t>5</w:t>
            </w:r>
          </w:p>
        </w:tc>
        <w:tc>
          <w:tcPr>
            <w:tcW w:w="8465" w:type="dxa"/>
            <w:gridSpan w:val="2"/>
          </w:tcPr>
          <w:p w14:paraId="2DC5A1CB" w14:textId="19894A84" w:rsidR="00D36202" w:rsidRPr="00676537" w:rsidRDefault="00AE5CE0" w:rsidP="007E0D2C">
            <w:pPr>
              <w:pStyle w:val="mpcbullets1"/>
              <w:rPr>
                <w:sz w:val="20"/>
                <w:szCs w:val="20"/>
              </w:rPr>
            </w:pPr>
            <w:r w:rsidRPr="00676537">
              <w:rPr>
                <w:sz w:val="20"/>
                <w:szCs w:val="20"/>
              </w:rPr>
              <w:t xml:space="preserve">still or carbonated </w:t>
            </w:r>
            <w:r w:rsidR="00D36202" w:rsidRPr="00676537">
              <w:rPr>
                <w:sz w:val="20"/>
                <w:szCs w:val="20"/>
              </w:rPr>
              <w:t>water with no additives</w:t>
            </w:r>
          </w:p>
        </w:tc>
      </w:tr>
      <w:tr w:rsidR="00D36202" w:rsidRPr="00676537" w14:paraId="746C0FF0" w14:textId="77777777" w:rsidTr="00FC6833">
        <w:tc>
          <w:tcPr>
            <w:tcW w:w="1271" w:type="dxa"/>
          </w:tcPr>
          <w:p w14:paraId="591CB476" w14:textId="77777777" w:rsidR="00D36202" w:rsidRPr="00676537" w:rsidRDefault="00D36202" w:rsidP="0017608D">
            <w:pPr>
              <w:pStyle w:val="mpcNormal"/>
              <w:keepNext w:val="0"/>
              <w:rPr>
                <w:sz w:val="20"/>
                <w:szCs w:val="20"/>
              </w:rPr>
            </w:pPr>
            <w:r w:rsidRPr="00676537">
              <w:rPr>
                <w:sz w:val="20"/>
                <w:szCs w:val="20"/>
              </w:rPr>
              <w:t>4.5</w:t>
            </w:r>
          </w:p>
        </w:tc>
        <w:tc>
          <w:tcPr>
            <w:tcW w:w="8465" w:type="dxa"/>
            <w:gridSpan w:val="2"/>
            <w:tcBorders>
              <w:bottom w:val="single" w:sz="4" w:space="0" w:color="auto"/>
            </w:tcBorders>
          </w:tcPr>
          <w:p w14:paraId="3D43FDCA" w14:textId="75DE3326" w:rsidR="00D36202" w:rsidRPr="00676537" w:rsidRDefault="008E7DE1" w:rsidP="007E0D2C">
            <w:pPr>
              <w:pStyle w:val="mpcbullets1"/>
              <w:rPr>
                <w:sz w:val="20"/>
                <w:szCs w:val="20"/>
              </w:rPr>
            </w:pPr>
            <w:r w:rsidRPr="00676537">
              <w:rPr>
                <w:sz w:val="20"/>
                <w:szCs w:val="20"/>
              </w:rPr>
              <w:t xml:space="preserve">unsweetened </w:t>
            </w:r>
            <w:r w:rsidR="00AE5CE0" w:rsidRPr="00676537">
              <w:rPr>
                <w:sz w:val="20"/>
                <w:szCs w:val="20"/>
              </w:rPr>
              <w:t>flavoured</w:t>
            </w:r>
            <w:r w:rsidRPr="00676537">
              <w:rPr>
                <w:sz w:val="20"/>
                <w:szCs w:val="20"/>
              </w:rPr>
              <w:t xml:space="preserve"> </w:t>
            </w:r>
            <w:r w:rsidR="001530BF" w:rsidRPr="00676537">
              <w:rPr>
                <w:sz w:val="20"/>
                <w:szCs w:val="20"/>
              </w:rPr>
              <w:t>still</w:t>
            </w:r>
            <w:r w:rsidRPr="00676537">
              <w:rPr>
                <w:sz w:val="20"/>
                <w:szCs w:val="20"/>
              </w:rPr>
              <w:t>,</w:t>
            </w:r>
            <w:r w:rsidR="00AE5CE0" w:rsidRPr="00676537">
              <w:rPr>
                <w:sz w:val="20"/>
                <w:szCs w:val="20"/>
              </w:rPr>
              <w:t xml:space="preserve"> </w:t>
            </w:r>
            <w:r w:rsidRPr="00676537">
              <w:rPr>
                <w:sz w:val="20"/>
                <w:szCs w:val="20"/>
              </w:rPr>
              <w:t xml:space="preserve">carbonated, </w:t>
            </w:r>
            <w:r w:rsidR="00D36202" w:rsidRPr="00676537">
              <w:rPr>
                <w:sz w:val="20"/>
                <w:szCs w:val="20"/>
              </w:rPr>
              <w:t>mineral</w:t>
            </w:r>
            <w:r w:rsidR="00AE5CE0" w:rsidRPr="00676537">
              <w:rPr>
                <w:sz w:val="20"/>
                <w:szCs w:val="20"/>
              </w:rPr>
              <w:t xml:space="preserve"> and</w:t>
            </w:r>
            <w:r w:rsidR="00D36202" w:rsidRPr="00676537">
              <w:rPr>
                <w:sz w:val="20"/>
                <w:szCs w:val="20"/>
              </w:rPr>
              <w:t xml:space="preserve"> soda water</w:t>
            </w:r>
            <w:r w:rsidR="00AE5CE0" w:rsidRPr="00676537">
              <w:rPr>
                <w:sz w:val="20"/>
                <w:szCs w:val="20"/>
              </w:rPr>
              <w:t>s</w:t>
            </w:r>
          </w:p>
        </w:tc>
      </w:tr>
      <w:tr w:rsidR="00FC6833" w:rsidRPr="00676537" w14:paraId="4968118B" w14:textId="77777777" w:rsidTr="00FC6833">
        <w:tc>
          <w:tcPr>
            <w:tcW w:w="1271" w:type="dxa"/>
            <w:tcBorders>
              <w:right w:val="single" w:sz="4" w:space="0" w:color="auto"/>
            </w:tcBorders>
          </w:tcPr>
          <w:p w14:paraId="70AC570E" w14:textId="77777777" w:rsidR="00FC6833" w:rsidRPr="00676537" w:rsidRDefault="00FC6833" w:rsidP="0017608D">
            <w:pPr>
              <w:pStyle w:val="mpcNormal"/>
              <w:keepNext w:val="0"/>
              <w:rPr>
                <w:sz w:val="20"/>
                <w:szCs w:val="20"/>
              </w:rPr>
            </w:pPr>
            <w:r w:rsidRPr="00676537">
              <w:rPr>
                <w:sz w:val="20"/>
                <w:szCs w:val="20"/>
              </w:rPr>
              <w:t>4</w:t>
            </w:r>
          </w:p>
        </w:tc>
        <w:tc>
          <w:tcPr>
            <w:tcW w:w="4232" w:type="dxa"/>
            <w:tcBorders>
              <w:top w:val="single" w:sz="4" w:space="0" w:color="auto"/>
              <w:left w:val="single" w:sz="4" w:space="0" w:color="auto"/>
              <w:bottom w:val="single" w:sz="4" w:space="0" w:color="auto"/>
              <w:right w:val="nil"/>
            </w:tcBorders>
          </w:tcPr>
          <w:p w14:paraId="5E53930C" w14:textId="2AB61DA8" w:rsidR="00FC6833" w:rsidRPr="00676537" w:rsidRDefault="00FC6833" w:rsidP="007E0D2C">
            <w:pPr>
              <w:pStyle w:val="mpcbullets1"/>
              <w:rPr>
                <w:sz w:val="20"/>
                <w:szCs w:val="20"/>
              </w:rPr>
            </w:pPr>
            <w:r w:rsidRPr="00676537">
              <w:rPr>
                <w:sz w:val="20"/>
                <w:szCs w:val="20"/>
              </w:rPr>
              <w:t>fruit drinks (&lt; 4% sugars)</w:t>
            </w:r>
          </w:p>
          <w:p w14:paraId="494BF9F9" w14:textId="77777777" w:rsidR="00FC6833" w:rsidRPr="00676537" w:rsidRDefault="00FC6833" w:rsidP="007E0D2C">
            <w:pPr>
              <w:pStyle w:val="mpcbullets1"/>
              <w:rPr>
                <w:sz w:val="20"/>
                <w:szCs w:val="20"/>
              </w:rPr>
            </w:pPr>
            <w:r w:rsidRPr="00676537">
              <w:rPr>
                <w:sz w:val="20"/>
                <w:szCs w:val="20"/>
              </w:rPr>
              <w:t>fruit juices (&lt; 7% sugars)</w:t>
            </w:r>
          </w:p>
        </w:tc>
        <w:tc>
          <w:tcPr>
            <w:tcW w:w="4233" w:type="dxa"/>
            <w:tcBorders>
              <w:top w:val="single" w:sz="4" w:space="0" w:color="auto"/>
              <w:left w:val="nil"/>
              <w:bottom w:val="single" w:sz="4" w:space="0" w:color="auto"/>
              <w:right w:val="single" w:sz="4" w:space="0" w:color="auto"/>
            </w:tcBorders>
          </w:tcPr>
          <w:p w14:paraId="1E94B171" w14:textId="00835477" w:rsidR="00FC6833" w:rsidRPr="00676537" w:rsidRDefault="00FC6833" w:rsidP="007E0D2C">
            <w:pPr>
              <w:pStyle w:val="mpcbullets1"/>
              <w:rPr>
                <w:sz w:val="20"/>
                <w:szCs w:val="20"/>
              </w:rPr>
            </w:pPr>
            <w:r w:rsidRPr="00676537">
              <w:rPr>
                <w:sz w:val="20"/>
                <w:szCs w:val="20"/>
              </w:rPr>
              <w:t>coconut waters (&lt; 5% sugars)</w:t>
            </w:r>
          </w:p>
        </w:tc>
      </w:tr>
      <w:tr w:rsidR="00FC6833" w:rsidRPr="00676537" w14:paraId="11F19D4C" w14:textId="77777777" w:rsidTr="00FC6833">
        <w:tc>
          <w:tcPr>
            <w:tcW w:w="1271" w:type="dxa"/>
            <w:tcBorders>
              <w:right w:val="single" w:sz="4" w:space="0" w:color="auto"/>
            </w:tcBorders>
          </w:tcPr>
          <w:p w14:paraId="3875E500" w14:textId="77777777" w:rsidR="00FC6833" w:rsidRPr="00676537" w:rsidRDefault="00FC6833" w:rsidP="0017608D">
            <w:pPr>
              <w:pStyle w:val="mpcNormal"/>
              <w:keepNext w:val="0"/>
              <w:rPr>
                <w:sz w:val="20"/>
                <w:szCs w:val="20"/>
              </w:rPr>
            </w:pPr>
            <w:r w:rsidRPr="00676537">
              <w:rPr>
                <w:sz w:val="20"/>
                <w:szCs w:val="20"/>
              </w:rPr>
              <w:t>3 – 3.5</w:t>
            </w:r>
          </w:p>
        </w:tc>
        <w:tc>
          <w:tcPr>
            <w:tcW w:w="4232" w:type="dxa"/>
            <w:tcBorders>
              <w:top w:val="single" w:sz="4" w:space="0" w:color="auto"/>
              <w:left w:val="single" w:sz="4" w:space="0" w:color="auto"/>
              <w:bottom w:val="single" w:sz="4" w:space="0" w:color="auto"/>
              <w:right w:val="nil"/>
            </w:tcBorders>
          </w:tcPr>
          <w:p w14:paraId="14948B95" w14:textId="65C8242E" w:rsidR="00FC6833" w:rsidRPr="00676537" w:rsidRDefault="00FC6833" w:rsidP="007E0D2C">
            <w:pPr>
              <w:pStyle w:val="mpcbullets1"/>
              <w:rPr>
                <w:sz w:val="20"/>
                <w:szCs w:val="20"/>
              </w:rPr>
            </w:pPr>
            <w:r w:rsidRPr="00676537">
              <w:rPr>
                <w:sz w:val="20"/>
                <w:szCs w:val="20"/>
              </w:rPr>
              <w:t>diet soft drinks with no sugars</w:t>
            </w:r>
          </w:p>
          <w:p w14:paraId="01E6B5C4" w14:textId="77777777" w:rsidR="00FC6833" w:rsidRPr="00676537" w:rsidRDefault="00FC6833" w:rsidP="007E0D2C">
            <w:pPr>
              <w:pStyle w:val="mpcbullets1"/>
              <w:rPr>
                <w:sz w:val="20"/>
                <w:szCs w:val="20"/>
              </w:rPr>
            </w:pPr>
            <w:r w:rsidRPr="00676537">
              <w:rPr>
                <w:sz w:val="20"/>
                <w:szCs w:val="20"/>
              </w:rPr>
              <w:t>sweetened flavoured waters with no sugars</w:t>
            </w:r>
          </w:p>
          <w:p w14:paraId="4E68470F" w14:textId="77777777" w:rsidR="00FC6833" w:rsidRPr="00676537" w:rsidRDefault="00FC6833" w:rsidP="007E0D2C">
            <w:pPr>
              <w:pStyle w:val="mpcbullets1"/>
              <w:rPr>
                <w:sz w:val="20"/>
                <w:szCs w:val="20"/>
              </w:rPr>
            </w:pPr>
            <w:r w:rsidRPr="00676537">
              <w:rPr>
                <w:sz w:val="20"/>
                <w:szCs w:val="20"/>
              </w:rPr>
              <w:t>fruit juices (7-8% sugars)</w:t>
            </w:r>
          </w:p>
        </w:tc>
        <w:tc>
          <w:tcPr>
            <w:tcW w:w="4233" w:type="dxa"/>
            <w:tcBorders>
              <w:top w:val="single" w:sz="4" w:space="0" w:color="auto"/>
              <w:left w:val="nil"/>
              <w:bottom w:val="single" w:sz="4" w:space="0" w:color="auto"/>
              <w:right w:val="single" w:sz="4" w:space="0" w:color="auto"/>
            </w:tcBorders>
          </w:tcPr>
          <w:p w14:paraId="06330773" w14:textId="1DCCA1CF" w:rsidR="00FC6833" w:rsidRPr="00676537" w:rsidRDefault="00FC6833" w:rsidP="007E0D2C">
            <w:pPr>
              <w:pStyle w:val="mpcbullets1"/>
              <w:rPr>
                <w:sz w:val="20"/>
                <w:szCs w:val="20"/>
              </w:rPr>
            </w:pPr>
            <w:r w:rsidRPr="00676537">
              <w:rPr>
                <w:sz w:val="20"/>
                <w:szCs w:val="20"/>
              </w:rPr>
              <w:t>diet energy drinks with no sugars</w:t>
            </w:r>
          </w:p>
          <w:p w14:paraId="5766381E" w14:textId="77777777" w:rsidR="00FC6833" w:rsidRPr="00676537" w:rsidRDefault="00FC6833" w:rsidP="007E0D2C">
            <w:pPr>
              <w:pStyle w:val="mpcbullets1"/>
              <w:rPr>
                <w:sz w:val="20"/>
                <w:szCs w:val="20"/>
              </w:rPr>
            </w:pPr>
            <w:r w:rsidRPr="00676537">
              <w:rPr>
                <w:sz w:val="20"/>
                <w:szCs w:val="20"/>
              </w:rPr>
              <w:t>kombuchas with no sugars</w:t>
            </w:r>
          </w:p>
          <w:p w14:paraId="1DDF133C" w14:textId="44AC8374" w:rsidR="00FC6833" w:rsidRPr="00676537" w:rsidRDefault="00FC6833" w:rsidP="007E0D2C">
            <w:pPr>
              <w:pStyle w:val="mpcbullets1"/>
              <w:rPr>
                <w:sz w:val="20"/>
                <w:szCs w:val="20"/>
              </w:rPr>
            </w:pPr>
            <w:r w:rsidRPr="00676537">
              <w:rPr>
                <w:sz w:val="20"/>
                <w:szCs w:val="20"/>
              </w:rPr>
              <w:t>coconut waters (5-6% sugars)</w:t>
            </w:r>
          </w:p>
        </w:tc>
      </w:tr>
      <w:tr w:rsidR="00FC6833" w:rsidRPr="00676537" w14:paraId="19F1D6D2" w14:textId="77777777" w:rsidTr="00FC6833">
        <w:tc>
          <w:tcPr>
            <w:tcW w:w="1271" w:type="dxa"/>
            <w:tcBorders>
              <w:right w:val="single" w:sz="4" w:space="0" w:color="auto"/>
            </w:tcBorders>
          </w:tcPr>
          <w:p w14:paraId="13DED164" w14:textId="1FEB2501" w:rsidR="00FC6833" w:rsidRPr="00676537" w:rsidRDefault="00FC6833" w:rsidP="008E7DE1">
            <w:pPr>
              <w:pStyle w:val="mpcNormal"/>
              <w:keepNext w:val="0"/>
              <w:rPr>
                <w:sz w:val="20"/>
                <w:szCs w:val="20"/>
              </w:rPr>
            </w:pPr>
            <w:r w:rsidRPr="00676537">
              <w:rPr>
                <w:sz w:val="20"/>
                <w:szCs w:val="20"/>
              </w:rPr>
              <w:t>2 – 2.5</w:t>
            </w:r>
          </w:p>
        </w:tc>
        <w:tc>
          <w:tcPr>
            <w:tcW w:w="4232" w:type="dxa"/>
            <w:tcBorders>
              <w:top w:val="single" w:sz="4" w:space="0" w:color="auto"/>
              <w:left w:val="single" w:sz="4" w:space="0" w:color="auto"/>
              <w:bottom w:val="single" w:sz="4" w:space="0" w:color="auto"/>
              <w:right w:val="nil"/>
            </w:tcBorders>
          </w:tcPr>
          <w:p w14:paraId="1AF74CF1" w14:textId="306984F7" w:rsidR="00FC6833" w:rsidRPr="00676537" w:rsidRDefault="00FC6833" w:rsidP="007E0D2C">
            <w:pPr>
              <w:pStyle w:val="mpcbullets1"/>
              <w:rPr>
                <w:sz w:val="20"/>
                <w:szCs w:val="20"/>
              </w:rPr>
            </w:pPr>
            <w:r w:rsidRPr="00676537">
              <w:rPr>
                <w:sz w:val="20"/>
                <w:szCs w:val="20"/>
              </w:rPr>
              <w:t>diet soft drinks (&lt; 2% sugars)</w:t>
            </w:r>
          </w:p>
          <w:p w14:paraId="39EA7B8C" w14:textId="77777777" w:rsidR="00FC6833" w:rsidRPr="00676537" w:rsidRDefault="00FC6833" w:rsidP="007E0D2C">
            <w:pPr>
              <w:pStyle w:val="mpcbullets1"/>
              <w:rPr>
                <w:sz w:val="20"/>
                <w:szCs w:val="20"/>
              </w:rPr>
            </w:pPr>
            <w:r w:rsidRPr="00676537">
              <w:rPr>
                <w:sz w:val="20"/>
                <w:szCs w:val="20"/>
              </w:rPr>
              <w:t>flavoured waters (2-3% sugars)</w:t>
            </w:r>
          </w:p>
          <w:p w14:paraId="45685BBC" w14:textId="77777777" w:rsidR="00FC6833" w:rsidRPr="00676537" w:rsidRDefault="00FC6833" w:rsidP="007E0D2C">
            <w:pPr>
              <w:pStyle w:val="mpcbullets1"/>
              <w:rPr>
                <w:sz w:val="20"/>
                <w:szCs w:val="20"/>
              </w:rPr>
            </w:pPr>
            <w:r w:rsidRPr="00676537">
              <w:rPr>
                <w:sz w:val="20"/>
                <w:szCs w:val="20"/>
              </w:rPr>
              <w:t>fruit drinks (5-11% sugars)</w:t>
            </w:r>
          </w:p>
        </w:tc>
        <w:tc>
          <w:tcPr>
            <w:tcW w:w="4233" w:type="dxa"/>
            <w:tcBorders>
              <w:top w:val="single" w:sz="4" w:space="0" w:color="auto"/>
              <w:left w:val="nil"/>
              <w:bottom w:val="single" w:sz="4" w:space="0" w:color="auto"/>
              <w:right w:val="single" w:sz="4" w:space="0" w:color="auto"/>
            </w:tcBorders>
          </w:tcPr>
          <w:p w14:paraId="1EBEABA1" w14:textId="78D95A41" w:rsidR="00FC6833" w:rsidRPr="00676537" w:rsidRDefault="00FC6833" w:rsidP="007E0D2C">
            <w:pPr>
              <w:pStyle w:val="mpcbullets1"/>
              <w:rPr>
                <w:sz w:val="20"/>
                <w:szCs w:val="20"/>
              </w:rPr>
            </w:pPr>
            <w:r w:rsidRPr="00676537">
              <w:rPr>
                <w:sz w:val="20"/>
                <w:szCs w:val="20"/>
              </w:rPr>
              <w:t>fruit juices (9-11% sugars)</w:t>
            </w:r>
          </w:p>
          <w:p w14:paraId="3B4FC4DC" w14:textId="068024AF" w:rsidR="00FC6833" w:rsidRPr="00676537" w:rsidRDefault="00FC6833" w:rsidP="007E0D2C">
            <w:pPr>
              <w:pStyle w:val="mpcbullets1"/>
              <w:rPr>
                <w:sz w:val="20"/>
                <w:szCs w:val="20"/>
              </w:rPr>
            </w:pPr>
            <w:r w:rsidRPr="00676537">
              <w:rPr>
                <w:sz w:val="20"/>
                <w:szCs w:val="20"/>
              </w:rPr>
              <w:t>iced teas with added sugars</w:t>
            </w:r>
          </w:p>
          <w:p w14:paraId="6613A019" w14:textId="62B71FAB" w:rsidR="00FC6833" w:rsidRPr="00676537" w:rsidRDefault="00FC6833" w:rsidP="007E0D2C">
            <w:pPr>
              <w:pStyle w:val="mpcbullets1"/>
              <w:rPr>
                <w:sz w:val="20"/>
                <w:szCs w:val="20"/>
              </w:rPr>
            </w:pPr>
            <w:r w:rsidRPr="00676537">
              <w:rPr>
                <w:sz w:val="20"/>
                <w:szCs w:val="20"/>
              </w:rPr>
              <w:t>diet sports drinks</w:t>
            </w:r>
          </w:p>
        </w:tc>
      </w:tr>
      <w:tr w:rsidR="00FC6833" w:rsidRPr="00676537" w14:paraId="1586E28E" w14:textId="77777777" w:rsidTr="00FC6833">
        <w:tc>
          <w:tcPr>
            <w:tcW w:w="1271" w:type="dxa"/>
            <w:tcBorders>
              <w:right w:val="single" w:sz="4" w:space="0" w:color="auto"/>
            </w:tcBorders>
          </w:tcPr>
          <w:p w14:paraId="7D2C1E6F" w14:textId="0D2514F2" w:rsidR="00FC6833" w:rsidRPr="00676537" w:rsidRDefault="00FC6833" w:rsidP="008E7DE1">
            <w:pPr>
              <w:pStyle w:val="mpcNormal"/>
              <w:keepNext w:val="0"/>
              <w:rPr>
                <w:sz w:val="20"/>
                <w:szCs w:val="20"/>
              </w:rPr>
            </w:pPr>
            <w:r w:rsidRPr="00676537">
              <w:rPr>
                <w:sz w:val="20"/>
                <w:szCs w:val="20"/>
              </w:rPr>
              <w:t>1 – 1.5</w:t>
            </w:r>
          </w:p>
        </w:tc>
        <w:tc>
          <w:tcPr>
            <w:tcW w:w="4232" w:type="dxa"/>
            <w:tcBorders>
              <w:top w:val="single" w:sz="4" w:space="0" w:color="auto"/>
              <w:left w:val="single" w:sz="4" w:space="0" w:color="auto"/>
              <w:bottom w:val="single" w:sz="4" w:space="0" w:color="auto"/>
              <w:right w:val="nil"/>
            </w:tcBorders>
          </w:tcPr>
          <w:p w14:paraId="40B8518E" w14:textId="1CA1F77D" w:rsidR="00FC6833" w:rsidRPr="00676537" w:rsidRDefault="00FC6833" w:rsidP="007E0D2C">
            <w:pPr>
              <w:pStyle w:val="mpcbullets1"/>
              <w:rPr>
                <w:sz w:val="20"/>
                <w:szCs w:val="20"/>
              </w:rPr>
            </w:pPr>
            <w:r w:rsidRPr="00676537">
              <w:rPr>
                <w:sz w:val="20"/>
                <w:szCs w:val="20"/>
              </w:rPr>
              <w:t>soft drinks (5-9% sugars)</w:t>
            </w:r>
          </w:p>
          <w:p w14:paraId="4C4851D7" w14:textId="5BC48151" w:rsidR="00FC6833" w:rsidRPr="00676537" w:rsidRDefault="00FC6833" w:rsidP="007E0D2C">
            <w:pPr>
              <w:pStyle w:val="mpcbullets1"/>
              <w:rPr>
                <w:sz w:val="20"/>
                <w:szCs w:val="20"/>
              </w:rPr>
            </w:pPr>
            <w:r w:rsidRPr="00676537">
              <w:rPr>
                <w:sz w:val="20"/>
                <w:szCs w:val="20"/>
              </w:rPr>
              <w:t>flavoured waters (5-9% sugars)</w:t>
            </w:r>
          </w:p>
          <w:p w14:paraId="6C84526E" w14:textId="38112353" w:rsidR="00FC6833" w:rsidRPr="00676537" w:rsidRDefault="00FC6833" w:rsidP="007E0D2C">
            <w:pPr>
              <w:pStyle w:val="mpcbullets1"/>
              <w:rPr>
                <w:sz w:val="20"/>
                <w:szCs w:val="20"/>
              </w:rPr>
            </w:pPr>
            <w:r w:rsidRPr="00676537">
              <w:rPr>
                <w:sz w:val="20"/>
                <w:szCs w:val="20"/>
              </w:rPr>
              <w:t>fruit drinks (7-10% sugars)</w:t>
            </w:r>
          </w:p>
          <w:p w14:paraId="73368893" w14:textId="77777777" w:rsidR="00FC6833" w:rsidRPr="00676537" w:rsidRDefault="00FC6833" w:rsidP="007E0D2C">
            <w:pPr>
              <w:pStyle w:val="mpcbullets1"/>
              <w:rPr>
                <w:sz w:val="20"/>
                <w:szCs w:val="20"/>
              </w:rPr>
            </w:pPr>
            <w:r w:rsidRPr="00676537">
              <w:rPr>
                <w:sz w:val="20"/>
                <w:szCs w:val="20"/>
              </w:rPr>
              <w:t>fruit juices (&gt; 11% sugars)</w:t>
            </w:r>
          </w:p>
        </w:tc>
        <w:tc>
          <w:tcPr>
            <w:tcW w:w="4233" w:type="dxa"/>
            <w:tcBorders>
              <w:top w:val="single" w:sz="4" w:space="0" w:color="auto"/>
              <w:left w:val="nil"/>
              <w:bottom w:val="single" w:sz="4" w:space="0" w:color="auto"/>
              <w:right w:val="single" w:sz="4" w:space="0" w:color="auto"/>
            </w:tcBorders>
          </w:tcPr>
          <w:p w14:paraId="0E912406" w14:textId="0B310918" w:rsidR="00FC6833" w:rsidRPr="00676537" w:rsidRDefault="00FC6833" w:rsidP="007E0D2C">
            <w:pPr>
              <w:pStyle w:val="mpcbullets1"/>
              <w:rPr>
                <w:sz w:val="20"/>
                <w:szCs w:val="20"/>
              </w:rPr>
            </w:pPr>
            <w:r w:rsidRPr="00676537">
              <w:rPr>
                <w:sz w:val="20"/>
                <w:szCs w:val="20"/>
              </w:rPr>
              <w:t xml:space="preserve">sports drinks with added sugars </w:t>
            </w:r>
          </w:p>
          <w:p w14:paraId="72EEAE02" w14:textId="0F10B234" w:rsidR="00FC6833" w:rsidRPr="00676537" w:rsidRDefault="00FC6833" w:rsidP="007E0D2C">
            <w:pPr>
              <w:pStyle w:val="mpcbullets1"/>
              <w:rPr>
                <w:sz w:val="20"/>
                <w:szCs w:val="20"/>
              </w:rPr>
            </w:pPr>
            <w:r w:rsidRPr="00676537">
              <w:rPr>
                <w:sz w:val="20"/>
                <w:szCs w:val="20"/>
              </w:rPr>
              <w:t>iced teas with added sugars</w:t>
            </w:r>
          </w:p>
          <w:p w14:paraId="66E362F2" w14:textId="711FB752" w:rsidR="00FC6833" w:rsidRPr="00676537" w:rsidRDefault="00FC6833" w:rsidP="007E0D2C">
            <w:pPr>
              <w:pStyle w:val="mpcbullets1"/>
              <w:rPr>
                <w:sz w:val="20"/>
                <w:szCs w:val="20"/>
              </w:rPr>
            </w:pPr>
            <w:r w:rsidRPr="00676537">
              <w:rPr>
                <w:sz w:val="20"/>
                <w:szCs w:val="20"/>
              </w:rPr>
              <w:t>kombuchas with added sugars</w:t>
            </w:r>
          </w:p>
          <w:p w14:paraId="20988083" w14:textId="68BCF9A3" w:rsidR="00FC6833" w:rsidRPr="00676537" w:rsidRDefault="00FC6833" w:rsidP="007E0D2C">
            <w:pPr>
              <w:pStyle w:val="mpcbullets1"/>
              <w:rPr>
                <w:sz w:val="20"/>
                <w:szCs w:val="20"/>
              </w:rPr>
            </w:pPr>
            <w:r w:rsidRPr="00676537">
              <w:rPr>
                <w:sz w:val="20"/>
                <w:szCs w:val="20"/>
              </w:rPr>
              <w:t>coconut waters with added sugars</w:t>
            </w:r>
          </w:p>
        </w:tc>
      </w:tr>
      <w:tr w:rsidR="00FC6833" w:rsidRPr="00676537" w14:paraId="52F01181" w14:textId="77777777" w:rsidTr="00FC6833">
        <w:trPr>
          <w:trHeight w:val="67"/>
        </w:trPr>
        <w:tc>
          <w:tcPr>
            <w:tcW w:w="1271" w:type="dxa"/>
            <w:tcBorders>
              <w:right w:val="single" w:sz="4" w:space="0" w:color="auto"/>
            </w:tcBorders>
          </w:tcPr>
          <w:p w14:paraId="72AE2791" w14:textId="31860D62" w:rsidR="00FC6833" w:rsidRPr="00676537" w:rsidRDefault="00FC6833" w:rsidP="008E7DE1">
            <w:pPr>
              <w:pStyle w:val="mpcNormal"/>
              <w:keepNext w:val="0"/>
              <w:rPr>
                <w:sz w:val="20"/>
                <w:szCs w:val="20"/>
              </w:rPr>
            </w:pPr>
            <w:r w:rsidRPr="00676537">
              <w:rPr>
                <w:sz w:val="20"/>
                <w:szCs w:val="20"/>
              </w:rPr>
              <w:t>0.5</w:t>
            </w:r>
          </w:p>
        </w:tc>
        <w:tc>
          <w:tcPr>
            <w:tcW w:w="4232" w:type="dxa"/>
            <w:tcBorders>
              <w:top w:val="single" w:sz="4" w:space="0" w:color="auto"/>
              <w:left w:val="single" w:sz="4" w:space="0" w:color="auto"/>
              <w:bottom w:val="single" w:sz="4" w:space="0" w:color="auto"/>
              <w:right w:val="nil"/>
            </w:tcBorders>
          </w:tcPr>
          <w:p w14:paraId="3BA6550C" w14:textId="73763DC7" w:rsidR="00FC6833" w:rsidRPr="00676537" w:rsidRDefault="00FC6833" w:rsidP="007E0D2C">
            <w:pPr>
              <w:pStyle w:val="mpcbullets1"/>
              <w:rPr>
                <w:sz w:val="20"/>
                <w:szCs w:val="20"/>
              </w:rPr>
            </w:pPr>
            <w:r w:rsidRPr="00676537">
              <w:rPr>
                <w:sz w:val="20"/>
                <w:szCs w:val="20"/>
              </w:rPr>
              <w:t>soft drinks (&gt; 9% sugars)</w:t>
            </w:r>
          </w:p>
          <w:p w14:paraId="66550B57" w14:textId="46523B94" w:rsidR="00FC6833" w:rsidRPr="00676537" w:rsidRDefault="00FC6833" w:rsidP="007E0D2C">
            <w:pPr>
              <w:pStyle w:val="mpcbullets1"/>
              <w:rPr>
                <w:sz w:val="20"/>
                <w:szCs w:val="20"/>
              </w:rPr>
            </w:pPr>
            <w:r w:rsidRPr="00676537">
              <w:rPr>
                <w:sz w:val="20"/>
                <w:szCs w:val="20"/>
              </w:rPr>
              <w:t>flavoured waters (&gt; 9% sugars)</w:t>
            </w:r>
          </w:p>
          <w:p w14:paraId="5A1C44D0" w14:textId="77777777" w:rsidR="00FC6833" w:rsidRPr="00676537" w:rsidRDefault="00FC6833" w:rsidP="007E0D2C">
            <w:pPr>
              <w:pStyle w:val="mpcbullets1"/>
              <w:rPr>
                <w:sz w:val="20"/>
                <w:szCs w:val="20"/>
              </w:rPr>
            </w:pPr>
            <w:r w:rsidRPr="00676537">
              <w:rPr>
                <w:sz w:val="20"/>
                <w:szCs w:val="20"/>
              </w:rPr>
              <w:t>fruit drinks (&gt; 9% sugars)</w:t>
            </w:r>
          </w:p>
        </w:tc>
        <w:tc>
          <w:tcPr>
            <w:tcW w:w="4233" w:type="dxa"/>
            <w:tcBorders>
              <w:top w:val="single" w:sz="4" w:space="0" w:color="auto"/>
              <w:left w:val="nil"/>
              <w:bottom w:val="single" w:sz="4" w:space="0" w:color="auto"/>
              <w:right w:val="single" w:sz="4" w:space="0" w:color="auto"/>
            </w:tcBorders>
          </w:tcPr>
          <w:p w14:paraId="048FBB18" w14:textId="7287AD9D" w:rsidR="00FC6833" w:rsidRPr="00676537" w:rsidRDefault="00FC6833" w:rsidP="007E0D2C">
            <w:pPr>
              <w:pStyle w:val="mpcbullets1"/>
              <w:rPr>
                <w:sz w:val="20"/>
                <w:szCs w:val="20"/>
              </w:rPr>
            </w:pPr>
            <w:r w:rsidRPr="00676537">
              <w:rPr>
                <w:sz w:val="20"/>
                <w:szCs w:val="20"/>
              </w:rPr>
              <w:t>energy drinks with added sugars</w:t>
            </w:r>
          </w:p>
          <w:p w14:paraId="1E30D88B" w14:textId="0416D118" w:rsidR="00FC6833" w:rsidRPr="00676537" w:rsidRDefault="00FC6833" w:rsidP="007E0D2C">
            <w:pPr>
              <w:pStyle w:val="mpcbullets1"/>
              <w:rPr>
                <w:sz w:val="20"/>
                <w:szCs w:val="20"/>
              </w:rPr>
            </w:pPr>
            <w:r w:rsidRPr="00676537">
              <w:rPr>
                <w:sz w:val="20"/>
                <w:szCs w:val="20"/>
              </w:rPr>
              <w:t>iced teas with added sugars</w:t>
            </w:r>
          </w:p>
        </w:tc>
      </w:tr>
    </w:tbl>
    <w:p w14:paraId="6B7810B0" w14:textId="0CAE40B9" w:rsidR="0067385B" w:rsidRDefault="0067385B">
      <w:pPr>
        <w:pStyle w:val="mpcNormal"/>
        <w:keepNext w:val="0"/>
      </w:pPr>
    </w:p>
    <w:p w14:paraId="486326CB" w14:textId="436287FC" w:rsidR="00D36202" w:rsidRPr="00CC1ADD" w:rsidRDefault="001530BF" w:rsidP="007E0D2C">
      <w:pPr>
        <w:pStyle w:val="mpcbullets1"/>
        <w:numPr>
          <w:ilvl w:val="0"/>
          <w:numId w:val="0"/>
        </w:numPr>
      </w:pPr>
      <w:r>
        <w:t>The significant</w:t>
      </w:r>
      <w:r w:rsidRPr="00093B7D">
        <w:t xml:space="preserve"> impact of this </w:t>
      </w:r>
      <w:r>
        <w:t>recommendation</w:t>
      </w:r>
      <w:r w:rsidRPr="00093B7D">
        <w:t xml:space="preserve"> across the non-dairy beverage category</w:t>
      </w:r>
      <w:r>
        <w:t xml:space="preserve"> is acknowledged – the HSRs for unsweetened flavoured waters would increase (from 2 to 4.5) and the HSRs for many fruit and vegetable juices would decrease (from between 4 and 5 to between 2 and 4). However, the Review considers that these changes would better support consumer choice across this product category as this </w:t>
      </w:r>
      <w:r w:rsidR="00D36202" w:rsidRPr="00CC1ADD">
        <w:t>approach:</w:t>
      </w:r>
    </w:p>
    <w:p w14:paraId="1ED412EA" w14:textId="77777777" w:rsidR="00D36202" w:rsidRPr="00CC1ADD" w:rsidRDefault="00D36202" w:rsidP="0017608D">
      <w:pPr>
        <w:pStyle w:val="mpcNormal"/>
        <w:keepNext w:val="0"/>
      </w:pPr>
    </w:p>
    <w:p w14:paraId="48E65454" w14:textId="5750D8ED" w:rsidR="00D36202" w:rsidRPr="00116FEE" w:rsidRDefault="00D36202" w:rsidP="007E0D2C">
      <w:pPr>
        <w:pStyle w:val="mpcbullets1"/>
      </w:pPr>
      <w:r w:rsidRPr="00116FEE">
        <w:t xml:space="preserve">promotes those beverages closest in nutritional profile to water, with the same hydrating qualities and no or low </w:t>
      </w:r>
      <w:r w:rsidR="009F61D7" w:rsidRPr="00116FEE">
        <w:t>kilojoules</w:t>
      </w:r>
      <w:r w:rsidRPr="00116FEE">
        <w:t xml:space="preserve"> (</w:t>
      </w:r>
      <w:r w:rsidR="0030513A" w:rsidRPr="00116FEE">
        <w:t xml:space="preserve">for example, </w:t>
      </w:r>
      <w:r w:rsidRPr="00116FEE">
        <w:t>unsweetened flavoured waters) as healthy non-dairy beverage options</w:t>
      </w:r>
    </w:p>
    <w:p w14:paraId="473DF2A2" w14:textId="77777777" w:rsidR="00D36202" w:rsidRPr="00116FEE" w:rsidRDefault="00D36202" w:rsidP="007E0D2C">
      <w:pPr>
        <w:pStyle w:val="mpcbullets1"/>
      </w:pPr>
      <w:r w:rsidRPr="00116FEE">
        <w:t>is adapted specifically for beverages and their particular nutrient profile</w:t>
      </w:r>
    </w:p>
    <w:p w14:paraId="2E91FBB5" w14:textId="6CE5390C" w:rsidR="00D36202" w:rsidRPr="00CC1ADD" w:rsidRDefault="00D36202" w:rsidP="00173A82">
      <w:pPr>
        <w:pStyle w:val="mpcbullets2"/>
      </w:pPr>
      <w:r w:rsidRPr="00CC1ADD">
        <w:t xml:space="preserve">It </w:t>
      </w:r>
      <w:r w:rsidRPr="00511654">
        <w:t>spreads</w:t>
      </w:r>
      <w:r w:rsidRPr="00CC1ADD">
        <w:t xml:space="preserve"> beverages across t</w:t>
      </w:r>
      <w:r w:rsidR="00331057">
        <w:t xml:space="preserve">he full range of HSRs </w:t>
      </w:r>
      <w:r w:rsidRPr="00CC1ADD">
        <w:t xml:space="preserve">and enables consumers to distinguish between </w:t>
      </w:r>
      <w:r w:rsidR="00331057">
        <w:t>products</w:t>
      </w:r>
      <w:r w:rsidRPr="00CC1ADD">
        <w:t xml:space="preserve"> with varying levels of energy and sugar</w:t>
      </w:r>
      <w:r w:rsidR="00331057">
        <w:t>s</w:t>
      </w:r>
      <w:r w:rsidRPr="00CC1ADD">
        <w:t xml:space="preserve">, as well as encouraging reformulation by manufacturers. </w:t>
      </w:r>
    </w:p>
    <w:p w14:paraId="317213D7" w14:textId="664FC914" w:rsidR="00D36202" w:rsidRDefault="00D36202" w:rsidP="007E0D2C">
      <w:pPr>
        <w:pStyle w:val="mpcbullets1"/>
      </w:pPr>
      <w:r w:rsidRPr="00CC1ADD">
        <w:t xml:space="preserve">provides recognition for the fruit and vegetable content in juice, while positioning </w:t>
      </w:r>
      <w:r w:rsidR="009275AC">
        <w:t xml:space="preserve">high sugar </w:t>
      </w:r>
      <w:r w:rsidRPr="00CC1ADD">
        <w:t xml:space="preserve">juices below water and </w:t>
      </w:r>
      <w:r w:rsidR="009E71E1">
        <w:t>other</w:t>
      </w:r>
      <w:r w:rsidRPr="00CC1ADD">
        <w:t xml:space="preserve"> low </w:t>
      </w:r>
      <w:r w:rsidR="009E71E1">
        <w:t>sugar</w:t>
      </w:r>
      <w:r w:rsidRPr="00CC1ADD">
        <w:t xml:space="preserve"> beverages</w:t>
      </w:r>
    </w:p>
    <w:p w14:paraId="006FE4B8" w14:textId="5260ED84" w:rsidR="00D36202" w:rsidRDefault="00D36202" w:rsidP="00173A82">
      <w:pPr>
        <w:pStyle w:val="mpcbullets2"/>
      </w:pPr>
      <w:r>
        <w:t xml:space="preserve">100% </w:t>
      </w:r>
      <w:r w:rsidR="005D7CEC">
        <w:t xml:space="preserve">fruit and vegetable </w:t>
      </w:r>
      <w:r>
        <w:t>juice</w:t>
      </w:r>
      <w:r w:rsidR="005D7CEC">
        <w:t>s</w:t>
      </w:r>
      <w:r>
        <w:t xml:space="preserve"> would receive</w:t>
      </w:r>
      <w:r w:rsidR="005D7CEC">
        <w:t xml:space="preserve"> HSRs </w:t>
      </w:r>
      <w:r>
        <w:t xml:space="preserve">between 2.5 and 4. This would be a significant change for many fruit juices </w:t>
      </w:r>
      <w:r w:rsidR="005D7CEC">
        <w:t xml:space="preserve">(which currently receive HSRs of 5) </w:t>
      </w:r>
      <w:r>
        <w:t xml:space="preserve">and would </w:t>
      </w:r>
      <w:r w:rsidR="005D7CEC">
        <w:t>result in higher HSRs</w:t>
      </w:r>
      <w:r>
        <w:t xml:space="preserve"> for juices inherently lower in sugar</w:t>
      </w:r>
      <w:r w:rsidR="005D7CEC">
        <w:t>s</w:t>
      </w:r>
      <w:r>
        <w:t xml:space="preserve"> </w:t>
      </w:r>
      <w:r w:rsidR="005D7CEC">
        <w:t>(</w:t>
      </w:r>
      <w:r w:rsidR="0030513A">
        <w:t>for example,</w:t>
      </w:r>
      <w:r w:rsidR="0030513A" w:rsidRPr="00CC1ADD">
        <w:t xml:space="preserve"> </w:t>
      </w:r>
      <w:r w:rsidR="005D7CEC">
        <w:t xml:space="preserve">grapefruit or lemon juices) </w:t>
      </w:r>
      <w:r>
        <w:t xml:space="preserve">and </w:t>
      </w:r>
      <w:r w:rsidR="005D7CEC">
        <w:t>lower HSRs</w:t>
      </w:r>
      <w:r>
        <w:t xml:space="preserve"> for juices </w:t>
      </w:r>
      <w:r w:rsidR="00B46AC1">
        <w:t xml:space="preserve">with </w:t>
      </w:r>
      <w:r>
        <w:t>high sugar</w:t>
      </w:r>
      <w:r w:rsidR="005D7CEC">
        <w:t>s</w:t>
      </w:r>
      <w:r>
        <w:t xml:space="preserve"> content</w:t>
      </w:r>
      <w:r w:rsidR="005D7CEC">
        <w:t xml:space="preserve"> (</w:t>
      </w:r>
      <w:r w:rsidR="0030513A">
        <w:t>for example,</w:t>
      </w:r>
      <w:r w:rsidR="0030513A" w:rsidRPr="00CC1ADD">
        <w:t xml:space="preserve"> </w:t>
      </w:r>
      <w:r w:rsidR="005D7CEC">
        <w:t>apple or pear juices)</w:t>
      </w:r>
      <w:r>
        <w:t xml:space="preserve">. </w:t>
      </w:r>
    </w:p>
    <w:p w14:paraId="75A15AF6" w14:textId="4F06D595" w:rsidR="005D7CEC" w:rsidRDefault="009275AC" w:rsidP="00173A82">
      <w:pPr>
        <w:pStyle w:val="mpcbullets2"/>
      </w:pPr>
      <w:r>
        <w:t>This effectively</w:t>
      </w:r>
      <w:r w:rsidR="00D36202">
        <w:t xml:space="preserve"> guides consumers to</w:t>
      </w:r>
      <w:r>
        <w:t>wards</w:t>
      </w:r>
      <w:r w:rsidR="00D36202">
        <w:t xml:space="preserve"> lower energy </w:t>
      </w:r>
      <w:r>
        <w:t xml:space="preserve">juice </w:t>
      </w:r>
      <w:r w:rsidR="005D7CEC">
        <w:t>options</w:t>
      </w:r>
      <w:r>
        <w:t>.</w:t>
      </w:r>
    </w:p>
    <w:p w14:paraId="328DE90B" w14:textId="77777777" w:rsidR="00D36202" w:rsidRPr="00CC1ADD" w:rsidRDefault="00D36202" w:rsidP="007E0D2C">
      <w:pPr>
        <w:pStyle w:val="mpcbullets1"/>
      </w:pPr>
      <w:r w:rsidRPr="00CC1ADD">
        <w:t>positions beverages with no sugars (such as diet soft drinks) above full sugar options.</w:t>
      </w:r>
    </w:p>
    <w:p w14:paraId="3DB54589" w14:textId="3CBE7267" w:rsidR="009275AC" w:rsidRDefault="00D36202" w:rsidP="00173A82">
      <w:pPr>
        <w:pStyle w:val="mpcbullets2"/>
      </w:pPr>
      <w:r w:rsidRPr="00CC1ADD">
        <w:t>Some stakeholders have raised concerns regarding emerging evidence on the possible adverse health outcomes from consumption of non-nutritive sweeteners.</w:t>
      </w:r>
      <w:r w:rsidRPr="00173A82">
        <w:rPr>
          <w:vertAlign w:val="superscript"/>
        </w:rPr>
        <w:footnoteReference w:id="100"/>
      </w:r>
      <w:r w:rsidRPr="00CC1ADD">
        <w:t xml:space="preserve"> However, this is not settled science and the presence or absence of non-nutritive sweeteners is not taken into account for any other food category.</w:t>
      </w:r>
      <w:r w:rsidR="009275AC">
        <w:t xml:space="preserve"> </w:t>
      </w:r>
      <w:r w:rsidR="00497EC6">
        <w:t xml:space="preserve">Sweeteners are also an important factor in reformulation, enabling manufacturers to reduce </w:t>
      </w:r>
      <w:r w:rsidR="00396ECE">
        <w:t>the added sugars and energy content of products while maintaining sweetness.</w:t>
      </w:r>
    </w:p>
    <w:p w14:paraId="68AA8F7E" w14:textId="77777777" w:rsidR="00FC6833" w:rsidRDefault="00FC6833" w:rsidP="007E3016">
      <w:pPr>
        <w:pStyle w:val="mpcNormal"/>
        <w:keepNext w:val="0"/>
      </w:pPr>
    </w:p>
    <w:p w14:paraId="32F2F7AC" w14:textId="77777777" w:rsidR="000A3464" w:rsidRPr="00CC1ADD" w:rsidRDefault="000A3464" w:rsidP="0017608D">
      <w:pPr>
        <w:pStyle w:val="mpcheading2"/>
        <w:keepNext/>
        <w:rPr>
          <w:sz w:val="22"/>
          <w:szCs w:val="22"/>
        </w:rPr>
      </w:pPr>
      <w:bookmarkStart w:id="118" w:name="Transition"/>
      <w:bookmarkStart w:id="119" w:name="_Toc9955061"/>
      <w:bookmarkEnd w:id="118"/>
      <w:r w:rsidRPr="00CC1ADD">
        <w:rPr>
          <w:sz w:val="22"/>
          <w:szCs w:val="22"/>
        </w:rPr>
        <w:t>Transition period</w:t>
      </w:r>
      <w:bookmarkEnd w:id="119"/>
    </w:p>
    <w:p w14:paraId="2E1446DF" w14:textId="4E93BDB0" w:rsidR="000A3464" w:rsidRPr="00CC1ADD" w:rsidRDefault="000A3464" w:rsidP="0017608D">
      <w:pPr>
        <w:keepNext/>
        <w:rPr>
          <w:rFonts w:cstheme="minorHAnsi"/>
          <w:sz w:val="22"/>
          <w:szCs w:val="22"/>
        </w:rPr>
      </w:pPr>
      <w:r w:rsidRPr="00CC1ADD">
        <w:rPr>
          <w:rFonts w:cstheme="minorHAnsi"/>
          <w:sz w:val="22"/>
          <w:szCs w:val="22"/>
        </w:rPr>
        <w:t xml:space="preserve">It is recommended that a </w:t>
      </w:r>
      <w:r w:rsidR="004560A4" w:rsidRPr="00CC1ADD">
        <w:rPr>
          <w:rFonts w:cstheme="minorHAnsi"/>
          <w:sz w:val="22"/>
          <w:szCs w:val="22"/>
        </w:rPr>
        <w:t>two-year</w:t>
      </w:r>
      <w:r w:rsidRPr="00CC1ADD">
        <w:rPr>
          <w:rFonts w:cstheme="minorHAnsi"/>
          <w:sz w:val="22"/>
          <w:szCs w:val="22"/>
        </w:rPr>
        <w:t xml:space="preserve"> transition period (</w:t>
      </w:r>
      <w:r w:rsidR="00FD3F05">
        <w:rPr>
          <w:rFonts w:cstheme="minorHAnsi"/>
          <w:sz w:val="22"/>
          <w:szCs w:val="22"/>
        </w:rPr>
        <w:t xml:space="preserve">starting </w:t>
      </w:r>
      <w:r w:rsidRPr="00CC1ADD">
        <w:rPr>
          <w:rFonts w:cstheme="minorHAnsi"/>
          <w:sz w:val="22"/>
          <w:szCs w:val="22"/>
        </w:rPr>
        <w:t xml:space="preserve">from </w:t>
      </w:r>
      <w:r w:rsidR="00FD3F05">
        <w:rPr>
          <w:rFonts w:cstheme="minorHAnsi"/>
          <w:sz w:val="22"/>
          <w:szCs w:val="22"/>
        </w:rPr>
        <w:t>the date recommendations are accepted by government</w:t>
      </w:r>
      <w:r w:rsidRPr="00CC1ADD">
        <w:rPr>
          <w:rFonts w:cstheme="minorHAnsi"/>
          <w:sz w:val="22"/>
          <w:szCs w:val="22"/>
        </w:rPr>
        <w:t>) be provided for industry to implement the changes described in this Chapter. This:</w:t>
      </w:r>
    </w:p>
    <w:p w14:paraId="5AEF9421" w14:textId="77777777" w:rsidR="000A3464" w:rsidRPr="00CC1ADD" w:rsidRDefault="000A3464">
      <w:pPr>
        <w:rPr>
          <w:rFonts w:cstheme="minorHAnsi"/>
          <w:sz w:val="22"/>
          <w:szCs w:val="22"/>
        </w:rPr>
      </w:pPr>
    </w:p>
    <w:p w14:paraId="3EE09B7F" w14:textId="5EF3F60F" w:rsidR="008B6118" w:rsidRDefault="00F851BC" w:rsidP="00901C53">
      <w:pPr>
        <w:pStyle w:val="ListParagraph"/>
        <w:numPr>
          <w:ilvl w:val="0"/>
          <w:numId w:val="26"/>
        </w:numPr>
        <w:contextualSpacing w:val="0"/>
        <w:rPr>
          <w:rFonts w:cstheme="minorHAnsi"/>
          <w:sz w:val="22"/>
          <w:szCs w:val="22"/>
        </w:rPr>
      </w:pPr>
      <w:r>
        <w:rPr>
          <w:rFonts w:cstheme="minorHAnsi"/>
          <w:sz w:val="22"/>
          <w:szCs w:val="22"/>
        </w:rPr>
        <w:t>i</w:t>
      </w:r>
      <w:r w:rsidR="008B6118">
        <w:rPr>
          <w:rFonts w:cstheme="minorHAnsi"/>
          <w:sz w:val="22"/>
          <w:szCs w:val="22"/>
        </w:rPr>
        <w:t xml:space="preserve">s consistent with </w:t>
      </w:r>
      <w:r w:rsidR="002B4B45">
        <w:rPr>
          <w:rFonts w:cstheme="minorHAnsi"/>
          <w:sz w:val="22"/>
          <w:szCs w:val="22"/>
        </w:rPr>
        <w:t xml:space="preserve">many </w:t>
      </w:r>
      <w:r w:rsidR="008B6118">
        <w:rPr>
          <w:rFonts w:cstheme="minorHAnsi"/>
          <w:sz w:val="22"/>
          <w:szCs w:val="22"/>
        </w:rPr>
        <w:t>other food regulation and labelling transition periods</w:t>
      </w:r>
    </w:p>
    <w:p w14:paraId="34129BE4" w14:textId="4CA05B6F" w:rsidR="000A3464" w:rsidRPr="00CC1ADD" w:rsidRDefault="000A3464" w:rsidP="00901C53">
      <w:pPr>
        <w:pStyle w:val="ListParagraph"/>
        <w:numPr>
          <w:ilvl w:val="0"/>
          <w:numId w:val="26"/>
        </w:numPr>
        <w:contextualSpacing w:val="0"/>
        <w:rPr>
          <w:rFonts w:cstheme="minorHAnsi"/>
          <w:sz w:val="22"/>
          <w:szCs w:val="22"/>
        </w:rPr>
      </w:pPr>
      <w:r w:rsidRPr="00CC1ADD">
        <w:rPr>
          <w:rFonts w:cstheme="minorHAnsi"/>
          <w:sz w:val="22"/>
          <w:szCs w:val="22"/>
        </w:rPr>
        <w:t>acknowledges common contracting periods between suppliers and large retailers (minimising the need for mid-contract renegotiations where labels are affected by changes in HSRs)</w:t>
      </w:r>
    </w:p>
    <w:p w14:paraId="48F354DE" w14:textId="77777777" w:rsidR="000A3464" w:rsidRPr="00CC1ADD" w:rsidRDefault="000A3464" w:rsidP="00901C53">
      <w:pPr>
        <w:pStyle w:val="ListParagraph"/>
        <w:numPr>
          <w:ilvl w:val="0"/>
          <w:numId w:val="26"/>
        </w:numPr>
        <w:contextualSpacing w:val="0"/>
        <w:rPr>
          <w:rFonts w:cstheme="minorHAnsi"/>
          <w:sz w:val="22"/>
          <w:szCs w:val="22"/>
        </w:rPr>
      </w:pPr>
      <w:r w:rsidRPr="00CC1ADD">
        <w:rPr>
          <w:rFonts w:cstheme="minorHAnsi"/>
          <w:sz w:val="22"/>
          <w:szCs w:val="22"/>
        </w:rPr>
        <w:t xml:space="preserve">provides a reasonable period within which manufacturers could reformulate should they wish to avoid label changes </w:t>
      </w:r>
    </w:p>
    <w:p w14:paraId="3A0B96B9" w14:textId="53EAF233" w:rsidR="000A3464" w:rsidRPr="00CC1ADD" w:rsidRDefault="000A3464" w:rsidP="00901C53">
      <w:pPr>
        <w:pStyle w:val="ListParagraph"/>
        <w:numPr>
          <w:ilvl w:val="0"/>
          <w:numId w:val="26"/>
        </w:numPr>
        <w:contextualSpacing w:val="0"/>
        <w:rPr>
          <w:rFonts w:cstheme="minorHAnsi"/>
          <w:sz w:val="22"/>
          <w:szCs w:val="22"/>
        </w:rPr>
      </w:pPr>
      <w:r w:rsidRPr="00CC1ADD">
        <w:rPr>
          <w:rFonts w:cstheme="minorHAnsi"/>
          <w:sz w:val="22"/>
          <w:szCs w:val="22"/>
        </w:rPr>
        <w:t xml:space="preserve">enables adjustments to be made by organisations </w:t>
      </w:r>
      <w:r w:rsidR="002B4B45">
        <w:rPr>
          <w:rFonts w:cstheme="minorHAnsi"/>
          <w:sz w:val="22"/>
          <w:szCs w:val="22"/>
        </w:rPr>
        <w:t>implementing</w:t>
      </w:r>
      <w:r w:rsidRPr="00CC1ADD">
        <w:rPr>
          <w:rFonts w:cstheme="minorHAnsi"/>
          <w:sz w:val="22"/>
          <w:szCs w:val="22"/>
        </w:rPr>
        <w:t xml:space="preserve"> other initiatives that </w:t>
      </w:r>
      <w:r w:rsidR="002B4B45">
        <w:rPr>
          <w:rFonts w:cstheme="minorHAnsi"/>
          <w:sz w:val="22"/>
          <w:szCs w:val="22"/>
        </w:rPr>
        <w:t>complement</w:t>
      </w:r>
      <w:r w:rsidRPr="00CC1ADD">
        <w:rPr>
          <w:rFonts w:cstheme="minorHAnsi"/>
          <w:sz w:val="22"/>
          <w:szCs w:val="22"/>
        </w:rPr>
        <w:t xml:space="preserve"> the HSR System (</w:t>
      </w:r>
      <w:r w:rsidR="004505FF" w:rsidRPr="00CC1ADD">
        <w:rPr>
          <w:rFonts w:cstheme="minorHAnsi"/>
          <w:sz w:val="22"/>
          <w:szCs w:val="22"/>
        </w:rPr>
        <w:t>refer</w:t>
      </w:r>
      <w:r w:rsidRPr="00CC1ADD">
        <w:rPr>
          <w:rFonts w:cstheme="minorHAnsi"/>
          <w:sz w:val="22"/>
          <w:szCs w:val="22"/>
        </w:rPr>
        <w:t xml:space="preserve"> </w:t>
      </w:r>
      <w:r w:rsidRPr="00CC1ADD">
        <w:rPr>
          <w:rFonts w:cstheme="minorHAnsi"/>
          <w:sz w:val="22"/>
          <w:szCs w:val="22"/>
          <w:u w:val="single"/>
        </w:rPr>
        <w:t>Appendix C</w:t>
      </w:r>
      <w:r w:rsidRPr="00CC1ADD">
        <w:rPr>
          <w:rFonts w:cstheme="minorHAnsi"/>
          <w:sz w:val="22"/>
          <w:szCs w:val="22"/>
        </w:rPr>
        <w:t xml:space="preserve"> for examples)</w:t>
      </w:r>
    </w:p>
    <w:p w14:paraId="3184B882" w14:textId="19C86A42" w:rsidR="00F851BC" w:rsidRDefault="000A3464" w:rsidP="00901C53">
      <w:pPr>
        <w:pStyle w:val="ListParagraph"/>
        <w:numPr>
          <w:ilvl w:val="0"/>
          <w:numId w:val="26"/>
        </w:numPr>
        <w:contextualSpacing w:val="0"/>
        <w:rPr>
          <w:rFonts w:cstheme="minorHAnsi"/>
          <w:sz w:val="22"/>
          <w:szCs w:val="22"/>
        </w:rPr>
      </w:pPr>
      <w:r w:rsidRPr="00CC1ADD">
        <w:rPr>
          <w:rFonts w:cstheme="minorHAnsi"/>
          <w:sz w:val="22"/>
          <w:szCs w:val="22"/>
        </w:rPr>
        <w:t xml:space="preserve">provides a reasonable period within which to educate consumers about the changes </w:t>
      </w:r>
    </w:p>
    <w:p w14:paraId="24A0E5A2" w14:textId="5C52C38D" w:rsidR="00143F7D" w:rsidRPr="002B4B45" w:rsidRDefault="00F851BC" w:rsidP="00901C53">
      <w:pPr>
        <w:pStyle w:val="ListParagraph"/>
        <w:numPr>
          <w:ilvl w:val="0"/>
          <w:numId w:val="26"/>
        </w:numPr>
        <w:contextualSpacing w:val="0"/>
        <w:rPr>
          <w:rFonts w:cstheme="minorHAnsi"/>
          <w:sz w:val="22"/>
          <w:szCs w:val="22"/>
        </w:rPr>
      </w:pPr>
      <w:r w:rsidRPr="002B4B45">
        <w:rPr>
          <w:rFonts w:cstheme="minorHAnsi"/>
          <w:sz w:val="22"/>
          <w:szCs w:val="22"/>
        </w:rPr>
        <w:t>acknowledges that some of the areas of greatest change are in product categories where uptake has been high</w:t>
      </w:r>
      <w:r w:rsidR="000A3464" w:rsidRPr="002B4B45">
        <w:rPr>
          <w:rFonts w:cstheme="minorHAnsi"/>
          <w:sz w:val="22"/>
          <w:szCs w:val="22"/>
        </w:rPr>
        <w:t>.</w:t>
      </w:r>
    </w:p>
    <w:p w14:paraId="7B0007FC" w14:textId="6BBA79CE" w:rsidR="001B7452" w:rsidRPr="002B4B45" w:rsidRDefault="001B7452" w:rsidP="0017608D">
      <w:pPr>
        <w:rPr>
          <w:rFonts w:cstheme="minorHAnsi"/>
          <w:sz w:val="22"/>
          <w:szCs w:val="22"/>
        </w:rPr>
      </w:pPr>
    </w:p>
    <w:p w14:paraId="6BDFB6BD" w14:textId="346A794E" w:rsidR="001B7452" w:rsidRPr="002B4B45" w:rsidRDefault="001B7452" w:rsidP="0017608D">
      <w:pPr>
        <w:rPr>
          <w:rFonts w:cstheme="minorHAnsi"/>
          <w:sz w:val="22"/>
          <w:szCs w:val="22"/>
        </w:rPr>
      </w:pPr>
      <w:r w:rsidRPr="002B4B45">
        <w:rPr>
          <w:rFonts w:cstheme="minorHAnsi"/>
          <w:sz w:val="22"/>
          <w:szCs w:val="22"/>
        </w:rPr>
        <w:t xml:space="preserve">Industry stakeholders have requested this period be extended to at least three years. It is acknowledged that for some manufacturers, labelling changes are likely to be extensive, particularly within the non-dairy beverages and confectionery categories (due to the recommendation to remove HSR graphic </w:t>
      </w:r>
      <w:r w:rsidR="00AD7D17">
        <w:rPr>
          <w:rFonts w:cstheme="minorHAnsi"/>
          <w:sz w:val="22"/>
          <w:szCs w:val="22"/>
        </w:rPr>
        <w:t>O</w:t>
      </w:r>
      <w:r w:rsidRPr="002B4B45">
        <w:rPr>
          <w:rFonts w:cstheme="minorHAnsi"/>
          <w:sz w:val="22"/>
          <w:szCs w:val="22"/>
        </w:rPr>
        <w:t>ption 5 from the System)</w:t>
      </w:r>
      <w:r w:rsidR="0085022C" w:rsidRPr="002B4B45">
        <w:rPr>
          <w:rFonts w:cstheme="minorHAnsi"/>
          <w:sz w:val="22"/>
          <w:szCs w:val="22"/>
        </w:rPr>
        <w:t xml:space="preserve"> or where the HSR is displayed on all of a manufacturer’s products</w:t>
      </w:r>
      <w:r w:rsidRPr="002B4B45">
        <w:rPr>
          <w:rFonts w:cstheme="minorHAnsi"/>
          <w:sz w:val="22"/>
          <w:szCs w:val="22"/>
        </w:rPr>
        <w:t>.</w:t>
      </w:r>
    </w:p>
    <w:p w14:paraId="4007AF8D" w14:textId="2023ECC1" w:rsidR="001B7452" w:rsidRPr="002B4B45" w:rsidRDefault="001B7452" w:rsidP="0017608D">
      <w:pPr>
        <w:rPr>
          <w:rFonts w:cstheme="minorHAnsi"/>
          <w:sz w:val="22"/>
          <w:szCs w:val="22"/>
        </w:rPr>
      </w:pPr>
    </w:p>
    <w:p w14:paraId="3C1F0639" w14:textId="130DBC59" w:rsidR="0085022C" w:rsidRPr="002B4B45" w:rsidRDefault="0085022C" w:rsidP="00711616">
      <w:pPr>
        <w:keepNext/>
        <w:keepLines/>
        <w:rPr>
          <w:sz w:val="22"/>
          <w:szCs w:val="22"/>
        </w:rPr>
      </w:pPr>
      <w:r w:rsidRPr="002B4B45">
        <w:rPr>
          <w:rFonts w:cstheme="minorHAnsi"/>
          <w:sz w:val="22"/>
          <w:szCs w:val="22"/>
        </w:rPr>
        <w:t xml:space="preserve">However, an extended transition period would result in a prolonged period of uncertainty where two </w:t>
      </w:r>
      <w:r w:rsidR="002B4B45">
        <w:rPr>
          <w:rFonts w:cstheme="minorHAnsi"/>
          <w:sz w:val="22"/>
          <w:szCs w:val="22"/>
        </w:rPr>
        <w:t xml:space="preserve">quite </w:t>
      </w:r>
      <w:r w:rsidRPr="002B4B45">
        <w:rPr>
          <w:rFonts w:cstheme="minorHAnsi"/>
          <w:sz w:val="22"/>
          <w:szCs w:val="22"/>
        </w:rPr>
        <w:t xml:space="preserve">different HSRs may be displayed on </w:t>
      </w:r>
      <w:r w:rsidR="002B4B45">
        <w:rPr>
          <w:rFonts w:cstheme="minorHAnsi"/>
          <w:sz w:val="22"/>
          <w:szCs w:val="22"/>
        </w:rPr>
        <w:t xml:space="preserve">two similar </w:t>
      </w:r>
      <w:r w:rsidRPr="002B4B45">
        <w:rPr>
          <w:rFonts w:cstheme="minorHAnsi"/>
          <w:sz w:val="22"/>
          <w:szCs w:val="22"/>
        </w:rPr>
        <w:t>product</w:t>
      </w:r>
      <w:r w:rsidR="002B4B45">
        <w:rPr>
          <w:rFonts w:cstheme="minorHAnsi"/>
          <w:sz w:val="22"/>
          <w:szCs w:val="22"/>
        </w:rPr>
        <w:t>s</w:t>
      </w:r>
      <w:r w:rsidRPr="002B4B45">
        <w:rPr>
          <w:rFonts w:cstheme="minorHAnsi"/>
          <w:sz w:val="22"/>
          <w:szCs w:val="22"/>
        </w:rPr>
        <w:t xml:space="preserve">. This </w:t>
      </w:r>
      <w:r w:rsidR="002B4B45">
        <w:rPr>
          <w:rFonts w:cstheme="minorHAnsi"/>
          <w:sz w:val="22"/>
          <w:szCs w:val="22"/>
        </w:rPr>
        <w:t>risks</w:t>
      </w:r>
      <w:r w:rsidRPr="002B4B45">
        <w:rPr>
          <w:rFonts w:cstheme="minorHAnsi"/>
          <w:sz w:val="22"/>
          <w:szCs w:val="22"/>
        </w:rPr>
        <w:t xml:space="preserve"> confus</w:t>
      </w:r>
      <w:r w:rsidR="002B4B45">
        <w:rPr>
          <w:rFonts w:cstheme="minorHAnsi"/>
          <w:sz w:val="22"/>
          <w:szCs w:val="22"/>
        </w:rPr>
        <w:t>ing</w:t>
      </w:r>
      <w:r w:rsidRPr="002B4B45">
        <w:rPr>
          <w:rFonts w:cstheme="minorHAnsi"/>
          <w:sz w:val="22"/>
          <w:szCs w:val="22"/>
        </w:rPr>
        <w:t xml:space="preserve"> consumers and reduc</w:t>
      </w:r>
      <w:r w:rsidR="00AD7D17">
        <w:rPr>
          <w:rFonts w:cstheme="minorHAnsi"/>
          <w:sz w:val="22"/>
          <w:szCs w:val="22"/>
        </w:rPr>
        <w:t>ing</w:t>
      </w:r>
      <w:r w:rsidRPr="002B4B45">
        <w:rPr>
          <w:rFonts w:cstheme="minorHAnsi"/>
          <w:sz w:val="22"/>
          <w:szCs w:val="22"/>
        </w:rPr>
        <w:t xml:space="preserve"> confidence in the HSR System. </w:t>
      </w:r>
      <w:r w:rsidRPr="002B4B45">
        <w:rPr>
          <w:sz w:val="22"/>
          <w:szCs w:val="22"/>
        </w:rPr>
        <w:t xml:space="preserve">Examples such as Country of Origin Labelling show that </w:t>
      </w:r>
      <w:r w:rsidR="00BF476F" w:rsidRPr="002B4B45">
        <w:rPr>
          <w:sz w:val="22"/>
          <w:szCs w:val="22"/>
        </w:rPr>
        <w:t>broad</w:t>
      </w:r>
      <w:r w:rsidRPr="002B4B45">
        <w:rPr>
          <w:sz w:val="22"/>
          <w:szCs w:val="22"/>
        </w:rPr>
        <w:t xml:space="preserve"> labelling change is feasible within a </w:t>
      </w:r>
      <w:r w:rsidR="00BF476F" w:rsidRPr="002B4B45">
        <w:rPr>
          <w:sz w:val="22"/>
          <w:szCs w:val="22"/>
        </w:rPr>
        <w:t>two-year</w:t>
      </w:r>
      <w:r w:rsidRPr="002B4B45">
        <w:rPr>
          <w:sz w:val="22"/>
          <w:szCs w:val="22"/>
        </w:rPr>
        <w:t xml:space="preserve"> period. </w:t>
      </w:r>
    </w:p>
    <w:p w14:paraId="044E2E8F" w14:textId="77777777" w:rsidR="0085022C" w:rsidRPr="002B4B45" w:rsidRDefault="0085022C" w:rsidP="0017608D">
      <w:pPr>
        <w:rPr>
          <w:rFonts w:cstheme="minorHAnsi"/>
          <w:sz w:val="22"/>
          <w:szCs w:val="22"/>
        </w:rPr>
      </w:pPr>
    </w:p>
    <w:p w14:paraId="685B2C66" w14:textId="6A4197CF" w:rsidR="008B6118" w:rsidRPr="0017608D" w:rsidRDefault="002B4B45" w:rsidP="0017608D">
      <w:pPr>
        <w:rPr>
          <w:rFonts w:cstheme="minorHAnsi"/>
          <w:sz w:val="22"/>
          <w:szCs w:val="22"/>
        </w:rPr>
      </w:pPr>
      <w:r>
        <w:rPr>
          <w:rFonts w:cstheme="minorHAnsi"/>
          <w:sz w:val="22"/>
          <w:szCs w:val="22"/>
        </w:rPr>
        <w:t>Effective c</w:t>
      </w:r>
      <w:r w:rsidR="00CF3274" w:rsidRPr="002B4B45">
        <w:rPr>
          <w:rFonts w:cstheme="minorHAnsi"/>
          <w:sz w:val="22"/>
          <w:szCs w:val="22"/>
        </w:rPr>
        <w:t xml:space="preserve">hange management will be </w:t>
      </w:r>
      <w:r w:rsidR="00BF476F" w:rsidRPr="002B4B45">
        <w:rPr>
          <w:rFonts w:cstheme="minorHAnsi"/>
          <w:sz w:val="22"/>
          <w:szCs w:val="22"/>
        </w:rPr>
        <w:t>crucial</w:t>
      </w:r>
      <w:r w:rsidR="00CF3274" w:rsidRPr="002B4B45">
        <w:rPr>
          <w:rFonts w:cstheme="minorHAnsi"/>
          <w:sz w:val="22"/>
          <w:szCs w:val="22"/>
        </w:rPr>
        <w:t xml:space="preserve"> throughout th</w:t>
      </w:r>
      <w:r w:rsidR="00BF476F" w:rsidRPr="002B4B45">
        <w:rPr>
          <w:rFonts w:cstheme="minorHAnsi"/>
          <w:sz w:val="22"/>
          <w:szCs w:val="22"/>
        </w:rPr>
        <w:t>e</w:t>
      </w:r>
      <w:r w:rsidR="00CF3274" w:rsidRPr="002B4B45">
        <w:rPr>
          <w:rFonts w:cstheme="minorHAnsi"/>
          <w:sz w:val="22"/>
          <w:szCs w:val="22"/>
        </w:rPr>
        <w:t xml:space="preserve"> </w:t>
      </w:r>
      <w:r w:rsidR="00BF476F" w:rsidRPr="002B4B45">
        <w:rPr>
          <w:rFonts w:cstheme="minorHAnsi"/>
          <w:sz w:val="22"/>
          <w:szCs w:val="22"/>
        </w:rPr>
        <w:t xml:space="preserve">transition </w:t>
      </w:r>
      <w:r w:rsidR="00CF3274" w:rsidRPr="002B4B45">
        <w:rPr>
          <w:rFonts w:cstheme="minorHAnsi"/>
          <w:sz w:val="22"/>
          <w:szCs w:val="22"/>
        </w:rPr>
        <w:t xml:space="preserve">period. </w:t>
      </w:r>
      <w:r w:rsidR="00BF476F" w:rsidRPr="002B4B45">
        <w:rPr>
          <w:rFonts w:cstheme="minorHAnsi"/>
          <w:sz w:val="22"/>
          <w:szCs w:val="22"/>
        </w:rPr>
        <w:t xml:space="preserve">Updated guidance materials must </w:t>
      </w:r>
      <w:r w:rsidR="00AD7D17">
        <w:rPr>
          <w:rFonts w:cstheme="minorHAnsi"/>
          <w:sz w:val="22"/>
          <w:szCs w:val="22"/>
        </w:rPr>
        <w:t xml:space="preserve">be </w:t>
      </w:r>
      <w:r w:rsidR="00BF476F" w:rsidRPr="002B4B45">
        <w:rPr>
          <w:rFonts w:cstheme="minorHAnsi"/>
          <w:sz w:val="22"/>
          <w:szCs w:val="22"/>
        </w:rPr>
        <w:t xml:space="preserve">clear, easy to apply and available prior to the commencement of the transition period. The HSR Secretariat and the HSRAC must provide </w:t>
      </w:r>
      <w:r w:rsidR="00010CF6" w:rsidRPr="002B4B45">
        <w:rPr>
          <w:rFonts w:cstheme="minorHAnsi"/>
          <w:sz w:val="22"/>
          <w:szCs w:val="22"/>
        </w:rPr>
        <w:t xml:space="preserve">effective </w:t>
      </w:r>
      <w:r w:rsidR="00BF476F" w:rsidRPr="002B4B45">
        <w:rPr>
          <w:rFonts w:cstheme="minorHAnsi"/>
          <w:sz w:val="22"/>
          <w:szCs w:val="22"/>
        </w:rPr>
        <w:t xml:space="preserve">support to industry to clarify queries and </w:t>
      </w:r>
      <w:r w:rsidR="00010CF6" w:rsidRPr="002B4B45">
        <w:rPr>
          <w:rFonts w:cstheme="minorHAnsi"/>
          <w:sz w:val="22"/>
          <w:szCs w:val="22"/>
        </w:rPr>
        <w:t>assist in</w:t>
      </w:r>
      <w:r w:rsidR="00BF476F" w:rsidRPr="002B4B45">
        <w:rPr>
          <w:rFonts w:cstheme="minorHAnsi"/>
          <w:sz w:val="22"/>
          <w:szCs w:val="22"/>
        </w:rPr>
        <w:t xml:space="preserve"> </w:t>
      </w:r>
      <w:r w:rsidR="00010CF6" w:rsidRPr="002B4B45">
        <w:rPr>
          <w:rFonts w:cstheme="minorHAnsi"/>
          <w:sz w:val="22"/>
          <w:szCs w:val="22"/>
        </w:rPr>
        <w:t>applying</w:t>
      </w:r>
      <w:r w:rsidR="00BF476F" w:rsidRPr="002B4B45">
        <w:rPr>
          <w:rFonts w:cstheme="minorHAnsi"/>
          <w:sz w:val="22"/>
          <w:szCs w:val="22"/>
        </w:rPr>
        <w:t xml:space="preserve"> the new HSR Calculator and communicate with consumers to explain the changes</w:t>
      </w:r>
      <w:r w:rsidR="002E732B" w:rsidRPr="002B4B45">
        <w:rPr>
          <w:rFonts w:cstheme="minorHAnsi"/>
          <w:sz w:val="22"/>
          <w:szCs w:val="22"/>
        </w:rPr>
        <w:t xml:space="preserve"> (refer Chapters </w:t>
      </w:r>
      <w:r w:rsidR="00010CF6" w:rsidRPr="002B4B45">
        <w:rPr>
          <w:rFonts w:cstheme="minorHAnsi"/>
          <w:sz w:val="22"/>
          <w:szCs w:val="22"/>
        </w:rPr>
        <w:t xml:space="preserve">4, </w:t>
      </w:r>
      <w:r w:rsidR="002E732B" w:rsidRPr="002B4B45">
        <w:rPr>
          <w:rFonts w:cstheme="minorHAnsi"/>
          <w:sz w:val="22"/>
          <w:szCs w:val="22"/>
        </w:rPr>
        <w:t>6</w:t>
      </w:r>
      <w:r w:rsidR="00010CF6" w:rsidRPr="002B4B45">
        <w:rPr>
          <w:rFonts w:cstheme="minorHAnsi"/>
          <w:sz w:val="22"/>
          <w:szCs w:val="22"/>
        </w:rPr>
        <w:t xml:space="preserve"> and 7</w:t>
      </w:r>
      <w:r w:rsidR="002E732B" w:rsidRPr="002B4B45">
        <w:rPr>
          <w:rFonts w:cstheme="minorHAnsi"/>
          <w:sz w:val="22"/>
          <w:szCs w:val="22"/>
        </w:rPr>
        <w:t>)</w:t>
      </w:r>
      <w:r w:rsidR="00CF3274" w:rsidRPr="002B4B45">
        <w:rPr>
          <w:rFonts w:cstheme="minorHAnsi"/>
          <w:sz w:val="22"/>
          <w:szCs w:val="22"/>
        </w:rPr>
        <w:t>.</w:t>
      </w:r>
      <w:r w:rsidR="00CF3274">
        <w:rPr>
          <w:rFonts w:cstheme="minorHAnsi"/>
          <w:sz w:val="22"/>
          <w:szCs w:val="22"/>
        </w:rPr>
        <w:t xml:space="preserve"> </w:t>
      </w:r>
    </w:p>
    <w:p w14:paraId="088FB201" w14:textId="77777777" w:rsidR="004A580D" w:rsidRPr="00CC1ADD" w:rsidRDefault="000A3464">
      <w:pPr>
        <w:pStyle w:val="mpcheading1"/>
      </w:pPr>
      <w:r w:rsidRPr="00CC1ADD">
        <w:rPr>
          <w:rFonts w:cstheme="minorHAnsi"/>
          <w:sz w:val="22"/>
          <w:szCs w:val="22"/>
        </w:rPr>
        <w:br w:type="column"/>
      </w:r>
      <w:bookmarkStart w:id="120" w:name="Chapter6"/>
      <w:bookmarkStart w:id="121" w:name="_Toc9955062"/>
      <w:bookmarkEnd w:id="120"/>
      <w:r w:rsidR="004A580D" w:rsidRPr="00CC1ADD">
        <w:t>Chapter 6 – Management of the Health Star Rating System</w:t>
      </w:r>
      <w:bookmarkEnd w:id="121"/>
      <w:r w:rsidR="004A580D" w:rsidRPr="00CC1ADD">
        <w:t xml:space="preserve"> </w:t>
      </w:r>
    </w:p>
    <w:p w14:paraId="0BAC8AF6" w14:textId="77777777" w:rsidR="004A580D" w:rsidRPr="00CC1ADD" w:rsidRDefault="004A580D">
      <w:pPr>
        <w:pStyle w:val="mpcheading2"/>
        <w:rPr>
          <w:lang w:eastAsia="en-GB"/>
        </w:rPr>
      </w:pPr>
      <w:bookmarkStart w:id="122" w:name="Summary6"/>
      <w:bookmarkStart w:id="123" w:name="_Toc9955063"/>
      <w:bookmarkEnd w:id="122"/>
      <w:r w:rsidRPr="00CC1ADD">
        <w:rPr>
          <w:lang w:eastAsia="en-GB"/>
        </w:rPr>
        <w:t>Summary</w:t>
      </w:r>
      <w:bookmarkEnd w:id="123"/>
    </w:p>
    <w:p w14:paraId="32C7E45D" w14:textId="77777777" w:rsidR="008F12EF" w:rsidRDefault="008F12EF" w:rsidP="008F12EF">
      <w:pPr>
        <w:pStyle w:val="mpcNormal"/>
      </w:pPr>
      <w:r>
        <w:t>Effective</w:t>
      </w:r>
      <w:r w:rsidRPr="008324C4">
        <w:t xml:space="preserve"> public health interventions </w:t>
      </w:r>
      <w:r>
        <w:t xml:space="preserve">rely on strong foundations, </w:t>
      </w:r>
      <w:r w:rsidRPr="008324C4">
        <w:t>includ</w:t>
      </w:r>
      <w:r>
        <w:t>ing</w:t>
      </w:r>
      <w:r w:rsidRPr="008324C4">
        <w:t>:</w:t>
      </w:r>
    </w:p>
    <w:p w14:paraId="399097C8" w14:textId="77777777" w:rsidR="008F12EF" w:rsidRPr="008324C4" w:rsidRDefault="008F12EF" w:rsidP="008F12EF">
      <w:pPr>
        <w:pStyle w:val="mpcNormal"/>
      </w:pPr>
    </w:p>
    <w:p w14:paraId="7B1B9EE2" w14:textId="77777777" w:rsidR="008F12EF" w:rsidRPr="008F12EF" w:rsidRDefault="008F12EF" w:rsidP="007E0D2C">
      <w:pPr>
        <w:pStyle w:val="mpcbullets1"/>
      </w:pPr>
      <w:r w:rsidRPr="008F12EF">
        <w:t>clear leadership, accountability, strategy and management structures</w:t>
      </w:r>
    </w:p>
    <w:p w14:paraId="6DAB2C06" w14:textId="77777777" w:rsidR="008F12EF" w:rsidRPr="008F12EF" w:rsidRDefault="008F12EF" w:rsidP="007E0D2C">
      <w:pPr>
        <w:pStyle w:val="mpcbullets1"/>
      </w:pPr>
      <w:r w:rsidRPr="008F12EF">
        <w:t>effective engagement of stakeholders both within and outside governments</w:t>
      </w:r>
    </w:p>
    <w:p w14:paraId="5AC4DFFC" w14:textId="51982486" w:rsidR="008F12EF" w:rsidRPr="008F12EF" w:rsidRDefault="008F12EF" w:rsidP="007E0D2C">
      <w:pPr>
        <w:pStyle w:val="mpcbullets1"/>
      </w:pPr>
      <w:r w:rsidRPr="008F12EF">
        <w:t>ongoing collection of data and effective monitoring and evaluation to assess the impact of the intervention over time.</w:t>
      </w:r>
      <w:r w:rsidRPr="008F12EF">
        <w:rPr>
          <w:vertAlign w:val="superscript"/>
        </w:rPr>
        <w:footnoteReference w:id="101"/>
      </w:r>
    </w:p>
    <w:p w14:paraId="4DD19F7C" w14:textId="77777777" w:rsidR="008F12EF" w:rsidRDefault="008F12EF" w:rsidP="008F12EF">
      <w:pPr>
        <w:pStyle w:val="mpcNormal"/>
      </w:pPr>
    </w:p>
    <w:p w14:paraId="7DE0492F" w14:textId="77777777" w:rsidR="008F12EF" w:rsidRDefault="008F12EF" w:rsidP="008F12EF">
      <w:pPr>
        <w:pStyle w:val="mpcNormal"/>
      </w:pPr>
      <w:r>
        <w:t>These foundations have largely existed for the HSR System. For example:</w:t>
      </w:r>
    </w:p>
    <w:p w14:paraId="20649AEB" w14:textId="77777777" w:rsidR="008F12EF" w:rsidRDefault="008F12EF" w:rsidP="008F12EF">
      <w:pPr>
        <w:pStyle w:val="mpcNormal"/>
      </w:pPr>
    </w:p>
    <w:p w14:paraId="4E97F32D" w14:textId="1F449F8B" w:rsidR="008F12EF" w:rsidRDefault="008F12EF" w:rsidP="007E0D2C">
      <w:pPr>
        <w:pStyle w:val="mpcbullets1"/>
      </w:pPr>
      <w:r w:rsidRPr="008F12EF">
        <w:t>the</w:t>
      </w:r>
      <w:r>
        <w:t xml:space="preserve"> S</w:t>
      </w:r>
      <w:r w:rsidRPr="00CC1ADD">
        <w:t>ystem has been stewarded by the HSRAC, a committee accountable to the FRSC and the Forum</w:t>
      </w:r>
    </w:p>
    <w:p w14:paraId="3658DBF7" w14:textId="0C35763E" w:rsidR="008F12EF" w:rsidRDefault="008F12EF" w:rsidP="00173A82">
      <w:pPr>
        <w:pStyle w:val="mpcbullets2"/>
      </w:pPr>
      <w:r w:rsidRPr="00CC1ADD">
        <w:t xml:space="preserve">Key </w:t>
      </w:r>
      <w:r w:rsidRPr="008F12EF">
        <w:t>strengths</w:t>
      </w:r>
      <w:r w:rsidRPr="00CC1ADD">
        <w:t xml:space="preserve"> of the arrangements have included: </w:t>
      </w:r>
      <w:r w:rsidR="003C27A4" w:rsidRPr="00CC1ADD">
        <w:t xml:space="preserve">cooperative working </w:t>
      </w:r>
      <w:r w:rsidR="003C27A4">
        <w:t>relationships</w:t>
      </w:r>
      <w:r w:rsidR="003C27A4" w:rsidRPr="00CC1ADD">
        <w:t xml:space="preserve"> between industry, public health, consumer groups and government; </w:t>
      </w:r>
      <w:r>
        <w:t>clear accountabilities between</w:t>
      </w:r>
      <w:r w:rsidR="00E7786C">
        <w:t xml:space="preserve"> the</w:t>
      </w:r>
      <w:r>
        <w:t xml:space="preserve"> HSRAC and </w:t>
      </w:r>
      <w:r w:rsidR="00E7786C">
        <w:t xml:space="preserve">the </w:t>
      </w:r>
      <w:r>
        <w:t>FRSC</w:t>
      </w:r>
      <w:r w:rsidRPr="009547E1">
        <w:t xml:space="preserve"> </w:t>
      </w:r>
      <w:r>
        <w:t xml:space="preserve">(with </w:t>
      </w:r>
      <w:r w:rsidR="00E7786C">
        <w:t xml:space="preserve">the </w:t>
      </w:r>
      <w:r>
        <w:t xml:space="preserve">FRSC/the Forum maintaining ultimate responsibility for policy decisions relating to the HSR System); and a high degree of </w:t>
      </w:r>
      <w:r w:rsidRPr="00CC1ADD">
        <w:t>transparency</w:t>
      </w:r>
      <w:r>
        <w:t>.</w:t>
      </w:r>
    </w:p>
    <w:p w14:paraId="09FB6BAD" w14:textId="7A05DE65" w:rsidR="008F12EF" w:rsidRPr="008F12EF" w:rsidRDefault="008F12EF" w:rsidP="007E0D2C">
      <w:pPr>
        <w:pStyle w:val="mpcbullets1"/>
      </w:pPr>
      <w:r w:rsidRPr="008F12EF">
        <w:t>System implementation and any changes to the System have been supported by a high degree of stakeholder interest, engagement and extensive consultation</w:t>
      </w:r>
    </w:p>
    <w:p w14:paraId="0D5E7044" w14:textId="350C6FFB" w:rsidR="008F12EF" w:rsidRDefault="008F12EF" w:rsidP="007E0D2C">
      <w:pPr>
        <w:pStyle w:val="mpcbullets1"/>
      </w:pPr>
      <w:r>
        <w:t>the performance of the System has been monitored and evaluated, with findings informing this Review and influencing adjustments to communications with stakeholders (refer Chapters 3 and 4).</w:t>
      </w:r>
    </w:p>
    <w:p w14:paraId="7B059ED1" w14:textId="77777777" w:rsidR="008F12EF" w:rsidRDefault="008F12EF" w:rsidP="008F12EF">
      <w:pPr>
        <w:pStyle w:val="mpcNormal"/>
      </w:pPr>
    </w:p>
    <w:p w14:paraId="21AAA805" w14:textId="71DF64AF" w:rsidR="008F12EF" w:rsidRDefault="008F12EF" w:rsidP="008F12EF">
      <w:pPr>
        <w:pStyle w:val="mpcNormal"/>
      </w:pPr>
      <w:r>
        <w:t>Importantly, the System has also been supported by Australian, State and Territory and New Zealand governments – both financially and through the participation of government officers in HSR System governance committees. This has provided confidence in the System, enabled national campaigns to be run and facilitated monitoring of the System across Australia and New Zealand.</w:t>
      </w:r>
    </w:p>
    <w:p w14:paraId="2AFC9777" w14:textId="77777777" w:rsidR="008F12EF" w:rsidRPr="00CC1ADD" w:rsidRDefault="008F12EF" w:rsidP="008F12EF">
      <w:pPr>
        <w:pStyle w:val="mpcNormal"/>
      </w:pPr>
    </w:p>
    <w:p w14:paraId="374B8D4B" w14:textId="45583CA9" w:rsidR="008F12EF" w:rsidRDefault="008F12EF" w:rsidP="008F12EF">
      <w:pPr>
        <w:pStyle w:val="mpcNormal"/>
      </w:pPr>
      <w:r>
        <w:t xml:space="preserve">The next </w:t>
      </w:r>
      <w:r w:rsidR="00BD6E51">
        <w:t>few</w:t>
      </w:r>
      <w:r>
        <w:t xml:space="preserve"> years will be critical to the HSR System. Over this time, changes will be implemented to better align the System with Dietary Guidelines and address consumer concerns, </w:t>
      </w:r>
      <w:r w:rsidR="00A90016">
        <w:t>with</w:t>
      </w:r>
      <w:r>
        <w:t xml:space="preserve"> uptake by industry expected to increase considerably.</w:t>
      </w:r>
    </w:p>
    <w:p w14:paraId="687840A6" w14:textId="77777777" w:rsidR="008F12EF" w:rsidRDefault="008F12EF" w:rsidP="008F12EF">
      <w:pPr>
        <w:pStyle w:val="mpcNormal"/>
      </w:pPr>
    </w:p>
    <w:p w14:paraId="6855084E" w14:textId="77777777" w:rsidR="008F12EF" w:rsidRDefault="008F12EF" w:rsidP="008F12EF">
      <w:pPr>
        <w:pStyle w:val="mpcNormal"/>
      </w:pPr>
      <w:r>
        <w:t>This change process will need to be managed carefully in order to ensure that:</w:t>
      </w:r>
    </w:p>
    <w:p w14:paraId="212C76AC" w14:textId="77777777" w:rsidR="008F12EF" w:rsidRDefault="008F12EF" w:rsidP="008F12EF">
      <w:pPr>
        <w:pStyle w:val="mpcNormal"/>
      </w:pPr>
    </w:p>
    <w:p w14:paraId="41D17243" w14:textId="5EDCE29B" w:rsidR="008F12EF" w:rsidRPr="008F12EF" w:rsidRDefault="008F12EF" w:rsidP="007E0D2C">
      <w:pPr>
        <w:pStyle w:val="mpcbullets1"/>
      </w:pPr>
      <w:r w:rsidRPr="008F12EF">
        <w:t>the reason</w:t>
      </w:r>
      <w:r>
        <w:t>s</w:t>
      </w:r>
      <w:r w:rsidRPr="008F12EF">
        <w:t xml:space="preserve"> for changes to </w:t>
      </w:r>
      <w:r>
        <w:t xml:space="preserve">the </w:t>
      </w:r>
      <w:r w:rsidRPr="008F12EF">
        <w:t>HSR</w:t>
      </w:r>
      <w:r>
        <w:t xml:space="preserve"> System are</w:t>
      </w:r>
      <w:r w:rsidRPr="008F12EF">
        <w:t xml:space="preserve"> understood by consumers</w:t>
      </w:r>
    </w:p>
    <w:p w14:paraId="1B193CA6" w14:textId="77777777" w:rsidR="008F12EF" w:rsidRPr="008F12EF" w:rsidRDefault="008F12EF" w:rsidP="007E0D2C">
      <w:pPr>
        <w:pStyle w:val="mpcbullets1"/>
      </w:pPr>
      <w:r w:rsidRPr="008F12EF">
        <w:t>there is appropriate support for industry in adopting the changes (including guidance materials and the opportunity for anomalies and complaints to be considered)</w:t>
      </w:r>
    </w:p>
    <w:p w14:paraId="32386AA5" w14:textId="52936659" w:rsidR="008F12EF" w:rsidRPr="008F12EF" w:rsidRDefault="008F12EF" w:rsidP="007E0D2C">
      <w:pPr>
        <w:pStyle w:val="mpcbullets1"/>
      </w:pPr>
      <w:r w:rsidRPr="008F12EF">
        <w:t xml:space="preserve">industry appropriately applies </w:t>
      </w:r>
      <w:r>
        <w:t>the</w:t>
      </w:r>
      <w:r w:rsidRPr="008F12EF">
        <w:t xml:space="preserve"> </w:t>
      </w:r>
      <w:r>
        <w:t>System</w:t>
      </w:r>
      <w:r w:rsidRPr="008F12EF">
        <w:t xml:space="preserve"> and makes steady progress towards the uptake target described in Chapter 7</w:t>
      </w:r>
    </w:p>
    <w:p w14:paraId="39601A94" w14:textId="77777777" w:rsidR="008F12EF" w:rsidRDefault="008F12EF" w:rsidP="007E0D2C">
      <w:pPr>
        <w:pStyle w:val="mpcbullets1"/>
      </w:pPr>
      <w:r w:rsidRPr="008F12EF">
        <w:t>related government initiatives (such as reformulation activities and healthy food and drink policies that reference the HSR System) can</w:t>
      </w:r>
      <w:r>
        <w:t xml:space="preserve"> be adjusted as needed.</w:t>
      </w:r>
    </w:p>
    <w:p w14:paraId="36E8630D" w14:textId="77777777" w:rsidR="008F12EF" w:rsidRDefault="008F12EF" w:rsidP="008F12EF">
      <w:pPr>
        <w:rPr>
          <w:sz w:val="22"/>
          <w:szCs w:val="22"/>
        </w:rPr>
      </w:pPr>
    </w:p>
    <w:p w14:paraId="0C2CC7E9" w14:textId="77777777" w:rsidR="008F12EF" w:rsidRDefault="008F12EF" w:rsidP="00676537">
      <w:pPr>
        <w:pStyle w:val="mpcNormal"/>
        <w:keepNext w:val="0"/>
      </w:pPr>
      <w:r>
        <w:t>A</w:t>
      </w:r>
      <w:r w:rsidRPr="00CC1ADD">
        <w:t xml:space="preserve">s the HSR System moves into the next stage of implementation, </w:t>
      </w:r>
      <w:r>
        <w:t>the Review recommends:</w:t>
      </w:r>
    </w:p>
    <w:p w14:paraId="2CFDF57C" w14:textId="77777777" w:rsidR="008F12EF" w:rsidRDefault="008F12EF" w:rsidP="00676537">
      <w:pPr>
        <w:pStyle w:val="mpcNormal"/>
        <w:keepNext w:val="0"/>
      </w:pPr>
    </w:p>
    <w:p w14:paraId="25BF6699" w14:textId="6022F98A" w:rsidR="008F12EF" w:rsidRPr="008F12EF" w:rsidRDefault="008F12EF" w:rsidP="00676537">
      <w:pPr>
        <w:pStyle w:val="mpcbullets1"/>
        <w:keepNext w:val="0"/>
      </w:pPr>
      <w:r w:rsidRPr="008F12EF">
        <w:t xml:space="preserve">government funding is continued for a further </w:t>
      </w:r>
      <w:r w:rsidR="00BD6E51">
        <w:t>four</w:t>
      </w:r>
      <w:r w:rsidRPr="008F12EF">
        <w:t xml:space="preserve"> years </w:t>
      </w:r>
    </w:p>
    <w:p w14:paraId="779AAA43" w14:textId="15DBCD2F" w:rsidR="008F12EF" w:rsidRPr="00FE529B" w:rsidRDefault="008F12EF" w:rsidP="00676537">
      <w:pPr>
        <w:pStyle w:val="mpcbullets1"/>
        <w:keepNext w:val="0"/>
      </w:pPr>
      <w:r w:rsidRPr="008F12EF">
        <w:t>minor changes</w:t>
      </w:r>
      <w:r w:rsidRPr="00FE529B">
        <w:t xml:space="preserve"> </w:t>
      </w:r>
      <w:r w:rsidR="00A90016">
        <w:t>are</w:t>
      </w:r>
      <w:r w:rsidRPr="00FE529B">
        <w:t xml:space="preserve"> made to the governance arrangements </w:t>
      </w:r>
    </w:p>
    <w:p w14:paraId="538A19CA" w14:textId="196843CA" w:rsidR="008F12EF" w:rsidRPr="00CC1ADD" w:rsidRDefault="008F12EF" w:rsidP="00676537">
      <w:pPr>
        <w:pStyle w:val="mpcbullets1"/>
        <w:keepNext w:val="0"/>
      </w:pPr>
      <w:r w:rsidRPr="00FE529B">
        <w:t xml:space="preserve">critical infrastructure </w:t>
      </w:r>
      <w:r>
        <w:t xml:space="preserve">necessary </w:t>
      </w:r>
      <w:r w:rsidRPr="00FE529B">
        <w:t>to support implementation and evaluation of food</w:t>
      </w:r>
      <w:r w:rsidR="00E7786C">
        <w:t xml:space="preserve"> and </w:t>
      </w:r>
      <w:r w:rsidRPr="00FE529B">
        <w:t>nutrition</w:t>
      </w:r>
      <w:r w:rsidRPr="00FE529B">
        <w:noBreakHyphen/>
        <w:t>related public health initiatives</w:t>
      </w:r>
      <w:r w:rsidR="00A90016">
        <w:t xml:space="preserve"> is enhanced</w:t>
      </w:r>
      <w:r w:rsidR="00E7786C">
        <w:t xml:space="preserve">. </w:t>
      </w:r>
    </w:p>
    <w:p w14:paraId="1347BFDD" w14:textId="77777777" w:rsidR="008F12EF" w:rsidRDefault="008F12EF" w:rsidP="008F12EF"/>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Caption w:val="Rec 6"/>
        <w:tblDescription w:val="Recommendation 6:  HSR System implementation continue to be jointly funded by Australian, State and Territory and New Zealand governments for a further four years."/>
      </w:tblPr>
      <w:tblGrid>
        <w:gridCol w:w="9736"/>
      </w:tblGrid>
      <w:tr w:rsidR="008F12EF" w:rsidRPr="00CC1ADD" w14:paraId="6768C944" w14:textId="77777777" w:rsidTr="00BD6E51">
        <w:trPr>
          <w:trHeight w:val="791"/>
        </w:trPr>
        <w:tc>
          <w:tcPr>
            <w:tcW w:w="9736" w:type="dxa"/>
            <w:shd w:val="clear" w:color="auto" w:fill="D9E2F3" w:themeFill="accent1" w:themeFillTint="33"/>
            <w:vAlign w:val="center"/>
          </w:tcPr>
          <w:p w14:paraId="42984A57" w14:textId="22C54FFD" w:rsidR="008F12EF" w:rsidRPr="00D42FCE" w:rsidRDefault="008F12EF" w:rsidP="00E7786C">
            <w:pPr>
              <w:keepNext/>
              <w:ind w:left="2160" w:hanging="2160"/>
            </w:pPr>
            <w:r w:rsidRPr="00CC1ADD">
              <w:rPr>
                <w:b/>
                <w:sz w:val="22"/>
                <w:szCs w:val="22"/>
              </w:rPr>
              <w:t xml:space="preserve">Recommendation </w:t>
            </w:r>
            <w:r>
              <w:rPr>
                <w:b/>
                <w:sz w:val="22"/>
                <w:szCs w:val="22"/>
              </w:rPr>
              <w:t>6</w:t>
            </w:r>
            <w:r w:rsidRPr="00CC1ADD">
              <w:rPr>
                <w:b/>
                <w:sz w:val="22"/>
                <w:szCs w:val="22"/>
              </w:rPr>
              <w:t xml:space="preserve">: </w:t>
            </w:r>
            <w:r w:rsidRPr="00CC1ADD">
              <w:rPr>
                <w:b/>
                <w:sz w:val="22"/>
                <w:szCs w:val="22"/>
              </w:rPr>
              <w:tab/>
              <w:t>HSR System implementation</w:t>
            </w:r>
            <w:r>
              <w:rPr>
                <w:b/>
                <w:sz w:val="22"/>
                <w:szCs w:val="22"/>
              </w:rPr>
              <w:t xml:space="preserve"> continue to </w:t>
            </w:r>
            <w:r w:rsidRPr="00CC1ADD">
              <w:rPr>
                <w:b/>
                <w:sz w:val="22"/>
                <w:szCs w:val="22"/>
              </w:rPr>
              <w:t>be jointly funded by Australia</w:t>
            </w:r>
            <w:r>
              <w:rPr>
                <w:b/>
                <w:sz w:val="22"/>
                <w:szCs w:val="22"/>
              </w:rPr>
              <w:t>n</w:t>
            </w:r>
            <w:r w:rsidRPr="00CC1ADD">
              <w:rPr>
                <w:b/>
                <w:sz w:val="22"/>
                <w:szCs w:val="22"/>
              </w:rPr>
              <w:t xml:space="preserve">, State </w:t>
            </w:r>
            <w:r w:rsidRPr="00E7786C">
              <w:rPr>
                <w:b/>
                <w:sz w:val="22"/>
                <w:szCs w:val="22"/>
              </w:rPr>
              <w:t>and Territory and New Zealand governments for a further four years</w:t>
            </w:r>
            <w:r w:rsidR="00372E4A">
              <w:rPr>
                <w:b/>
              </w:rPr>
              <w:t>.</w:t>
            </w:r>
          </w:p>
        </w:tc>
      </w:tr>
    </w:tbl>
    <w:p w14:paraId="39FE117E" w14:textId="77777777" w:rsidR="008F12EF" w:rsidRPr="009547E1" w:rsidRDefault="008F12EF" w:rsidP="008F12EF">
      <w:pPr>
        <w:rPr>
          <w:sz w:val="22"/>
          <w:szCs w:val="22"/>
        </w:rPr>
      </w:pPr>
    </w:p>
    <w:tbl>
      <w:tblPr>
        <w:tblStyle w:val="TableGrid"/>
        <w:tblW w:w="0" w:type="auto"/>
        <w:tblLook w:val="04A0" w:firstRow="1" w:lastRow="0" w:firstColumn="1" w:lastColumn="0" w:noHBand="0" w:noVBand="1"/>
        <w:tblCaption w:val="Rec 7"/>
        <w:tblDescription w:val="Recommendation 7:  Minor changes be made to the governance of the HSR System to:&#10;&#10;• support greater consumer confidence in the System by transferring the management of the HSR Calculator and TAG database to FSANZ&#10;• clarify the role of governance committees &#10;• increase the transparency of the System&#10;• improve monitoring, enabling the System to be more responsive."/>
      </w:tblPr>
      <w:tblGrid>
        <w:gridCol w:w="9736"/>
      </w:tblGrid>
      <w:tr w:rsidR="008F12EF" w:rsidRPr="00CC1ADD" w14:paraId="31438937" w14:textId="77777777" w:rsidTr="00BD6E51">
        <w:trPr>
          <w:trHeight w:val="2120"/>
        </w:trPr>
        <w:tc>
          <w:tcPr>
            <w:tcW w:w="9736" w:type="dxa"/>
            <w:shd w:val="clear" w:color="auto" w:fill="D9E2F3" w:themeFill="accent1" w:themeFillTint="33"/>
            <w:vAlign w:val="center"/>
          </w:tcPr>
          <w:p w14:paraId="72A4212A" w14:textId="77777777" w:rsidR="008F12EF" w:rsidRPr="00CC1ADD" w:rsidRDefault="008F12EF" w:rsidP="00E7786C">
            <w:pPr>
              <w:pStyle w:val="mpcNormal"/>
              <w:rPr>
                <w:b/>
              </w:rPr>
            </w:pPr>
            <w:r w:rsidRPr="00CC1ADD">
              <w:rPr>
                <w:b/>
              </w:rPr>
              <w:t xml:space="preserve">Recommendation </w:t>
            </w:r>
            <w:r>
              <w:rPr>
                <w:b/>
              </w:rPr>
              <w:t>7</w:t>
            </w:r>
            <w:r w:rsidRPr="00CC1ADD">
              <w:rPr>
                <w:b/>
              </w:rPr>
              <w:t xml:space="preserve">: </w:t>
            </w:r>
            <w:r>
              <w:rPr>
                <w:b/>
              </w:rPr>
              <w:tab/>
              <w:t>Minor changes be made to the governance of the H</w:t>
            </w:r>
            <w:r w:rsidRPr="00CC1ADD">
              <w:rPr>
                <w:b/>
              </w:rPr>
              <w:t xml:space="preserve">SR System </w:t>
            </w:r>
            <w:r>
              <w:rPr>
                <w:b/>
              </w:rPr>
              <w:t>to:</w:t>
            </w:r>
          </w:p>
          <w:p w14:paraId="1D994697" w14:textId="77777777" w:rsidR="008F12EF" w:rsidRPr="00CC1ADD" w:rsidRDefault="008F12EF" w:rsidP="00E7786C">
            <w:pPr>
              <w:pStyle w:val="mpcNormal"/>
              <w:rPr>
                <w:b/>
              </w:rPr>
            </w:pPr>
          </w:p>
          <w:p w14:paraId="1C35CBED" w14:textId="19AE728B" w:rsidR="008F12EF" w:rsidRPr="004F4B7B" w:rsidRDefault="008F12EF" w:rsidP="007E0D2C">
            <w:pPr>
              <w:pStyle w:val="mpcbullets1"/>
              <w:rPr>
                <w:b/>
                <w:bCs/>
              </w:rPr>
            </w:pPr>
            <w:r w:rsidRPr="004F4B7B">
              <w:rPr>
                <w:b/>
                <w:bCs/>
              </w:rPr>
              <w:t xml:space="preserve">support greater consumer confidence in the System </w:t>
            </w:r>
            <w:r w:rsidR="00372E4A" w:rsidRPr="004F4B7B">
              <w:rPr>
                <w:b/>
                <w:bCs/>
              </w:rPr>
              <w:t>by transferring the management of the HSR Calculator and TAG database to FSANZ</w:t>
            </w:r>
          </w:p>
          <w:p w14:paraId="56DCF7FF" w14:textId="40C3E01D" w:rsidR="008F12EF" w:rsidRPr="004F4B7B" w:rsidRDefault="00372E4A" w:rsidP="007E0D2C">
            <w:pPr>
              <w:pStyle w:val="mpcbullets1"/>
              <w:rPr>
                <w:b/>
                <w:bCs/>
              </w:rPr>
            </w:pPr>
            <w:r w:rsidRPr="004F4B7B">
              <w:rPr>
                <w:b/>
                <w:bCs/>
              </w:rPr>
              <w:t>clarify the role of governance</w:t>
            </w:r>
            <w:r w:rsidR="008F12EF" w:rsidRPr="004F4B7B">
              <w:rPr>
                <w:b/>
                <w:bCs/>
              </w:rPr>
              <w:t xml:space="preserve"> committees </w:t>
            </w:r>
          </w:p>
          <w:p w14:paraId="35799FB6" w14:textId="5374CD4A" w:rsidR="00372E4A" w:rsidRPr="004F4B7B" w:rsidRDefault="00372E4A" w:rsidP="007E0D2C">
            <w:pPr>
              <w:pStyle w:val="mpcbullets1"/>
              <w:rPr>
                <w:b/>
                <w:bCs/>
              </w:rPr>
            </w:pPr>
            <w:r w:rsidRPr="004F4B7B">
              <w:rPr>
                <w:b/>
                <w:bCs/>
              </w:rPr>
              <w:t>increase the transparency</w:t>
            </w:r>
            <w:r w:rsidR="00BD6E51" w:rsidRPr="004F4B7B">
              <w:rPr>
                <w:b/>
                <w:bCs/>
              </w:rPr>
              <w:t xml:space="preserve"> of the System</w:t>
            </w:r>
          </w:p>
          <w:p w14:paraId="7622D49D" w14:textId="77777777" w:rsidR="008F12EF" w:rsidRPr="00011E20" w:rsidRDefault="008F12EF" w:rsidP="007E0D2C">
            <w:pPr>
              <w:pStyle w:val="mpcbullets1"/>
            </w:pPr>
            <w:r w:rsidRPr="004F4B7B">
              <w:rPr>
                <w:b/>
                <w:bCs/>
              </w:rPr>
              <w:t>improve monitoring, enabling the System to be more responsive.</w:t>
            </w:r>
          </w:p>
        </w:tc>
      </w:tr>
    </w:tbl>
    <w:p w14:paraId="06F3D854" w14:textId="77777777" w:rsidR="008F12EF" w:rsidRDefault="008F12EF" w:rsidP="008F12EF">
      <w:pPr>
        <w:pStyle w:val="mpcNormal"/>
      </w:pPr>
    </w:p>
    <w:tbl>
      <w:tblPr>
        <w:tblStyle w:val="TableGrid"/>
        <w:tblW w:w="0" w:type="auto"/>
        <w:tblLook w:val="04A0" w:firstRow="1" w:lastRow="0" w:firstColumn="1" w:lastColumn="0" w:noHBand="0" w:noVBand="1"/>
        <w:tblCaption w:val="Rec 8"/>
        <w:tblDescription w:val="Recommendation 8:  Enhance the critical infrastructure to support implementation and evaluation of food and nutrition related public health initiatives, including the HSR System, through: regular updates to Dietary Guidelines; regular national health and nutrition surveys; establishment of a comprehensive, dataset of branded food products; and improved monitoring of the System."/>
      </w:tblPr>
      <w:tblGrid>
        <w:gridCol w:w="9736"/>
      </w:tblGrid>
      <w:tr w:rsidR="008F12EF" w:rsidRPr="00CC1ADD" w14:paraId="10A7CF8A" w14:textId="77777777" w:rsidTr="00BD6E51">
        <w:trPr>
          <w:trHeight w:val="1561"/>
        </w:trPr>
        <w:tc>
          <w:tcPr>
            <w:tcW w:w="9736" w:type="dxa"/>
            <w:shd w:val="clear" w:color="auto" w:fill="D9E2F3" w:themeFill="accent1" w:themeFillTint="33"/>
            <w:vAlign w:val="center"/>
          </w:tcPr>
          <w:p w14:paraId="57812651" w14:textId="71EB0F76" w:rsidR="008F12EF" w:rsidRPr="00E7786C" w:rsidRDefault="00E7786C" w:rsidP="00372E4A">
            <w:pPr>
              <w:pStyle w:val="mpcNormal"/>
              <w:ind w:left="2160" w:hanging="2160"/>
            </w:pPr>
            <w:r w:rsidRPr="00CC1ADD">
              <w:rPr>
                <w:b/>
              </w:rPr>
              <w:t xml:space="preserve">Recommendation </w:t>
            </w:r>
            <w:r>
              <w:rPr>
                <w:b/>
              </w:rPr>
              <w:t>8</w:t>
            </w:r>
            <w:r w:rsidRPr="00CC1ADD">
              <w:rPr>
                <w:b/>
              </w:rPr>
              <w:t xml:space="preserve">: </w:t>
            </w:r>
            <w:r>
              <w:rPr>
                <w:b/>
              </w:rPr>
              <w:tab/>
              <w:t>E</w:t>
            </w:r>
            <w:r w:rsidRPr="006868BE">
              <w:rPr>
                <w:b/>
              </w:rPr>
              <w:t>nhanc</w:t>
            </w:r>
            <w:r>
              <w:rPr>
                <w:b/>
              </w:rPr>
              <w:t>e</w:t>
            </w:r>
            <w:r w:rsidRPr="006868BE">
              <w:rPr>
                <w:b/>
              </w:rPr>
              <w:t xml:space="preserve"> the critical infrastructure to support implementation and evaluation of food and nutrition</w:t>
            </w:r>
            <w:r w:rsidRPr="006868BE">
              <w:rPr>
                <w:b/>
              </w:rPr>
              <w:noBreakHyphen/>
              <w:t>related public health initiatives</w:t>
            </w:r>
            <w:r>
              <w:rPr>
                <w:b/>
              </w:rPr>
              <w:t>,</w:t>
            </w:r>
            <w:r w:rsidRPr="006868BE">
              <w:rPr>
                <w:b/>
              </w:rPr>
              <w:t xml:space="preserve"> including the HSR System, through</w:t>
            </w:r>
            <w:r>
              <w:rPr>
                <w:b/>
              </w:rPr>
              <w:t>:</w:t>
            </w:r>
            <w:r w:rsidRPr="006868BE">
              <w:rPr>
                <w:b/>
              </w:rPr>
              <w:t xml:space="preserve"> regular updates to Dietary Guidelines</w:t>
            </w:r>
            <w:r w:rsidR="00372E4A">
              <w:rPr>
                <w:b/>
              </w:rPr>
              <w:t xml:space="preserve">; </w:t>
            </w:r>
            <w:r w:rsidRPr="006868BE">
              <w:rPr>
                <w:b/>
              </w:rPr>
              <w:t>regular national health and nutrition surveys</w:t>
            </w:r>
            <w:r w:rsidR="00372E4A">
              <w:rPr>
                <w:b/>
              </w:rPr>
              <w:t xml:space="preserve">; </w:t>
            </w:r>
            <w:r w:rsidRPr="006868BE">
              <w:rPr>
                <w:b/>
              </w:rPr>
              <w:t>establishment of a comprehensive, dataset of branded food products</w:t>
            </w:r>
            <w:r w:rsidR="00372E4A">
              <w:rPr>
                <w:b/>
              </w:rPr>
              <w:t xml:space="preserve">; and </w:t>
            </w:r>
            <w:r>
              <w:rPr>
                <w:b/>
              </w:rPr>
              <w:t>improved monitoring of the System.</w:t>
            </w:r>
          </w:p>
        </w:tc>
      </w:tr>
    </w:tbl>
    <w:p w14:paraId="10D19A02" w14:textId="77777777" w:rsidR="008F12EF" w:rsidRDefault="008F12EF" w:rsidP="008F12EF">
      <w:pPr>
        <w:pStyle w:val="mpcNormal"/>
      </w:pPr>
    </w:p>
    <w:p w14:paraId="0C2B42EC" w14:textId="77777777" w:rsidR="00E7786C" w:rsidRDefault="00E7786C" w:rsidP="00E7786C">
      <w:r>
        <w:rPr>
          <w:sz w:val="22"/>
          <w:szCs w:val="22"/>
        </w:rPr>
        <w:t>T</w:t>
      </w:r>
      <w:r w:rsidRPr="00CC1ADD">
        <w:rPr>
          <w:sz w:val="22"/>
          <w:szCs w:val="22"/>
        </w:rPr>
        <w:t xml:space="preserve">he </w:t>
      </w:r>
      <w:r>
        <w:rPr>
          <w:sz w:val="22"/>
          <w:szCs w:val="22"/>
        </w:rPr>
        <w:t xml:space="preserve">recommended changes </w:t>
      </w:r>
      <w:r w:rsidRPr="00CC1ADD">
        <w:rPr>
          <w:sz w:val="22"/>
          <w:szCs w:val="22"/>
        </w:rPr>
        <w:t>minimise cost and duplication, dovetail with existing policy processes and support other public health initiatives.</w:t>
      </w:r>
    </w:p>
    <w:p w14:paraId="540DED08" w14:textId="77777777" w:rsidR="008F12EF" w:rsidRDefault="008F12EF" w:rsidP="008F12EF">
      <w:pPr>
        <w:pStyle w:val="mpcNormal"/>
      </w:pPr>
    </w:p>
    <w:p w14:paraId="354B2F7D" w14:textId="77777777" w:rsidR="008F12EF" w:rsidRPr="00CC1ADD" w:rsidRDefault="008F12EF" w:rsidP="008F12EF">
      <w:pPr>
        <w:pStyle w:val="mpcheading2"/>
        <w:rPr>
          <w:sz w:val="22"/>
        </w:rPr>
      </w:pPr>
      <w:bookmarkStart w:id="124" w:name="Funding"/>
      <w:bookmarkStart w:id="125" w:name="_Toc9955064"/>
      <w:bookmarkEnd w:id="124"/>
      <w:r w:rsidRPr="00CC1ADD">
        <w:rPr>
          <w:lang w:eastAsia="en-GB"/>
        </w:rPr>
        <w:t>HSR System Funding</w:t>
      </w:r>
      <w:bookmarkEnd w:id="125"/>
      <w:r w:rsidRPr="00CC1ADD">
        <w:rPr>
          <w:lang w:eastAsia="en-GB"/>
        </w:rPr>
        <w:t xml:space="preserve"> </w:t>
      </w:r>
    </w:p>
    <w:p w14:paraId="20699140" w14:textId="06D9D519" w:rsidR="008F12EF" w:rsidRPr="00FE529B" w:rsidRDefault="008F12EF" w:rsidP="008F12EF">
      <w:pPr>
        <w:rPr>
          <w:sz w:val="22"/>
          <w:szCs w:val="22"/>
        </w:rPr>
      </w:pPr>
      <w:r w:rsidRPr="00FE529B">
        <w:rPr>
          <w:sz w:val="22"/>
          <w:szCs w:val="22"/>
        </w:rPr>
        <w:t xml:space="preserve">A key strength of the HSR System is the joint funding arrangement between Australian, State and Territory and New Zealand </w:t>
      </w:r>
      <w:r w:rsidR="00A90016">
        <w:rPr>
          <w:sz w:val="22"/>
          <w:szCs w:val="22"/>
        </w:rPr>
        <w:t>g</w:t>
      </w:r>
      <w:r w:rsidRPr="00FE529B">
        <w:rPr>
          <w:sz w:val="22"/>
          <w:szCs w:val="22"/>
        </w:rPr>
        <w:t>overnment</w:t>
      </w:r>
      <w:r w:rsidR="00A90016">
        <w:rPr>
          <w:sz w:val="22"/>
          <w:szCs w:val="22"/>
        </w:rPr>
        <w:t>s</w:t>
      </w:r>
      <w:r w:rsidRPr="00FE529B">
        <w:rPr>
          <w:sz w:val="22"/>
          <w:szCs w:val="22"/>
        </w:rPr>
        <w:t>. Government funding has enabled:</w:t>
      </w:r>
    </w:p>
    <w:p w14:paraId="0CF5F8A1" w14:textId="77777777" w:rsidR="008F12EF" w:rsidRPr="00FE529B" w:rsidRDefault="008F12EF" w:rsidP="008F12EF">
      <w:pPr>
        <w:rPr>
          <w:sz w:val="22"/>
          <w:szCs w:val="22"/>
        </w:rPr>
      </w:pPr>
    </w:p>
    <w:p w14:paraId="534FEAB0" w14:textId="77777777" w:rsidR="008F12EF" w:rsidRPr="00E7786C" w:rsidRDefault="008F12EF" w:rsidP="007E0D2C">
      <w:pPr>
        <w:pStyle w:val="mpcbullets1"/>
      </w:pPr>
      <w:r>
        <w:t xml:space="preserve">promotion of the </w:t>
      </w:r>
      <w:r w:rsidRPr="00E7786C">
        <w:t>HSR System in both Australia and New Zealand</w:t>
      </w:r>
    </w:p>
    <w:p w14:paraId="3BEB569A" w14:textId="217FBBC6" w:rsidR="008F12EF" w:rsidRPr="00E7786C" w:rsidRDefault="008F12EF" w:rsidP="007E0D2C">
      <w:pPr>
        <w:pStyle w:val="mpcbullets1"/>
      </w:pPr>
      <w:r w:rsidRPr="00E7786C">
        <w:t xml:space="preserve">independent monitoring and evaluation of the impact of </w:t>
      </w:r>
      <w:r w:rsidR="00A90016">
        <w:t xml:space="preserve">the </w:t>
      </w:r>
      <w:r w:rsidRPr="00E7786C">
        <w:t xml:space="preserve">HSR System and the campaigns </w:t>
      </w:r>
    </w:p>
    <w:p w14:paraId="4E6624AA" w14:textId="0A4D8DB3" w:rsidR="008F12EF" w:rsidRPr="00CC1ADD" w:rsidRDefault="008F12EF" w:rsidP="007E0D2C">
      <w:pPr>
        <w:pStyle w:val="mpcbullets1"/>
      </w:pPr>
      <w:r w:rsidRPr="00E7786C">
        <w:t>provision of secretariat</w:t>
      </w:r>
      <w:r>
        <w:t xml:space="preserve"> support for</w:t>
      </w:r>
      <w:r w:rsidR="00A90016">
        <w:t xml:space="preserve"> the</w:t>
      </w:r>
      <w:r>
        <w:t xml:space="preserve"> HSRAC, the TAG and SMAG</w:t>
      </w:r>
      <w:r w:rsidRPr="00CC1ADD">
        <w:t>.</w:t>
      </w:r>
      <w:r>
        <w:t xml:space="preserve"> I</w:t>
      </w:r>
      <w:r w:rsidRPr="00CC1ADD">
        <w:t>n addition, the HSR Secretariat:</w:t>
      </w:r>
    </w:p>
    <w:p w14:paraId="3F997BFA" w14:textId="77777777" w:rsidR="008F12EF" w:rsidRPr="00CC1ADD" w:rsidRDefault="008F12EF" w:rsidP="00173A82">
      <w:pPr>
        <w:pStyle w:val="mpcbullets2"/>
      </w:pPr>
      <w:r w:rsidRPr="00CC1ADD">
        <w:t>provides a consumer and industry information/enquiry service</w:t>
      </w:r>
    </w:p>
    <w:p w14:paraId="7E360713" w14:textId="77777777" w:rsidR="008F12EF" w:rsidRPr="00CC1ADD" w:rsidRDefault="008F12EF" w:rsidP="00173A82">
      <w:pPr>
        <w:pStyle w:val="mpcbullets2"/>
      </w:pPr>
      <w:r w:rsidRPr="00CC1ADD">
        <w:t>deals with applications for consideration of anomalies</w:t>
      </w:r>
    </w:p>
    <w:p w14:paraId="79BA5B43" w14:textId="77777777" w:rsidR="008F12EF" w:rsidRPr="00CC1ADD" w:rsidRDefault="008F12EF" w:rsidP="00173A82">
      <w:pPr>
        <w:pStyle w:val="mpcbullets2"/>
      </w:pPr>
      <w:r w:rsidRPr="00CC1ADD">
        <w:t>manages intellectual property and licensing issues associated with the HSR System</w:t>
      </w:r>
    </w:p>
    <w:p w14:paraId="7D4C00D0" w14:textId="77777777" w:rsidR="008F12EF" w:rsidRPr="00CC1ADD" w:rsidRDefault="008F12EF" w:rsidP="00173A82">
      <w:pPr>
        <w:pStyle w:val="mpcbullets2"/>
      </w:pPr>
      <w:r w:rsidRPr="00CC1ADD">
        <w:t>develops resources for inclusion on the website</w:t>
      </w:r>
      <w:r>
        <w:t xml:space="preserve"> and </w:t>
      </w:r>
      <w:r w:rsidRPr="00CC1ADD">
        <w:t>updates the HSR System website</w:t>
      </w:r>
    </w:p>
    <w:p w14:paraId="67C825EB" w14:textId="77777777" w:rsidR="008F12EF" w:rsidRPr="00CC1ADD" w:rsidRDefault="008F12EF" w:rsidP="00173A82">
      <w:pPr>
        <w:pStyle w:val="mpcbullets2"/>
      </w:pPr>
      <w:r w:rsidRPr="00CC1ADD">
        <w:t>co-ordinates</w:t>
      </w:r>
      <w:r>
        <w:t xml:space="preserve"> public</w:t>
      </w:r>
      <w:r w:rsidRPr="00CC1ADD">
        <w:t xml:space="preserve"> consultation on HSR System issues</w:t>
      </w:r>
      <w:r>
        <w:t>.</w:t>
      </w:r>
    </w:p>
    <w:p w14:paraId="04639A0B" w14:textId="77777777" w:rsidR="008F12EF" w:rsidRPr="00FE529B" w:rsidRDefault="008F12EF" w:rsidP="008F12EF">
      <w:pPr>
        <w:rPr>
          <w:sz w:val="22"/>
          <w:szCs w:val="22"/>
        </w:rPr>
      </w:pPr>
    </w:p>
    <w:p w14:paraId="0A5E5629" w14:textId="0E1E8164" w:rsidR="00BD6E51" w:rsidRDefault="00BD6E51" w:rsidP="00173A82">
      <w:pPr>
        <w:pStyle w:val="mpcNormal"/>
        <w:keepNext w:val="0"/>
      </w:pPr>
      <w:r>
        <w:t xml:space="preserve">Table </w:t>
      </w:r>
      <w:r w:rsidR="00173A82">
        <w:t>5</w:t>
      </w:r>
      <w:r w:rsidRPr="00CC1ADD">
        <w:t xml:space="preserve"> describes the areas of expenditure</w:t>
      </w:r>
      <w:r>
        <w:t xml:space="preserve"> (actual or projected)</w:t>
      </w:r>
      <w:r w:rsidRPr="00CC1ADD">
        <w:t xml:space="preserve"> </w:t>
      </w:r>
      <w:r>
        <w:t>from implementation of the System</w:t>
      </w:r>
      <w:r w:rsidRPr="00CC1ADD">
        <w:t xml:space="preserve"> to end June 201</w:t>
      </w:r>
      <w:r>
        <w:t>9</w:t>
      </w:r>
      <w:r w:rsidRPr="00CC1ADD">
        <w:t>.</w:t>
      </w:r>
      <w:r w:rsidRPr="000B2EE2">
        <w:t xml:space="preserve"> </w:t>
      </w:r>
      <w:r w:rsidRPr="00653C46">
        <w:t xml:space="preserve">Contributions to this expenditure were made by the Australian, State and Territory and New Zealand </w:t>
      </w:r>
      <w:r>
        <w:t>g</w:t>
      </w:r>
      <w:r w:rsidRPr="00653C46">
        <w:t>overnment</w:t>
      </w:r>
      <w:r>
        <w:t>s</w:t>
      </w:r>
      <w:r w:rsidRPr="00653C46">
        <w:t>.</w:t>
      </w:r>
    </w:p>
    <w:p w14:paraId="34E59787" w14:textId="66F2F80C" w:rsidR="00BD6E51" w:rsidRDefault="00BD6E51" w:rsidP="00BD6E51">
      <w:pPr>
        <w:pStyle w:val="mpcNormal"/>
      </w:pPr>
    </w:p>
    <w:p w14:paraId="1222D4AE" w14:textId="5EF3265C" w:rsidR="00BD6E51" w:rsidRPr="00CC1ADD" w:rsidRDefault="00BD6E51" w:rsidP="00173A82">
      <w:pPr>
        <w:pStyle w:val="mpctableheading"/>
        <w:keepNext/>
      </w:pPr>
      <w:r>
        <w:t xml:space="preserve">Table </w:t>
      </w:r>
      <w:r w:rsidR="00173A82">
        <w:t>5</w:t>
      </w:r>
      <w:r>
        <w:t>: Expenditure (actual and projected) on HSR System implementation from 2013-14 to 2018-19</w:t>
      </w:r>
    </w:p>
    <w:p w14:paraId="601C18B1" w14:textId="77777777" w:rsidR="00BD6E51" w:rsidRPr="00CC1ADD" w:rsidRDefault="00BD6E51" w:rsidP="00173A82">
      <w:pPr>
        <w:pStyle w:val="mpcNormal"/>
      </w:pPr>
    </w:p>
    <w:tbl>
      <w:tblPr>
        <w:tblStyle w:val="TableGrid"/>
        <w:tblW w:w="9765" w:type="dxa"/>
        <w:tblInd w:w="-5" w:type="dxa"/>
        <w:tblLook w:val="04A0" w:firstRow="1" w:lastRow="0" w:firstColumn="1" w:lastColumn="0" w:noHBand="0" w:noVBand="1"/>
        <w:tblCaption w:val="Expenditure (actual and projected) on HSR System implementation from 2013-14 to 2018-19"/>
        <w:tblDescription w:val="This table shows expenditure (actual and projected) on HSR System implementation from 2013-14 to 2018-19."/>
      </w:tblPr>
      <w:tblGrid>
        <w:gridCol w:w="3828"/>
        <w:gridCol w:w="991"/>
        <w:gridCol w:w="990"/>
        <w:gridCol w:w="990"/>
        <w:gridCol w:w="976"/>
        <w:gridCol w:w="976"/>
        <w:gridCol w:w="1014"/>
      </w:tblGrid>
      <w:tr w:rsidR="00BD6E51" w:rsidRPr="00CC1ADD" w14:paraId="57C8F979" w14:textId="77777777" w:rsidTr="00BD6E51">
        <w:tc>
          <w:tcPr>
            <w:tcW w:w="3828" w:type="dxa"/>
            <w:shd w:val="clear" w:color="auto" w:fill="516A8E"/>
          </w:tcPr>
          <w:p w14:paraId="30EC282D" w14:textId="77777777" w:rsidR="00BD6E51" w:rsidRPr="00CC1ADD" w:rsidRDefault="00BD6E51" w:rsidP="00173A82">
            <w:pPr>
              <w:pStyle w:val="mpcNormal"/>
              <w:rPr>
                <w:b/>
                <w:color w:val="FFFFFF" w:themeColor="background1"/>
                <w:sz w:val="20"/>
              </w:rPr>
            </w:pPr>
            <w:bookmarkStart w:id="126" w:name="Budget"/>
            <w:bookmarkEnd w:id="126"/>
            <w:r w:rsidRPr="00CC1ADD">
              <w:rPr>
                <w:b/>
                <w:color w:val="FFFFFF" w:themeColor="background1"/>
                <w:sz w:val="20"/>
              </w:rPr>
              <w:t>Budget component</w:t>
            </w:r>
          </w:p>
        </w:tc>
        <w:tc>
          <w:tcPr>
            <w:tcW w:w="991" w:type="dxa"/>
            <w:shd w:val="clear" w:color="auto" w:fill="516A8E"/>
          </w:tcPr>
          <w:p w14:paraId="6ECE1312" w14:textId="77777777" w:rsidR="00BD6E51" w:rsidRPr="00CC1ADD" w:rsidRDefault="00BD6E51" w:rsidP="00173A82">
            <w:pPr>
              <w:pStyle w:val="mpcNormal"/>
              <w:rPr>
                <w:b/>
                <w:color w:val="FFFFFF" w:themeColor="background1"/>
                <w:sz w:val="20"/>
              </w:rPr>
            </w:pPr>
            <w:r w:rsidRPr="00CC1ADD">
              <w:rPr>
                <w:b/>
                <w:color w:val="FFFFFF" w:themeColor="background1"/>
                <w:sz w:val="20"/>
              </w:rPr>
              <w:t>2013-14 Actual</w:t>
            </w:r>
          </w:p>
        </w:tc>
        <w:tc>
          <w:tcPr>
            <w:tcW w:w="990" w:type="dxa"/>
            <w:shd w:val="clear" w:color="auto" w:fill="516A8E"/>
          </w:tcPr>
          <w:p w14:paraId="72BE99BD" w14:textId="77777777" w:rsidR="00BD6E51" w:rsidRPr="00CC1ADD" w:rsidRDefault="00BD6E51" w:rsidP="00173A82">
            <w:pPr>
              <w:pStyle w:val="mpcNormal"/>
              <w:rPr>
                <w:b/>
                <w:color w:val="FFFFFF" w:themeColor="background1"/>
                <w:sz w:val="20"/>
              </w:rPr>
            </w:pPr>
            <w:r w:rsidRPr="00CC1ADD">
              <w:rPr>
                <w:b/>
                <w:color w:val="FFFFFF" w:themeColor="background1"/>
                <w:sz w:val="20"/>
              </w:rPr>
              <w:t>2014-15 Actual</w:t>
            </w:r>
          </w:p>
        </w:tc>
        <w:tc>
          <w:tcPr>
            <w:tcW w:w="990" w:type="dxa"/>
            <w:shd w:val="clear" w:color="auto" w:fill="516A8E"/>
          </w:tcPr>
          <w:p w14:paraId="151CDFC6" w14:textId="77777777" w:rsidR="00BD6E51" w:rsidRPr="00CC1ADD" w:rsidRDefault="00BD6E51" w:rsidP="00173A82">
            <w:pPr>
              <w:pStyle w:val="mpcNormal"/>
              <w:rPr>
                <w:b/>
                <w:color w:val="FFFFFF" w:themeColor="background1"/>
                <w:sz w:val="20"/>
              </w:rPr>
            </w:pPr>
            <w:r w:rsidRPr="00CC1ADD">
              <w:rPr>
                <w:b/>
                <w:color w:val="FFFFFF" w:themeColor="background1"/>
                <w:sz w:val="20"/>
              </w:rPr>
              <w:t>2015-16 Actual</w:t>
            </w:r>
          </w:p>
        </w:tc>
        <w:tc>
          <w:tcPr>
            <w:tcW w:w="976" w:type="dxa"/>
            <w:shd w:val="clear" w:color="auto" w:fill="516A8E"/>
          </w:tcPr>
          <w:p w14:paraId="0FC16901" w14:textId="77777777" w:rsidR="00BD6E51" w:rsidRPr="00CC1ADD" w:rsidRDefault="00BD6E51" w:rsidP="00173A82">
            <w:pPr>
              <w:pStyle w:val="mpcNormal"/>
              <w:rPr>
                <w:b/>
                <w:color w:val="FFFFFF" w:themeColor="background1"/>
                <w:sz w:val="20"/>
              </w:rPr>
            </w:pPr>
            <w:r w:rsidRPr="00CC1ADD">
              <w:rPr>
                <w:b/>
                <w:color w:val="FFFFFF" w:themeColor="background1"/>
                <w:sz w:val="20"/>
              </w:rPr>
              <w:t>2016-17 Actual</w:t>
            </w:r>
          </w:p>
        </w:tc>
        <w:tc>
          <w:tcPr>
            <w:tcW w:w="976" w:type="dxa"/>
            <w:shd w:val="clear" w:color="auto" w:fill="516A8E"/>
          </w:tcPr>
          <w:p w14:paraId="09E5F613" w14:textId="77777777" w:rsidR="00BD6E51" w:rsidRPr="00CC1ADD" w:rsidRDefault="00BD6E51" w:rsidP="00173A82">
            <w:pPr>
              <w:pStyle w:val="mpcNormal"/>
              <w:rPr>
                <w:b/>
                <w:color w:val="FFFFFF" w:themeColor="background1"/>
                <w:sz w:val="20"/>
              </w:rPr>
            </w:pPr>
            <w:r w:rsidRPr="00CC1ADD">
              <w:rPr>
                <w:b/>
                <w:color w:val="FFFFFF" w:themeColor="background1"/>
                <w:sz w:val="20"/>
              </w:rPr>
              <w:t>2017-18 Actual</w:t>
            </w:r>
          </w:p>
        </w:tc>
        <w:tc>
          <w:tcPr>
            <w:tcW w:w="1014" w:type="dxa"/>
            <w:shd w:val="clear" w:color="auto" w:fill="516A8E"/>
          </w:tcPr>
          <w:p w14:paraId="561DFEE8" w14:textId="77777777" w:rsidR="00BD6E51" w:rsidRPr="00CC1ADD" w:rsidRDefault="00BD6E51" w:rsidP="00173A82">
            <w:pPr>
              <w:pStyle w:val="mpcNormal"/>
              <w:rPr>
                <w:b/>
                <w:color w:val="FFFFFF" w:themeColor="background1"/>
                <w:sz w:val="20"/>
              </w:rPr>
            </w:pPr>
            <w:r>
              <w:rPr>
                <w:b/>
                <w:color w:val="FFFFFF" w:themeColor="background1"/>
                <w:sz w:val="20"/>
              </w:rPr>
              <w:t>2018-19 Projected</w:t>
            </w:r>
          </w:p>
        </w:tc>
      </w:tr>
      <w:tr w:rsidR="00BD6E51" w:rsidRPr="00CC1ADD" w14:paraId="4155A231" w14:textId="77777777" w:rsidTr="00BD6E51">
        <w:tc>
          <w:tcPr>
            <w:tcW w:w="3828" w:type="dxa"/>
            <w:shd w:val="clear" w:color="auto" w:fill="F2F2F2" w:themeFill="background1" w:themeFillShade="F2"/>
          </w:tcPr>
          <w:p w14:paraId="54178613" w14:textId="77777777" w:rsidR="00BD6E51" w:rsidRPr="00CC1ADD" w:rsidRDefault="00BD6E51" w:rsidP="00BD6E51">
            <w:pPr>
              <w:pStyle w:val="mpcNormal"/>
              <w:keepNext w:val="0"/>
              <w:rPr>
                <w:color w:val="000000"/>
                <w:sz w:val="20"/>
              </w:rPr>
            </w:pPr>
            <w:r w:rsidRPr="00CC1ADD">
              <w:rPr>
                <w:color w:val="000000"/>
                <w:sz w:val="20"/>
              </w:rPr>
              <w:t xml:space="preserve">Governance committees, </w:t>
            </w:r>
            <w:r>
              <w:rPr>
                <w:color w:val="000000"/>
                <w:sz w:val="20"/>
              </w:rPr>
              <w:t xml:space="preserve">Secretariat, </w:t>
            </w:r>
            <w:r w:rsidRPr="00CC1ADD">
              <w:rPr>
                <w:color w:val="000000"/>
                <w:sz w:val="20"/>
              </w:rPr>
              <w:t xml:space="preserve">workshops, </w:t>
            </w:r>
            <w:r>
              <w:rPr>
                <w:color w:val="000000"/>
                <w:sz w:val="20"/>
              </w:rPr>
              <w:t xml:space="preserve">legal and IP, </w:t>
            </w:r>
            <w:r w:rsidRPr="00CC1ADD">
              <w:rPr>
                <w:color w:val="000000"/>
                <w:sz w:val="20"/>
              </w:rPr>
              <w:t>technical advice and contribution to Chair’s host jurisdiction (including on costs, travel and salary for support staff)</w:t>
            </w:r>
            <w:r>
              <w:rPr>
                <w:color w:val="000000"/>
                <w:sz w:val="20"/>
              </w:rPr>
              <w:t xml:space="preserve"> – Australia and New Zealand</w:t>
            </w:r>
          </w:p>
        </w:tc>
        <w:tc>
          <w:tcPr>
            <w:tcW w:w="991" w:type="dxa"/>
          </w:tcPr>
          <w:p w14:paraId="257F6F0E"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911,315</w:t>
            </w:r>
          </w:p>
        </w:tc>
        <w:tc>
          <w:tcPr>
            <w:tcW w:w="990" w:type="dxa"/>
          </w:tcPr>
          <w:p w14:paraId="24D431FF"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902,797</w:t>
            </w:r>
          </w:p>
        </w:tc>
        <w:tc>
          <w:tcPr>
            <w:tcW w:w="990" w:type="dxa"/>
          </w:tcPr>
          <w:p w14:paraId="7B8EC92B"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705,604</w:t>
            </w:r>
          </w:p>
        </w:tc>
        <w:tc>
          <w:tcPr>
            <w:tcW w:w="976" w:type="dxa"/>
          </w:tcPr>
          <w:p w14:paraId="2FC8660A"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634,442</w:t>
            </w:r>
          </w:p>
        </w:tc>
        <w:tc>
          <w:tcPr>
            <w:tcW w:w="976" w:type="dxa"/>
          </w:tcPr>
          <w:p w14:paraId="35FF6B5E" w14:textId="77777777" w:rsidR="00BD6E51" w:rsidRPr="00CC1ADD" w:rsidRDefault="00BD6E51" w:rsidP="00BD6E51">
            <w:pPr>
              <w:pStyle w:val="mpcNormal"/>
              <w:keepNext w:val="0"/>
              <w:rPr>
                <w:color w:val="000000"/>
                <w:sz w:val="20"/>
              </w:rPr>
            </w:pPr>
            <w:r w:rsidRPr="00CC1ADD">
              <w:rPr>
                <w:color w:val="000000"/>
                <w:sz w:val="20"/>
              </w:rPr>
              <w:t>$</w:t>
            </w:r>
            <w:r>
              <w:rPr>
                <w:color w:val="000000"/>
                <w:sz w:val="20"/>
              </w:rPr>
              <w:t>845,066</w:t>
            </w:r>
          </w:p>
        </w:tc>
        <w:tc>
          <w:tcPr>
            <w:tcW w:w="1014" w:type="dxa"/>
          </w:tcPr>
          <w:p w14:paraId="22C6D7E8" w14:textId="77777777" w:rsidR="00BD6E51" w:rsidRPr="00CC1ADD" w:rsidRDefault="00BD6E51" w:rsidP="00BD6E51">
            <w:pPr>
              <w:pStyle w:val="mpcNormal"/>
              <w:keepNext w:val="0"/>
              <w:rPr>
                <w:color w:val="000000"/>
                <w:sz w:val="20"/>
              </w:rPr>
            </w:pPr>
            <w:r>
              <w:rPr>
                <w:color w:val="000000"/>
                <w:sz w:val="20"/>
              </w:rPr>
              <w:t>$940,000</w:t>
            </w:r>
          </w:p>
        </w:tc>
      </w:tr>
    </w:tbl>
    <w:p w14:paraId="0D3C1383" w14:textId="77777777" w:rsidR="00BD6E51" w:rsidRPr="00CC1ADD" w:rsidRDefault="00BD6E51" w:rsidP="00BD6E51">
      <w:pPr>
        <w:pStyle w:val="mpcNormal"/>
        <w:keepNext w:val="0"/>
      </w:pPr>
    </w:p>
    <w:p w14:paraId="54C536AB" w14:textId="1A900788" w:rsidR="00BD6E51" w:rsidRDefault="00BD6E51" w:rsidP="00BD6E51">
      <w:pPr>
        <w:pStyle w:val="mpcNormal"/>
        <w:keepNext w:val="0"/>
      </w:pPr>
      <w:r>
        <w:t>In Australia,</w:t>
      </w:r>
      <w:r w:rsidR="00CC6DA9">
        <w:t xml:space="preserve"> an additional</w:t>
      </w:r>
      <w:r>
        <w:t xml:space="preserve"> $1,560,474 has been expended to </w:t>
      </w:r>
      <w:r w:rsidR="00C97B3A">
        <w:t>30 June 2018</w:t>
      </w:r>
      <w:r>
        <w:t xml:space="preserve"> on monitoring and evaluation and </w:t>
      </w:r>
      <w:r w:rsidRPr="00CC1ADD">
        <w:t>$</w:t>
      </w:r>
      <w:r>
        <w:t>7,603,631</w:t>
      </w:r>
      <w:r>
        <w:rPr>
          <w:rStyle w:val="FootnoteReference"/>
        </w:rPr>
        <w:footnoteReference w:id="102"/>
      </w:r>
      <w:r>
        <w:t xml:space="preserve"> on social marketing and education.</w:t>
      </w:r>
    </w:p>
    <w:p w14:paraId="2CCF3329" w14:textId="77777777" w:rsidR="00BD6E51" w:rsidRDefault="00BD6E51" w:rsidP="00BD6E51">
      <w:pPr>
        <w:pStyle w:val="mpcNormal"/>
        <w:keepNext w:val="0"/>
      </w:pPr>
    </w:p>
    <w:p w14:paraId="23EA7B19" w14:textId="31E0F14B" w:rsidR="00BD6E51" w:rsidRPr="00FE529B" w:rsidRDefault="00BD6E51" w:rsidP="00BD6E51">
      <w:pPr>
        <w:pStyle w:val="mpcNormal"/>
        <w:keepNext w:val="0"/>
      </w:pPr>
      <w:r w:rsidRPr="00FE529B">
        <w:t xml:space="preserve">The New Zealand </w:t>
      </w:r>
      <w:r>
        <w:t>G</w:t>
      </w:r>
      <w:r w:rsidRPr="00FE529B">
        <w:t xml:space="preserve">overnment also </w:t>
      </w:r>
      <w:r>
        <w:t xml:space="preserve">separately </w:t>
      </w:r>
      <w:r w:rsidRPr="00FE529B">
        <w:t xml:space="preserve">funded </w:t>
      </w:r>
      <w:r w:rsidR="009B0396">
        <w:t xml:space="preserve">approximately </w:t>
      </w:r>
      <w:r w:rsidRPr="00FE529B">
        <w:t>NZD$2,315,000 for monitoring, evaluation, social marketing and education in New Zealand.</w:t>
      </w:r>
    </w:p>
    <w:p w14:paraId="75812154" w14:textId="77777777" w:rsidR="00BD6E51" w:rsidRPr="00CC1ADD" w:rsidRDefault="00BD6E51" w:rsidP="00BD6E51">
      <w:pPr>
        <w:pStyle w:val="mpcNormal"/>
      </w:pPr>
    </w:p>
    <w:p w14:paraId="75E89D02" w14:textId="77777777" w:rsidR="00BD6E51" w:rsidRDefault="00BD6E51" w:rsidP="00BD6E51">
      <w:pPr>
        <w:pStyle w:val="mpcNormal"/>
      </w:pPr>
      <w:r>
        <w:t>The most significant component of the expenditure in both countries has been social marketing campaigns.</w:t>
      </w:r>
    </w:p>
    <w:p w14:paraId="6C83BE11" w14:textId="7C534AEF" w:rsidR="008F12EF" w:rsidRDefault="008F12EF" w:rsidP="008F12EF">
      <w:pPr>
        <w:rPr>
          <w:sz w:val="22"/>
          <w:szCs w:val="22"/>
        </w:rPr>
      </w:pPr>
    </w:p>
    <w:p w14:paraId="6258FD8D" w14:textId="77777777" w:rsidR="008F12EF" w:rsidRPr="00CC1ADD" w:rsidRDefault="008F12EF" w:rsidP="008F12EF">
      <w:pPr>
        <w:pStyle w:val="mpcNormal"/>
      </w:pPr>
      <w:r w:rsidRPr="00CC1ADD">
        <w:t>It is important to acknowledge that considerable additional in-kind</w:t>
      </w:r>
      <w:r>
        <w:t xml:space="preserve"> support</w:t>
      </w:r>
      <w:r w:rsidRPr="00CC1ADD">
        <w:t xml:space="preserve"> and human resources have been contributed by a wide range of stakeholders. For example:</w:t>
      </w:r>
    </w:p>
    <w:p w14:paraId="0B040376" w14:textId="77777777" w:rsidR="008F12EF" w:rsidRPr="00CC1ADD" w:rsidRDefault="008F12EF" w:rsidP="008F12EF">
      <w:pPr>
        <w:pStyle w:val="mpcNormal"/>
      </w:pPr>
    </w:p>
    <w:p w14:paraId="3405754C" w14:textId="77777777" w:rsidR="008F12EF" w:rsidRPr="00CC1ADD" w:rsidRDefault="008F12EF" w:rsidP="007E0D2C">
      <w:pPr>
        <w:pStyle w:val="mpcbullets1"/>
      </w:pPr>
      <w:r w:rsidRPr="00CC1ADD">
        <w:t>as noted in Chapter 4, some jurisdictions have funded their own HSR System promotions</w:t>
      </w:r>
    </w:p>
    <w:p w14:paraId="5071BDA0" w14:textId="6F2EF048" w:rsidR="008F12EF" w:rsidRPr="00CC1ADD" w:rsidRDefault="008F12EF" w:rsidP="007E0D2C">
      <w:pPr>
        <w:pStyle w:val="mpcbullets1"/>
      </w:pPr>
      <w:r w:rsidRPr="00CC1ADD">
        <w:t xml:space="preserve">the Australian Government draws on other resources in the </w:t>
      </w:r>
      <w:r w:rsidR="00A90016">
        <w:t xml:space="preserve">Commonwealth </w:t>
      </w:r>
      <w:r w:rsidRPr="00CC1ADD">
        <w:t xml:space="preserve">Department </w:t>
      </w:r>
      <w:r w:rsidR="00A90016">
        <w:t xml:space="preserve">of Health </w:t>
      </w:r>
      <w:r w:rsidRPr="00CC1ADD">
        <w:t>to support the HSR Secretariat (including web support, public health expertise and social marketing expertise)</w:t>
      </w:r>
    </w:p>
    <w:p w14:paraId="368474DF" w14:textId="77777777" w:rsidR="008F12EF" w:rsidRPr="00CC1ADD" w:rsidRDefault="008F12EF" w:rsidP="007E0D2C">
      <w:pPr>
        <w:pStyle w:val="mpcbullets1"/>
      </w:pPr>
      <w:r w:rsidRPr="00CC1ADD">
        <w:t xml:space="preserve">members of the HSRAC and </w:t>
      </w:r>
      <w:r>
        <w:t xml:space="preserve">the </w:t>
      </w:r>
      <w:r w:rsidRPr="00CC1ADD">
        <w:t>TAG bring a wide range of professional and technical expertise and are not remunerated for their time</w:t>
      </w:r>
      <w:r>
        <w:t xml:space="preserve"> or travel expenses</w:t>
      </w:r>
      <w:r w:rsidRPr="00CC1ADD">
        <w:t>.</w:t>
      </w:r>
    </w:p>
    <w:p w14:paraId="12846F5F" w14:textId="77777777" w:rsidR="008F12EF" w:rsidRDefault="008F12EF" w:rsidP="00173A82">
      <w:pPr>
        <w:pStyle w:val="mpcbullets2"/>
      </w:pPr>
      <w:r w:rsidRPr="00CC1ADD">
        <w:t xml:space="preserve">Advisory group members and others have dedicated significant time (and deployed the </w:t>
      </w:r>
      <w:r w:rsidRPr="00511654">
        <w:t>resources</w:t>
      </w:r>
      <w:r w:rsidRPr="00CC1ADD">
        <w:t xml:space="preserve"> of their organisations) to help implement the HSR System and contribute to the Review.</w:t>
      </w:r>
    </w:p>
    <w:p w14:paraId="7DB1599D" w14:textId="77777777" w:rsidR="008F12EF" w:rsidRDefault="008F12EF" w:rsidP="00173A82">
      <w:pPr>
        <w:pStyle w:val="mpcbullets2"/>
        <w:numPr>
          <w:ilvl w:val="0"/>
          <w:numId w:val="0"/>
        </w:numPr>
        <w:ind w:left="1080"/>
      </w:pPr>
    </w:p>
    <w:p w14:paraId="17C7CE87" w14:textId="5F0C0C1F" w:rsidR="008F12EF" w:rsidRDefault="008F12EF" w:rsidP="00173A82">
      <w:pPr>
        <w:pStyle w:val="mpcbullets2"/>
        <w:numPr>
          <w:ilvl w:val="0"/>
          <w:numId w:val="0"/>
        </w:numPr>
      </w:pPr>
      <w:r>
        <w:t>This investment has been critical</w:t>
      </w:r>
      <w:r w:rsidR="00A90016">
        <w:t>,</w:t>
      </w:r>
      <w:r>
        <w:t xml:space="preserve"> not just to enable implementation of the HSR </w:t>
      </w:r>
      <w:r w:rsidR="00A90016">
        <w:t xml:space="preserve">System </w:t>
      </w:r>
      <w:r>
        <w:t xml:space="preserve">but also to demonstrate </w:t>
      </w:r>
      <w:r w:rsidR="00A90016">
        <w:t>g</w:t>
      </w:r>
      <w:r>
        <w:t xml:space="preserve">overnment commitment to the initiative and </w:t>
      </w:r>
      <w:r w:rsidR="00A90016">
        <w:t>influence</w:t>
      </w:r>
      <w:r>
        <w:t xml:space="preserve"> consumer</w:t>
      </w:r>
      <w:r w:rsidR="00A90016">
        <w:t xml:space="preserve"> acceptance of the System</w:t>
      </w:r>
      <w:r>
        <w:t xml:space="preserve"> and uptake by industry.</w:t>
      </w:r>
    </w:p>
    <w:p w14:paraId="674AD97F" w14:textId="77777777" w:rsidR="008F12EF" w:rsidRDefault="008F12EF" w:rsidP="00173A82">
      <w:pPr>
        <w:pStyle w:val="mpcbullets2"/>
        <w:numPr>
          <w:ilvl w:val="0"/>
          <w:numId w:val="0"/>
        </w:numPr>
      </w:pPr>
    </w:p>
    <w:p w14:paraId="3D86CFC7" w14:textId="1907EC8C" w:rsidR="008F12EF" w:rsidRDefault="008F12EF" w:rsidP="00173A82">
      <w:pPr>
        <w:pStyle w:val="mpcbullets2"/>
        <w:numPr>
          <w:ilvl w:val="0"/>
          <w:numId w:val="0"/>
        </w:numPr>
      </w:pPr>
      <w:r>
        <w:t xml:space="preserve">Recognising government budgetary constraints, the Review considered whether government funding for the HSR </w:t>
      </w:r>
      <w:r w:rsidR="00E7786C">
        <w:t xml:space="preserve">System </w:t>
      </w:r>
      <w:r>
        <w:t xml:space="preserve">could cease </w:t>
      </w:r>
      <w:r w:rsidR="00E7786C">
        <w:t xml:space="preserve">at this point </w:t>
      </w:r>
      <w:r w:rsidR="00A90016">
        <w:t>and</w:t>
      </w:r>
      <w:r>
        <w:t xml:space="preserve"> whether </w:t>
      </w:r>
      <w:r w:rsidR="00E7786C">
        <w:t xml:space="preserve">management of the </w:t>
      </w:r>
      <w:r>
        <w:t>HSR System could be funded by industry.</w:t>
      </w:r>
    </w:p>
    <w:p w14:paraId="77DDDBAF" w14:textId="77777777" w:rsidR="008F12EF" w:rsidRDefault="008F12EF" w:rsidP="00173A82">
      <w:pPr>
        <w:pStyle w:val="mpcbullets2"/>
        <w:numPr>
          <w:ilvl w:val="0"/>
          <w:numId w:val="0"/>
        </w:numPr>
      </w:pPr>
    </w:p>
    <w:p w14:paraId="1541B2FA" w14:textId="3A9223FF" w:rsidR="008F12EF" w:rsidRDefault="008F12EF" w:rsidP="00173A82">
      <w:pPr>
        <w:pStyle w:val="mpcbullets2"/>
        <w:numPr>
          <w:ilvl w:val="0"/>
          <w:numId w:val="0"/>
        </w:numPr>
      </w:pPr>
      <w:r>
        <w:t>Neither of these options are considered viable at this time:</w:t>
      </w:r>
    </w:p>
    <w:p w14:paraId="137BC4B5" w14:textId="77777777" w:rsidR="00E7786C" w:rsidRDefault="00E7786C" w:rsidP="00173A82">
      <w:pPr>
        <w:pStyle w:val="mpcbullets2"/>
        <w:numPr>
          <w:ilvl w:val="0"/>
          <w:numId w:val="0"/>
        </w:numPr>
      </w:pPr>
    </w:p>
    <w:p w14:paraId="5D2EA152" w14:textId="77777777" w:rsidR="004D4A55" w:rsidRDefault="008F12EF" w:rsidP="007E0D2C">
      <w:pPr>
        <w:pStyle w:val="mpcbullets1"/>
      </w:pPr>
      <w:r>
        <w:t xml:space="preserve">While significant progress has been made in relation to the HSR System implementation, the </w:t>
      </w:r>
      <w:r w:rsidR="00E7786C">
        <w:t>Sy</w:t>
      </w:r>
      <w:r>
        <w:t xml:space="preserve">stem is not yet fully embedded. The changes proposed by this Review will </w:t>
      </w:r>
      <w:r w:rsidR="00E7786C">
        <w:t>cause</w:t>
      </w:r>
      <w:r>
        <w:t xml:space="preserve"> some disruption to the </w:t>
      </w:r>
      <w:r w:rsidR="00E7786C">
        <w:t>S</w:t>
      </w:r>
      <w:r>
        <w:t>ystem in the short term</w:t>
      </w:r>
      <w:r w:rsidR="00E7786C">
        <w:t>,</w:t>
      </w:r>
      <w:r>
        <w:t xml:space="preserve"> which will require careful management, stakeholder </w:t>
      </w:r>
      <w:r w:rsidR="00E7786C">
        <w:t>communication</w:t>
      </w:r>
      <w:r>
        <w:t xml:space="preserve"> and monitoring. A critical issue for all stakeholders is whether the System should be mandated or not. If the System is not mandated (as recommended in Chapter 7) there must be capacity to monitor uptake, which is most appropriately funded </w:t>
      </w:r>
      <w:r w:rsidR="00E7786C">
        <w:t xml:space="preserve">and managed </w:t>
      </w:r>
      <w:r>
        <w:t>by governments</w:t>
      </w:r>
      <w:r w:rsidR="00E7786C">
        <w:t>.</w:t>
      </w:r>
    </w:p>
    <w:p w14:paraId="6D24BDEF" w14:textId="72A84D7C" w:rsidR="008F12EF" w:rsidRDefault="008F12EF" w:rsidP="00676537">
      <w:pPr>
        <w:pStyle w:val="mpcbullets1"/>
        <w:keepNext w:val="0"/>
      </w:pPr>
      <w:r>
        <w:t xml:space="preserve">Industry funding of the HSR System would likely undermine credibility of the System. While confidence in the System is growing (discussed in Chapter 3), </w:t>
      </w:r>
      <w:r w:rsidR="00A90016">
        <w:t xml:space="preserve">a key reason for consumer mistrust in the System </w:t>
      </w:r>
      <w:r>
        <w:t>is a</w:t>
      </w:r>
      <w:r w:rsidR="00E7786C">
        <w:t>n</w:t>
      </w:r>
      <w:r>
        <w:t xml:space="preserve"> </w:t>
      </w:r>
      <w:r w:rsidR="00E7786C">
        <w:t>incorrect</w:t>
      </w:r>
      <w:r>
        <w:t xml:space="preserve"> belief that it is industry funded</w:t>
      </w:r>
      <w:r w:rsidR="007F7247">
        <w:t xml:space="preserve"> or that manufacturers ‘pay for the rating’</w:t>
      </w:r>
      <w:r>
        <w:t xml:space="preserve">. </w:t>
      </w:r>
      <w:r w:rsidR="004D4A55">
        <w:rPr>
          <w:lang w:val="en-US"/>
        </w:rPr>
        <w:t>Recent research noted</w:t>
      </w:r>
      <w:r w:rsidR="004D4A55" w:rsidRPr="004D4A55">
        <w:rPr>
          <w:lang w:val="en-US"/>
        </w:rPr>
        <w:t xml:space="preserve"> FoPL policy development </w:t>
      </w:r>
      <w:r w:rsidR="004D4A55">
        <w:rPr>
          <w:lang w:val="en-US"/>
        </w:rPr>
        <w:t>should be</w:t>
      </w:r>
      <w:r w:rsidR="004D4A55" w:rsidRPr="004D4A55">
        <w:rPr>
          <w:lang w:val="en-US"/>
        </w:rPr>
        <w:t xml:space="preserve"> led by government rather than commercially based, as consumers perceive the latter as less credible.</w:t>
      </w:r>
      <w:r w:rsidR="004D4A55" w:rsidRPr="002238DB">
        <w:rPr>
          <w:rFonts w:cs="Times New Roman (Body CS)"/>
          <w:vertAlign w:val="superscript"/>
        </w:rPr>
        <w:footnoteReference w:id="103"/>
      </w:r>
      <w:r w:rsidR="004D4A55">
        <w:t xml:space="preserve"> </w:t>
      </w:r>
      <w:r>
        <w:t>Industry funding of the System may also undermine industry’s willingness to use the System and to invest in promotion of the System through their own avenues (as has occurred to date).</w:t>
      </w:r>
    </w:p>
    <w:p w14:paraId="3597747C" w14:textId="77777777" w:rsidR="008F12EF" w:rsidRDefault="008F12EF" w:rsidP="00676537">
      <w:pPr>
        <w:pStyle w:val="mpcbullets1"/>
        <w:keepNext w:val="0"/>
        <w:numPr>
          <w:ilvl w:val="0"/>
          <w:numId w:val="0"/>
        </w:numPr>
        <w:ind w:left="360"/>
      </w:pPr>
    </w:p>
    <w:p w14:paraId="0E5C79DD" w14:textId="1BCD65F4" w:rsidR="008F12EF" w:rsidRPr="00E31E98" w:rsidRDefault="008F12EF" w:rsidP="00676537">
      <w:pPr>
        <w:pStyle w:val="mpcbullets1"/>
        <w:numPr>
          <w:ilvl w:val="0"/>
          <w:numId w:val="0"/>
        </w:numPr>
      </w:pPr>
      <w:r w:rsidRPr="00E31E98">
        <w:t>The Review recommends that government</w:t>
      </w:r>
      <w:r w:rsidR="00CC6DA9" w:rsidRPr="00E31E98">
        <w:t>s</w:t>
      </w:r>
      <w:r w:rsidRPr="00E31E98">
        <w:t xml:space="preserve"> continue to invest in HSR System implementation for a further four years</w:t>
      </w:r>
      <w:r w:rsidR="00602820" w:rsidRPr="00E31E98">
        <w:t xml:space="preserve"> from the date the recommendations in this Report are accepted</w:t>
      </w:r>
      <w:r w:rsidR="0058755D" w:rsidRPr="00E31E98">
        <w:t>. Funding should focus on:</w:t>
      </w:r>
    </w:p>
    <w:p w14:paraId="0CBBCB56" w14:textId="77777777" w:rsidR="008F12EF" w:rsidRPr="00E31E98" w:rsidRDefault="008F12EF" w:rsidP="00676537">
      <w:pPr>
        <w:pStyle w:val="mpcbullets1"/>
        <w:numPr>
          <w:ilvl w:val="0"/>
          <w:numId w:val="0"/>
        </w:numPr>
      </w:pPr>
    </w:p>
    <w:p w14:paraId="64F7339A" w14:textId="3DE46591" w:rsidR="00A427DD" w:rsidRPr="00E31E98" w:rsidRDefault="00A427DD" w:rsidP="00676537">
      <w:pPr>
        <w:pStyle w:val="mpcbullets1"/>
      </w:pPr>
      <w:r w:rsidRPr="00E31E98">
        <w:t>continuing to support the HSRAC, secretariat functions and management of the HSR Calculator and TAG database (by FSANZ)</w:t>
      </w:r>
    </w:p>
    <w:p w14:paraId="70E8FD89" w14:textId="77777777" w:rsidR="0058755D" w:rsidRPr="00E31E98" w:rsidRDefault="008F12EF" w:rsidP="007E0D2C">
      <w:pPr>
        <w:pStyle w:val="mpcbullets1"/>
      </w:pPr>
      <w:r w:rsidRPr="00E31E98">
        <w:t>revisions to guidance materials</w:t>
      </w:r>
    </w:p>
    <w:p w14:paraId="5845CE4F" w14:textId="34222E56" w:rsidR="008F12EF" w:rsidRPr="00E31E98" w:rsidRDefault="008F12EF" w:rsidP="007E0D2C">
      <w:pPr>
        <w:pStyle w:val="mpcbullets1"/>
      </w:pPr>
      <w:r w:rsidRPr="00E31E98">
        <w:t>monitoring</w:t>
      </w:r>
      <w:r w:rsidR="0058755D" w:rsidRPr="00E31E98">
        <w:t xml:space="preserve"> (including to inform future decisions about whether uptake targets have been met and whether the System should remain voluntary)</w:t>
      </w:r>
    </w:p>
    <w:p w14:paraId="021330FF" w14:textId="6DA4BAE1" w:rsidR="0058755D" w:rsidRPr="00E31E98" w:rsidRDefault="0058755D" w:rsidP="007E0D2C">
      <w:pPr>
        <w:pStyle w:val="mpcbullets1"/>
      </w:pPr>
      <w:r w:rsidRPr="00E31E98">
        <w:t>consumer education including why changes are being made, addressing misunderstandings and emphasising government endorsement.</w:t>
      </w:r>
    </w:p>
    <w:p w14:paraId="29773948" w14:textId="77777777" w:rsidR="0058755D" w:rsidRPr="00E31E98" w:rsidRDefault="0058755D" w:rsidP="00173A82">
      <w:pPr>
        <w:pStyle w:val="mpcbullets2"/>
        <w:numPr>
          <w:ilvl w:val="0"/>
          <w:numId w:val="0"/>
        </w:numPr>
        <w:ind w:left="720"/>
      </w:pPr>
    </w:p>
    <w:p w14:paraId="5C9DFA1A" w14:textId="0318E7A1" w:rsidR="00E677BF" w:rsidRDefault="0058755D" w:rsidP="007E0D2C">
      <w:pPr>
        <w:pStyle w:val="mpcbullets1"/>
        <w:numPr>
          <w:ilvl w:val="0"/>
          <w:numId w:val="0"/>
        </w:numPr>
      </w:pPr>
      <w:r w:rsidRPr="00E31E98">
        <w:t xml:space="preserve">After this time, </w:t>
      </w:r>
      <w:r w:rsidR="008F12EF" w:rsidRPr="00E31E98">
        <w:t>the HSR System should be sufficiently embedded such that d</w:t>
      </w:r>
      <w:r w:rsidR="00B84067" w:rsidRPr="00E31E98">
        <w:t>iscrete government</w:t>
      </w:r>
      <w:r w:rsidR="008F12EF" w:rsidRPr="00E31E98">
        <w:t xml:space="preserve"> funding </w:t>
      </w:r>
      <w:r w:rsidR="00602820" w:rsidRPr="00E31E98">
        <w:t xml:space="preserve">for </w:t>
      </w:r>
      <w:r w:rsidR="00B84067" w:rsidRPr="00E31E98">
        <w:t xml:space="preserve">its </w:t>
      </w:r>
      <w:r w:rsidR="00602820" w:rsidRPr="00E31E98">
        <w:t>promotion</w:t>
      </w:r>
      <w:r w:rsidR="00A90016" w:rsidRPr="00E31E98">
        <w:t xml:space="preserve"> </w:t>
      </w:r>
      <w:r w:rsidR="00B84067" w:rsidRPr="00E31E98">
        <w:t xml:space="preserve">(as distinct from promotion of broader health eating messages) </w:t>
      </w:r>
      <w:r w:rsidR="00A90016" w:rsidRPr="00E31E98">
        <w:t>is not required</w:t>
      </w:r>
      <w:r w:rsidR="008F12EF" w:rsidRPr="00E31E98">
        <w:t>.</w:t>
      </w:r>
      <w:r w:rsidR="008F12EF">
        <w:t xml:space="preserve"> </w:t>
      </w:r>
    </w:p>
    <w:p w14:paraId="28CD5A68" w14:textId="77777777" w:rsidR="008F12EF" w:rsidRDefault="008F12EF" w:rsidP="007E0D2C">
      <w:pPr>
        <w:pStyle w:val="mpcbullets1"/>
        <w:numPr>
          <w:ilvl w:val="0"/>
          <w:numId w:val="0"/>
        </w:numPr>
        <w:ind w:left="360"/>
      </w:pPr>
    </w:p>
    <w:p w14:paraId="69121CD3" w14:textId="3F7F27FC" w:rsidR="008F12EF" w:rsidRPr="00CC1ADD" w:rsidRDefault="008F12EF" w:rsidP="008F12EF">
      <w:pPr>
        <w:pStyle w:val="mpcheading2"/>
        <w:spacing w:after="0"/>
        <w:rPr>
          <w:lang w:eastAsia="en-GB"/>
        </w:rPr>
      </w:pPr>
      <w:bookmarkStart w:id="127" w:name="Governance2"/>
      <w:bookmarkStart w:id="128" w:name="_Toc536809186"/>
      <w:bookmarkStart w:id="129" w:name="_Toc9955065"/>
      <w:bookmarkEnd w:id="127"/>
      <w:r w:rsidRPr="00CC1ADD">
        <w:rPr>
          <w:lang w:eastAsia="en-GB"/>
        </w:rPr>
        <w:t>Governance arrangements</w:t>
      </w:r>
      <w:bookmarkEnd w:id="128"/>
      <w:bookmarkEnd w:id="129"/>
    </w:p>
    <w:p w14:paraId="4AD12911" w14:textId="77777777" w:rsidR="00E7786C" w:rsidRPr="00CC1ADD" w:rsidRDefault="00E7786C" w:rsidP="00E7786C">
      <w:pPr>
        <w:pStyle w:val="mpcNormal"/>
      </w:pPr>
    </w:p>
    <w:p w14:paraId="55213F66" w14:textId="77777777" w:rsidR="00E7786C" w:rsidRPr="00CC1ADD" w:rsidRDefault="00E7786C" w:rsidP="005A162A">
      <w:pPr>
        <w:pStyle w:val="mpcheading3"/>
      </w:pPr>
      <w:r>
        <w:t xml:space="preserve">Strengths of the existing governance arrangements </w:t>
      </w:r>
    </w:p>
    <w:p w14:paraId="778A1E2B" w14:textId="77777777" w:rsidR="00E7786C" w:rsidRPr="00CC1ADD" w:rsidRDefault="00E7786C" w:rsidP="00E7786C">
      <w:pPr>
        <w:pStyle w:val="mpcNormal"/>
      </w:pPr>
    </w:p>
    <w:p w14:paraId="50030882" w14:textId="77777777" w:rsidR="00335668" w:rsidRDefault="00E7786C" w:rsidP="00E7786C">
      <w:pPr>
        <w:pStyle w:val="mpcNormal"/>
      </w:pPr>
      <w:r w:rsidRPr="00CC1ADD">
        <w:t>To evaluate the governance arrangements, mpconsulting</w:t>
      </w:r>
      <w:r w:rsidR="00335668">
        <w:t>:</w:t>
      </w:r>
    </w:p>
    <w:p w14:paraId="2B83E599" w14:textId="77777777" w:rsidR="00335668" w:rsidRDefault="00335668" w:rsidP="00E7786C">
      <w:pPr>
        <w:pStyle w:val="mpcNormal"/>
      </w:pPr>
    </w:p>
    <w:p w14:paraId="08B449F7" w14:textId="0DC1337A" w:rsidR="00E7786C" w:rsidRPr="00CC1ADD" w:rsidRDefault="00E7786C" w:rsidP="007E0D2C">
      <w:pPr>
        <w:pStyle w:val="mpcbullets1"/>
      </w:pPr>
      <w:r w:rsidRPr="00CC1ADD">
        <w:t>observe</w:t>
      </w:r>
      <w:r w:rsidR="00A90016">
        <w:t>d</w:t>
      </w:r>
      <w:r w:rsidRPr="00CC1ADD">
        <w:t xml:space="preserve"> meetings of the HSRAC and the TAG</w:t>
      </w:r>
    </w:p>
    <w:p w14:paraId="44D48283" w14:textId="47E098D3" w:rsidR="00E7786C" w:rsidRPr="00CC1ADD" w:rsidRDefault="00E7786C" w:rsidP="007E0D2C">
      <w:pPr>
        <w:pStyle w:val="mpcbullets1"/>
      </w:pPr>
      <w:r w:rsidRPr="00CC1ADD">
        <w:t xml:space="preserve">spoke with FRSC, HSRAC and TAG members about their experience and expectations of the governance arrangements </w:t>
      </w:r>
    </w:p>
    <w:p w14:paraId="279FA8FE" w14:textId="723FFE5B" w:rsidR="00E7786C" w:rsidRPr="00CC1ADD" w:rsidRDefault="00E7786C" w:rsidP="007E0D2C">
      <w:pPr>
        <w:pStyle w:val="mpcbullets1"/>
      </w:pPr>
      <w:r w:rsidRPr="00CC1ADD">
        <w:t>reviewed materials available on the HSR System website</w:t>
      </w:r>
      <w:r w:rsidR="00335668">
        <w:t>,</w:t>
      </w:r>
      <w:r w:rsidRPr="00CC1ADD">
        <w:t xml:space="preserve"> including </w:t>
      </w:r>
      <w:r w:rsidR="00335668">
        <w:t xml:space="preserve">committee terms of reference, </w:t>
      </w:r>
      <w:r w:rsidRPr="00CC1ADD">
        <w:t>profiles of members</w:t>
      </w:r>
      <w:r w:rsidR="00335668">
        <w:t xml:space="preserve"> and </w:t>
      </w:r>
      <w:r w:rsidRPr="00CC1ADD">
        <w:t>meeting communiques</w:t>
      </w:r>
    </w:p>
    <w:p w14:paraId="3322E41A" w14:textId="77777777" w:rsidR="00E7786C" w:rsidRPr="00CC1ADD" w:rsidRDefault="00E7786C" w:rsidP="007E0D2C">
      <w:pPr>
        <w:pStyle w:val="mpcbullets1"/>
      </w:pPr>
      <w:r w:rsidRPr="00CC1ADD">
        <w:t>considered input provided by stakeholders through forums and submissions.</w:t>
      </w:r>
    </w:p>
    <w:p w14:paraId="5C958C64" w14:textId="77777777" w:rsidR="00E7786C" w:rsidRPr="00CC1ADD" w:rsidRDefault="00E7786C" w:rsidP="00E7786C">
      <w:pPr>
        <w:pStyle w:val="mpcNormal"/>
      </w:pPr>
    </w:p>
    <w:p w14:paraId="7037B516" w14:textId="77777777" w:rsidR="00E7786C" w:rsidRPr="00CC1ADD" w:rsidRDefault="00E7786C" w:rsidP="00E7786C">
      <w:pPr>
        <w:pStyle w:val="mpcNormal"/>
      </w:pPr>
      <w:r w:rsidRPr="00CC1ADD">
        <w:t xml:space="preserve">Overall the Review considers that the existing </w:t>
      </w:r>
      <w:r>
        <w:t xml:space="preserve">governance arrangements </w:t>
      </w:r>
      <w:r w:rsidRPr="00CC1ADD">
        <w:t xml:space="preserve">have worked well. </w:t>
      </w:r>
      <w:r>
        <w:t xml:space="preserve">Some of the key strengths have included: </w:t>
      </w:r>
    </w:p>
    <w:p w14:paraId="242B0840" w14:textId="77777777" w:rsidR="00E7786C" w:rsidRDefault="00E7786C" w:rsidP="00E7786C">
      <w:pPr>
        <w:pStyle w:val="mpcheading4"/>
      </w:pPr>
    </w:p>
    <w:p w14:paraId="21E85173" w14:textId="77777777" w:rsidR="00E7786C" w:rsidRPr="00676537" w:rsidRDefault="00E7786C" w:rsidP="007E0D2C">
      <w:pPr>
        <w:pStyle w:val="mpcbullets1"/>
        <w:rPr>
          <w:b/>
          <w:bCs/>
        </w:rPr>
      </w:pPr>
      <w:r w:rsidRPr="00676537">
        <w:rPr>
          <w:b/>
          <w:bCs/>
        </w:rPr>
        <w:t>cross-sectoral representation from industry, public health, consumer groups and governments on key committees</w:t>
      </w:r>
    </w:p>
    <w:p w14:paraId="68896637" w14:textId="77777777" w:rsidR="00E7786C" w:rsidRDefault="00E7786C" w:rsidP="00173A82">
      <w:pPr>
        <w:pStyle w:val="mpcbullets2"/>
      </w:pPr>
      <w:r w:rsidRPr="00CC1ADD">
        <w:t xml:space="preserve">The HSRAC is comprised of 10 members, including four members from government and three members each from industry and community. </w:t>
      </w:r>
    </w:p>
    <w:p w14:paraId="7A234A15" w14:textId="77777777" w:rsidR="00E7786C" w:rsidRDefault="00E7786C" w:rsidP="00173A82">
      <w:pPr>
        <w:pStyle w:val="mpcbullets2"/>
      </w:pPr>
      <w:r w:rsidRPr="00CC1ADD">
        <w:t>HSRAC members act as a conduit for information to their stakeholders (subject to any confidentiality requirements) and provide input and feedback that reflects the interests of their stakeholders.</w:t>
      </w:r>
    </w:p>
    <w:p w14:paraId="36DDFC5E" w14:textId="77777777" w:rsidR="00E7786C" w:rsidRDefault="00E7786C" w:rsidP="00173A82">
      <w:pPr>
        <w:pStyle w:val="mpcbullets2"/>
      </w:pPr>
      <w:r>
        <w:t>T</w:t>
      </w:r>
      <w:r w:rsidRPr="00CC1ADD">
        <w:t xml:space="preserve">he collaborative working relationships have facilitated strong buy-in during the early stages of </w:t>
      </w:r>
      <w:r>
        <w:t xml:space="preserve">HSR </w:t>
      </w:r>
      <w:r w:rsidRPr="00CC1ADD">
        <w:t>System implementation.</w:t>
      </w:r>
    </w:p>
    <w:p w14:paraId="7D277BFC" w14:textId="77777777" w:rsidR="00E7786C" w:rsidRPr="00CC1ADD" w:rsidRDefault="00E7786C" w:rsidP="007E0D2C">
      <w:pPr>
        <w:pStyle w:val="mpcbullets1"/>
        <w:numPr>
          <w:ilvl w:val="0"/>
          <w:numId w:val="0"/>
        </w:numPr>
      </w:pPr>
    </w:p>
    <w:p w14:paraId="6ECC6A94" w14:textId="77777777" w:rsidR="00E7786C" w:rsidRPr="00676537" w:rsidRDefault="00E7786C" w:rsidP="007E0D2C">
      <w:pPr>
        <w:pStyle w:val="mpcbullets1"/>
        <w:rPr>
          <w:b/>
          <w:bCs/>
        </w:rPr>
      </w:pPr>
      <w:r w:rsidRPr="00676537">
        <w:rPr>
          <w:b/>
          <w:bCs/>
        </w:rPr>
        <w:t>stable HSRAC membership</w:t>
      </w:r>
    </w:p>
    <w:p w14:paraId="3321AFAB" w14:textId="0C4BBEB4" w:rsidR="00E7786C" w:rsidRDefault="00E7786C" w:rsidP="00173A82">
      <w:pPr>
        <w:pStyle w:val="mpcbullets2"/>
      </w:pPr>
      <w:r w:rsidRPr="00CC1ADD">
        <w:t xml:space="preserve">HSRAC members are appointed for five years. Most members have been on the </w:t>
      </w:r>
      <w:r w:rsidR="00A90016">
        <w:t>HSRAC since appointment</w:t>
      </w:r>
      <w:r w:rsidRPr="00CC1ADD">
        <w:t xml:space="preserve"> or have remained closely involved with the HSR System. This continuity </w:t>
      </w:r>
      <w:r>
        <w:t xml:space="preserve">has been </w:t>
      </w:r>
      <w:r w:rsidRPr="00CC1ADD">
        <w:t>important, particularly as the System is complex and technical. This has ensured a consistent approach to issues, including the treatment of complaints and anomalies.</w:t>
      </w:r>
    </w:p>
    <w:p w14:paraId="2E5D0F5C" w14:textId="77777777" w:rsidR="00E7786C" w:rsidRDefault="00E7786C" w:rsidP="00173A82">
      <w:pPr>
        <w:pStyle w:val="mpcbullets2"/>
        <w:numPr>
          <w:ilvl w:val="0"/>
          <w:numId w:val="0"/>
        </w:numPr>
        <w:ind w:left="1080"/>
      </w:pPr>
    </w:p>
    <w:p w14:paraId="432306E7" w14:textId="77777777" w:rsidR="00E7786C" w:rsidRPr="00676537" w:rsidRDefault="00E7786C" w:rsidP="007E0D2C">
      <w:pPr>
        <w:pStyle w:val="mpcbullets1"/>
        <w:rPr>
          <w:b/>
          <w:bCs/>
        </w:rPr>
      </w:pPr>
      <w:r w:rsidRPr="00676537">
        <w:rPr>
          <w:b/>
          <w:bCs/>
        </w:rPr>
        <w:t>a strong, effective Secretariat</w:t>
      </w:r>
    </w:p>
    <w:p w14:paraId="31CC9486" w14:textId="2F6224F1" w:rsidR="00E7786C" w:rsidRDefault="00E7786C" w:rsidP="00173A82">
      <w:pPr>
        <w:pStyle w:val="mpcbullets2"/>
      </w:pPr>
      <w:r>
        <w:t xml:space="preserve">The HSR Secretariat provides </w:t>
      </w:r>
      <w:r w:rsidRPr="00CC1ADD">
        <w:t>substantial support to the HSRAC,</w:t>
      </w:r>
      <w:r>
        <w:t xml:space="preserve"> the</w:t>
      </w:r>
      <w:r w:rsidRPr="00CC1ADD">
        <w:t xml:space="preserve"> TAG and </w:t>
      </w:r>
      <w:r>
        <w:t xml:space="preserve">the </w:t>
      </w:r>
      <w:r w:rsidRPr="00CC1ADD">
        <w:t xml:space="preserve">SMAG, </w:t>
      </w:r>
      <w:r>
        <w:t xml:space="preserve">and also manages much of the day-to-day administration of the HSR System including an </w:t>
      </w:r>
      <w:r w:rsidRPr="00CC1ADD">
        <w:t>information/enquiry service</w:t>
      </w:r>
      <w:r>
        <w:t xml:space="preserve">, </w:t>
      </w:r>
      <w:r w:rsidRPr="00CC1ADD">
        <w:t>develop</w:t>
      </w:r>
      <w:r>
        <w:t xml:space="preserve">ment of resources, maintenance of the HSR website and </w:t>
      </w:r>
      <w:r w:rsidRPr="00CC1ADD">
        <w:t>coordinat</w:t>
      </w:r>
      <w:r>
        <w:t xml:space="preserve">ion of </w:t>
      </w:r>
      <w:r w:rsidRPr="00173A82">
        <w:t>consultation</w:t>
      </w:r>
      <w:r w:rsidRPr="00CC1ADD">
        <w:t xml:space="preserve"> on HSR System issues</w:t>
      </w:r>
      <w:r>
        <w:t xml:space="preserve">. </w:t>
      </w:r>
    </w:p>
    <w:p w14:paraId="106AB2E6" w14:textId="4B1CEAA2" w:rsidR="00E7786C" w:rsidRDefault="00E7786C" w:rsidP="00173A82">
      <w:pPr>
        <w:pStyle w:val="mpcbullets2"/>
      </w:pPr>
      <w:r w:rsidRPr="00CC1ADD">
        <w:t xml:space="preserve">Despite the expansive role, the costs of the HSR Secretariat have been below budget and the savings have been reapplied to supplement other </w:t>
      </w:r>
      <w:r>
        <w:t xml:space="preserve">HSR </w:t>
      </w:r>
      <w:r w:rsidR="00A90016">
        <w:t xml:space="preserve">System </w:t>
      </w:r>
      <w:r w:rsidRPr="00CC1ADD">
        <w:t>program activities</w:t>
      </w:r>
      <w:r>
        <w:t>.</w:t>
      </w:r>
    </w:p>
    <w:p w14:paraId="685DC957" w14:textId="0CC57CD0" w:rsidR="00E7786C" w:rsidRPr="00CC1ADD" w:rsidRDefault="00E7786C" w:rsidP="00173A82">
      <w:pPr>
        <w:pStyle w:val="mpcbullets2"/>
      </w:pPr>
      <w:r>
        <w:t xml:space="preserve">The linkages between the HSR Secretariat and the FRSC Secretariat (with both located in the </w:t>
      </w:r>
      <w:r w:rsidR="00A90016">
        <w:t xml:space="preserve">Commonwealth </w:t>
      </w:r>
      <w:r>
        <w:t>Department of Health) is also a strength of the existing arrangements.</w:t>
      </w:r>
    </w:p>
    <w:p w14:paraId="7101F9C0" w14:textId="77777777" w:rsidR="00E7786C" w:rsidRDefault="00E7786C" w:rsidP="00E7786C">
      <w:pPr>
        <w:rPr>
          <w:rFonts w:cstheme="minorHAnsi"/>
          <w:sz w:val="22"/>
          <w:szCs w:val="22"/>
        </w:rPr>
      </w:pPr>
    </w:p>
    <w:p w14:paraId="73D73135" w14:textId="77777777" w:rsidR="00E7786C" w:rsidRPr="00676537" w:rsidRDefault="00E7786C" w:rsidP="007E0D2C">
      <w:pPr>
        <w:pStyle w:val="mpcbullets1"/>
        <w:rPr>
          <w:b/>
          <w:bCs/>
        </w:rPr>
      </w:pPr>
      <w:r w:rsidRPr="00676537">
        <w:rPr>
          <w:b/>
          <w:bCs/>
        </w:rPr>
        <w:t>a highly consultative approach</w:t>
      </w:r>
    </w:p>
    <w:p w14:paraId="2187C534" w14:textId="77777777" w:rsidR="00E7786C" w:rsidRDefault="00E7786C" w:rsidP="00173A82">
      <w:pPr>
        <w:pStyle w:val="mpcbullets2"/>
      </w:pPr>
      <w:r>
        <w:t>The development of the HSR System was subject to extensive consultation over many years. When significant issues have arisen, these have also been subject to extensive consultation (such as the ‘as prepared’ issue). The high degree of consultation has generally been acknowledged by stakeholders.</w:t>
      </w:r>
    </w:p>
    <w:p w14:paraId="70A5149C" w14:textId="77777777" w:rsidR="00E7786C" w:rsidRDefault="00E7786C" w:rsidP="00173A82">
      <w:pPr>
        <w:pStyle w:val="mpcbullets2"/>
        <w:numPr>
          <w:ilvl w:val="0"/>
          <w:numId w:val="0"/>
        </w:numPr>
        <w:ind w:left="851"/>
      </w:pPr>
    </w:p>
    <w:p w14:paraId="4C851708" w14:textId="36268360" w:rsidR="00335668" w:rsidRPr="00676537" w:rsidRDefault="00E7786C" w:rsidP="007E0D2C">
      <w:pPr>
        <w:pStyle w:val="mpcbullets1"/>
        <w:rPr>
          <w:b/>
          <w:bCs/>
        </w:rPr>
      </w:pPr>
      <w:r w:rsidRPr="00676537">
        <w:rPr>
          <w:b/>
          <w:bCs/>
        </w:rPr>
        <w:t xml:space="preserve">a high degree of transparency </w:t>
      </w:r>
    </w:p>
    <w:p w14:paraId="56882973" w14:textId="66B9FEDE" w:rsidR="00335668" w:rsidRPr="00335668" w:rsidRDefault="00335668" w:rsidP="00173A82">
      <w:pPr>
        <w:pStyle w:val="mpcbullets2"/>
      </w:pPr>
      <w:r w:rsidRPr="00CC1ADD">
        <w:t xml:space="preserve">The </w:t>
      </w:r>
      <w:r w:rsidRPr="00335668">
        <w:t xml:space="preserve">availability of information on the HSR System website </w:t>
      </w:r>
      <w:r w:rsidR="002E732B">
        <w:t xml:space="preserve">and the highly consultative approach to resolving issues with the HSR System </w:t>
      </w:r>
      <w:r w:rsidRPr="00335668">
        <w:t>demonstrates a high degree of transparency</w:t>
      </w:r>
      <w:r w:rsidR="00A90016">
        <w:t>. F</w:t>
      </w:r>
      <w:r w:rsidR="002E732B">
        <w:t>urther detail regarding the transparency of the HSR System is provided later in this Chapter</w:t>
      </w:r>
      <w:r w:rsidRPr="00335668">
        <w:t>.</w:t>
      </w:r>
    </w:p>
    <w:p w14:paraId="76BFE6A0" w14:textId="77777777" w:rsidR="00E7786C" w:rsidRPr="00CC1ADD" w:rsidRDefault="00E7786C" w:rsidP="00173A82">
      <w:pPr>
        <w:pStyle w:val="mpcbullets2"/>
        <w:numPr>
          <w:ilvl w:val="0"/>
          <w:numId w:val="0"/>
        </w:numPr>
      </w:pPr>
    </w:p>
    <w:p w14:paraId="3AFF9045" w14:textId="77777777" w:rsidR="00E7786C" w:rsidRPr="00CC1ADD" w:rsidRDefault="00E7786C" w:rsidP="005A162A">
      <w:pPr>
        <w:pStyle w:val="mpcheading3"/>
      </w:pPr>
      <w:r>
        <w:t>Future governance arrangements</w:t>
      </w:r>
    </w:p>
    <w:p w14:paraId="794E828D" w14:textId="77777777" w:rsidR="00E7786C" w:rsidRDefault="00E7786C" w:rsidP="001B1618">
      <w:pPr>
        <w:pStyle w:val="mpcNormal"/>
        <w:keepNext w:val="0"/>
      </w:pPr>
    </w:p>
    <w:p w14:paraId="53F3531B" w14:textId="335C582F" w:rsidR="00E7786C" w:rsidRPr="003963C3" w:rsidRDefault="00E7786C" w:rsidP="001B1618">
      <w:pPr>
        <w:pStyle w:val="mpcNormal"/>
        <w:keepNext w:val="0"/>
        <w:rPr>
          <w:b/>
        </w:rPr>
      </w:pPr>
      <w:r w:rsidRPr="003963C3">
        <w:rPr>
          <w:b/>
        </w:rPr>
        <w:t xml:space="preserve">Role of the Forum and </w:t>
      </w:r>
      <w:r w:rsidR="001B1618">
        <w:rPr>
          <w:b/>
        </w:rPr>
        <w:t xml:space="preserve">the </w:t>
      </w:r>
      <w:r w:rsidRPr="003963C3">
        <w:rPr>
          <w:b/>
        </w:rPr>
        <w:t>FRSC</w:t>
      </w:r>
    </w:p>
    <w:p w14:paraId="38C824A0" w14:textId="77777777" w:rsidR="00E7786C" w:rsidRDefault="00E7786C" w:rsidP="007E0D2C">
      <w:pPr>
        <w:pStyle w:val="mpcbullets1"/>
        <w:numPr>
          <w:ilvl w:val="0"/>
          <w:numId w:val="0"/>
        </w:numPr>
      </w:pPr>
    </w:p>
    <w:p w14:paraId="7131E497" w14:textId="1F2A93CE" w:rsidR="00E7786C" w:rsidRDefault="00E7786C" w:rsidP="007E0D2C">
      <w:pPr>
        <w:pStyle w:val="mpcbullets1"/>
        <w:numPr>
          <w:ilvl w:val="0"/>
          <w:numId w:val="0"/>
        </w:numPr>
      </w:pPr>
      <w:r w:rsidRPr="00CC1ADD">
        <w:t xml:space="preserve">The Review </w:t>
      </w:r>
      <w:r>
        <w:t>considered whether</w:t>
      </w:r>
      <w:r w:rsidRPr="00CC1ADD">
        <w:t xml:space="preserve"> the </w:t>
      </w:r>
      <w:r>
        <w:t xml:space="preserve">Forum and </w:t>
      </w:r>
      <w:r w:rsidR="001B1618">
        <w:t xml:space="preserve">the </w:t>
      </w:r>
      <w:r w:rsidRPr="00CC1ADD">
        <w:t xml:space="preserve">FRSC </w:t>
      </w:r>
      <w:r>
        <w:t>should continue to have oversight of the HSR System or whether the HSR System could be overseen by AHMAC,</w:t>
      </w:r>
      <w:r w:rsidRPr="006A3CF8">
        <w:t xml:space="preserve"> </w:t>
      </w:r>
      <w:r w:rsidRPr="00CC1ADD">
        <w:t>given th</w:t>
      </w:r>
      <w:r>
        <w:t>at</w:t>
      </w:r>
      <w:r w:rsidRPr="00CC1ADD">
        <w:t xml:space="preserve"> AHMAC has oversight </w:t>
      </w:r>
      <w:r>
        <w:t xml:space="preserve">of </w:t>
      </w:r>
      <w:r w:rsidRPr="00CC1ADD">
        <w:t xml:space="preserve">many other health protection matters </w:t>
      </w:r>
      <w:r>
        <w:t>and national priorities.</w:t>
      </w:r>
    </w:p>
    <w:p w14:paraId="221B6639" w14:textId="77777777" w:rsidR="00E7786C" w:rsidRDefault="00E7786C" w:rsidP="007E0D2C">
      <w:pPr>
        <w:pStyle w:val="mpcbullets1"/>
        <w:numPr>
          <w:ilvl w:val="0"/>
          <w:numId w:val="0"/>
        </w:numPr>
      </w:pPr>
    </w:p>
    <w:p w14:paraId="102D6BCE" w14:textId="349A5799" w:rsidR="00E7786C" w:rsidRPr="0084685D" w:rsidRDefault="00E7786C" w:rsidP="007E0D2C">
      <w:pPr>
        <w:pStyle w:val="mpcbullets1"/>
        <w:numPr>
          <w:ilvl w:val="0"/>
          <w:numId w:val="0"/>
        </w:numPr>
      </w:pPr>
      <w:r w:rsidRPr="00CC1ADD">
        <w:t xml:space="preserve">The Review </w:t>
      </w:r>
      <w:r>
        <w:t xml:space="preserve">considers that the Forum and </w:t>
      </w:r>
      <w:r w:rsidR="001B1618">
        <w:t xml:space="preserve">the </w:t>
      </w:r>
      <w:r>
        <w:t xml:space="preserve">FRSC </w:t>
      </w:r>
      <w:r w:rsidRPr="00CC1ADD">
        <w:t xml:space="preserve">continue to be </w:t>
      </w:r>
      <w:r>
        <w:t xml:space="preserve">the appropriate decision makers in relation to major HSR </w:t>
      </w:r>
      <w:r w:rsidR="00A90016">
        <w:t xml:space="preserve">System </w:t>
      </w:r>
      <w:r>
        <w:t>related policy issues</w:t>
      </w:r>
      <w:r w:rsidRPr="00CC1ADD">
        <w:t>.</w:t>
      </w:r>
      <w:r>
        <w:t xml:space="preserve"> While </w:t>
      </w:r>
      <w:r w:rsidR="001B1618">
        <w:t>the HSR System is voluntary and</w:t>
      </w:r>
      <w:r>
        <w:t xml:space="preserve"> aimed at </w:t>
      </w:r>
      <w:r w:rsidRPr="00CC1ADD">
        <w:t>support</w:t>
      </w:r>
      <w:r>
        <w:t>ing</w:t>
      </w:r>
      <w:r w:rsidRPr="00CC1ADD">
        <w:t xml:space="preserve"> consumers to make healthier choices</w:t>
      </w:r>
      <w:r>
        <w:t xml:space="preserve"> rather than a food safety initiative</w:t>
      </w:r>
      <w:r w:rsidRPr="00CC1ADD">
        <w:t xml:space="preserve">, </w:t>
      </w:r>
      <w:r>
        <w:t xml:space="preserve">it directly </w:t>
      </w:r>
      <w:r w:rsidRPr="00CC1ADD">
        <w:t>impacts food labelling and drives food composition (through reformulation). As a dedicated food policy and regulation body, the FRSC is best placed to ensure that policy decisions relating to the HSR System take into account the wider food regulatory context including other labelling regulation and food standards.</w:t>
      </w:r>
    </w:p>
    <w:p w14:paraId="398D822C" w14:textId="77777777" w:rsidR="00E7786C" w:rsidRDefault="00E7786C" w:rsidP="001B1618">
      <w:pPr>
        <w:pStyle w:val="mpcNormal"/>
        <w:keepNext w:val="0"/>
        <w:rPr>
          <w:b/>
        </w:rPr>
      </w:pPr>
    </w:p>
    <w:p w14:paraId="04C79EA4" w14:textId="18A19DE7" w:rsidR="00E7786C" w:rsidRDefault="00E7786C" w:rsidP="001B1618">
      <w:pPr>
        <w:pStyle w:val="mpcNormal"/>
        <w:keepNext w:val="0"/>
        <w:rPr>
          <w:b/>
        </w:rPr>
      </w:pPr>
      <w:r w:rsidRPr="003963C3">
        <w:rPr>
          <w:b/>
        </w:rPr>
        <w:t>Rol</w:t>
      </w:r>
      <w:r>
        <w:rPr>
          <w:b/>
        </w:rPr>
        <w:t xml:space="preserve">e </w:t>
      </w:r>
      <w:r w:rsidRPr="003963C3">
        <w:rPr>
          <w:b/>
        </w:rPr>
        <w:t xml:space="preserve">of </w:t>
      </w:r>
      <w:r w:rsidR="001B1618">
        <w:rPr>
          <w:b/>
        </w:rPr>
        <w:t xml:space="preserve">the </w:t>
      </w:r>
      <w:r w:rsidRPr="003963C3">
        <w:rPr>
          <w:b/>
        </w:rPr>
        <w:t xml:space="preserve">HSRAC </w:t>
      </w:r>
    </w:p>
    <w:p w14:paraId="791DA615" w14:textId="77777777" w:rsidR="00E7786C" w:rsidRDefault="00E7786C" w:rsidP="001B1618">
      <w:pPr>
        <w:pStyle w:val="mpcNormal"/>
        <w:keepNext w:val="0"/>
        <w:rPr>
          <w:b/>
        </w:rPr>
      </w:pPr>
    </w:p>
    <w:p w14:paraId="01796FCA" w14:textId="3D94F3CB" w:rsidR="00E7786C" w:rsidRPr="00CC1ADD" w:rsidRDefault="00E7786C" w:rsidP="001B1618">
      <w:pPr>
        <w:pStyle w:val="mpcNormal"/>
        <w:keepNext w:val="0"/>
      </w:pPr>
      <w:r w:rsidRPr="00CC1ADD">
        <w:t>The HSRAC</w:t>
      </w:r>
      <w:r>
        <w:t xml:space="preserve"> Terms of Reference focus on </w:t>
      </w:r>
      <w:r w:rsidR="001B1618">
        <w:t xml:space="preserve">the </w:t>
      </w:r>
      <w:r w:rsidRPr="00CC1ADD">
        <w:t>HSRAC as a conduit of advice to the FRSC and as a conduit of information from its members to the relevant stakeholder groups.</w:t>
      </w:r>
      <w:r>
        <w:t xml:space="preserve"> </w:t>
      </w:r>
      <w:r w:rsidRPr="00CC1ADD">
        <w:t>While the HSRAC p</w:t>
      </w:r>
      <w:r>
        <w:t>erforms these functions</w:t>
      </w:r>
      <w:r w:rsidRPr="00CC1ADD">
        <w:t xml:space="preserve">, it </w:t>
      </w:r>
      <w:r>
        <w:t xml:space="preserve">also </w:t>
      </w:r>
      <w:r w:rsidRPr="00CC1ADD">
        <w:t>plays a</w:t>
      </w:r>
      <w:r>
        <w:t xml:space="preserve">n </w:t>
      </w:r>
      <w:r w:rsidRPr="00CC1ADD">
        <w:t>active role in:</w:t>
      </w:r>
    </w:p>
    <w:p w14:paraId="2AC24B1C" w14:textId="77777777" w:rsidR="00E7786C" w:rsidRPr="00CC1ADD" w:rsidRDefault="00E7786C" w:rsidP="001B1618">
      <w:pPr>
        <w:pStyle w:val="mpcNormal"/>
        <w:keepNext w:val="0"/>
      </w:pPr>
    </w:p>
    <w:p w14:paraId="7AC849E3" w14:textId="2D1695AA" w:rsidR="00E7786C" w:rsidRPr="00CC1ADD" w:rsidRDefault="00A90016" w:rsidP="007E0D2C">
      <w:pPr>
        <w:pStyle w:val="mpcbullets1"/>
      </w:pPr>
      <w:r>
        <w:t>determining</w:t>
      </w:r>
      <w:r w:rsidR="00E7786C" w:rsidRPr="00CC1ADD">
        <w:t xml:space="preserve"> anomalies</w:t>
      </w:r>
    </w:p>
    <w:p w14:paraId="70C77133" w14:textId="77777777" w:rsidR="00E7786C" w:rsidRPr="00CC1ADD" w:rsidRDefault="00E7786C" w:rsidP="007E0D2C">
      <w:pPr>
        <w:pStyle w:val="mpcbullets1"/>
      </w:pPr>
      <w:r w:rsidRPr="00CC1ADD">
        <w:t>identifying potential issues with the HSR System</w:t>
      </w:r>
    </w:p>
    <w:p w14:paraId="2E4EB122" w14:textId="77777777" w:rsidR="00E7786C" w:rsidRPr="00CC1ADD" w:rsidRDefault="00E7786C" w:rsidP="007E0D2C">
      <w:pPr>
        <w:pStyle w:val="mpcbullets1"/>
      </w:pPr>
      <w:r w:rsidRPr="00CC1ADD">
        <w:t>dealing with non-compliance</w:t>
      </w:r>
    </w:p>
    <w:p w14:paraId="1BEE25B8" w14:textId="5A96EB07" w:rsidR="00E7786C" w:rsidRPr="00CC1ADD" w:rsidRDefault="00E7786C" w:rsidP="007E0D2C">
      <w:pPr>
        <w:pStyle w:val="mpcbullets1"/>
      </w:pPr>
      <w:r w:rsidRPr="00CC1ADD">
        <w:t>consulting stakeholders on options for resolution of issues and recommending preferred options.</w:t>
      </w:r>
    </w:p>
    <w:p w14:paraId="1A29B872" w14:textId="3C9D2191" w:rsidR="00E7786C" w:rsidRPr="00CC1ADD" w:rsidRDefault="00E7786C" w:rsidP="00173A82">
      <w:pPr>
        <w:pStyle w:val="mpcbullets2"/>
      </w:pPr>
      <w:r w:rsidRPr="00CC1ADD">
        <w:t xml:space="preserve">For example, in relation to the ‘as prepared’ issue the HSRAC considered the issue, identified </w:t>
      </w:r>
      <w:r w:rsidR="001B1618">
        <w:t>options for addressing the issue</w:t>
      </w:r>
      <w:r w:rsidRPr="00CC1ADD">
        <w:t xml:space="preserve">, led consultation with stakeholders, </w:t>
      </w:r>
      <w:r w:rsidR="001B1618">
        <w:t>outlined</w:t>
      </w:r>
      <w:r w:rsidRPr="00CC1ADD">
        <w:t xml:space="preserve"> the ramifications of various options and recommended a preferred approach to the FRSC</w:t>
      </w:r>
      <w:r w:rsidR="001B1618">
        <w:t xml:space="preserve"> for decision</w:t>
      </w:r>
      <w:r w:rsidRPr="00CC1ADD">
        <w:t>.</w:t>
      </w:r>
    </w:p>
    <w:p w14:paraId="4D95B485" w14:textId="77777777" w:rsidR="00E7786C" w:rsidRPr="00CC1ADD" w:rsidRDefault="00E7786C" w:rsidP="001B1618">
      <w:pPr>
        <w:pStyle w:val="mpcNormal"/>
        <w:keepNext w:val="0"/>
      </w:pPr>
    </w:p>
    <w:p w14:paraId="033B3A9F" w14:textId="71D32EDB" w:rsidR="00E7786C" w:rsidRPr="00CC1ADD" w:rsidRDefault="00E7786C" w:rsidP="001B1618">
      <w:pPr>
        <w:pStyle w:val="mpcNormal"/>
        <w:keepNext w:val="0"/>
      </w:pPr>
      <w:r w:rsidRPr="00CC1ADD">
        <w:t xml:space="preserve">The HSRAC Terms of Reference also note that the HSRAC oversees the social marketing campaign and the monitoring and evaluation of the HSR System. While the HSRAC considers social marketing and monitoring reports, </w:t>
      </w:r>
      <w:r>
        <w:t>it</w:t>
      </w:r>
      <w:r w:rsidRPr="00CC1ADD">
        <w:t xml:space="preserve"> does not play a strong role in driving the content of the social marketing campaigns nor the strategic response to issues identified through monitoring data</w:t>
      </w:r>
      <w:r w:rsidR="001B1618">
        <w:t xml:space="preserve"> and evaluations</w:t>
      </w:r>
      <w:r w:rsidRPr="00CC1ADD">
        <w:t>.</w:t>
      </w:r>
    </w:p>
    <w:p w14:paraId="1244933F" w14:textId="77777777" w:rsidR="00E7786C" w:rsidRPr="00CC1ADD" w:rsidRDefault="00E7786C" w:rsidP="001B1618">
      <w:pPr>
        <w:pStyle w:val="mpcNormal"/>
        <w:keepNext w:val="0"/>
      </w:pPr>
    </w:p>
    <w:p w14:paraId="244973E8" w14:textId="5633B8F5" w:rsidR="003302BD" w:rsidRPr="003302BD" w:rsidRDefault="00E7786C" w:rsidP="003302BD">
      <w:pPr>
        <w:pStyle w:val="mpcNormal"/>
        <w:keepNext w:val="0"/>
      </w:pPr>
      <w:r w:rsidRPr="00FA160A">
        <w:t xml:space="preserve">The Review recommends the role of the HSRAC </w:t>
      </w:r>
      <w:r w:rsidR="001B1618" w:rsidRPr="00FA160A">
        <w:t>is clarified</w:t>
      </w:r>
      <w:r w:rsidR="003302BD" w:rsidRPr="00FA160A">
        <w:t xml:space="preserve"> </w:t>
      </w:r>
      <w:r w:rsidR="00B84067" w:rsidRPr="00FA160A">
        <w:t xml:space="preserve">such </w:t>
      </w:r>
      <w:r w:rsidR="003302BD" w:rsidRPr="00FA160A">
        <w:t>that its</w:t>
      </w:r>
      <w:r w:rsidR="00FA160A" w:rsidRPr="00FA160A">
        <w:t xml:space="preserve"> </w:t>
      </w:r>
      <w:r w:rsidR="003302BD" w:rsidRPr="00FA160A">
        <w:t xml:space="preserve">primary role </w:t>
      </w:r>
      <w:r w:rsidR="00FA160A" w:rsidRPr="00FA160A">
        <w:t>is to</w:t>
      </w:r>
      <w:r w:rsidR="003302BD" w:rsidRPr="00FA160A">
        <w:t xml:space="preserve"> promote stakeholder collaboration and champion the HSR System within each member’s broader stakeholder group. The HSRAC will also be responsible for:</w:t>
      </w:r>
    </w:p>
    <w:p w14:paraId="4E4AA369" w14:textId="77777777" w:rsidR="00E7786C" w:rsidRPr="00CC1ADD" w:rsidRDefault="00E7786C" w:rsidP="001B1618">
      <w:pPr>
        <w:pStyle w:val="mpcNormal"/>
        <w:keepNext w:val="0"/>
      </w:pPr>
    </w:p>
    <w:p w14:paraId="206BE45D" w14:textId="55C26562" w:rsidR="00E7786C" w:rsidRDefault="00E7786C" w:rsidP="007E0D2C">
      <w:pPr>
        <w:pStyle w:val="mpcbullets1"/>
      </w:pPr>
      <w:r>
        <w:t xml:space="preserve">overseeing </w:t>
      </w:r>
      <w:r w:rsidR="003302BD">
        <w:t xml:space="preserve">the </w:t>
      </w:r>
      <w:r w:rsidR="001B1618">
        <w:t xml:space="preserve">implementation of </w:t>
      </w:r>
      <w:r w:rsidR="003302BD">
        <w:t>any</w:t>
      </w:r>
      <w:r w:rsidR="001B1618">
        <w:t xml:space="preserve"> </w:t>
      </w:r>
      <w:r>
        <w:t xml:space="preserve">changes to the HSR Calculator and guidance materials </w:t>
      </w:r>
      <w:r w:rsidR="003302BD">
        <w:t xml:space="preserve">(including those </w:t>
      </w:r>
      <w:r>
        <w:t>resulting from Review</w:t>
      </w:r>
      <w:r w:rsidR="001B1618">
        <w:t xml:space="preserve"> recommendations</w:t>
      </w:r>
      <w:r w:rsidR="003302BD">
        <w:t>)</w:t>
      </w:r>
    </w:p>
    <w:p w14:paraId="3D1FDCEB" w14:textId="77777777" w:rsidR="00E7786C" w:rsidRDefault="00E7786C" w:rsidP="007E0D2C">
      <w:pPr>
        <w:pStyle w:val="mpcbullets1"/>
      </w:pPr>
      <w:r>
        <w:t xml:space="preserve">addressing queries or complaints unable to be resolved by the HSR Secretariat </w:t>
      </w:r>
    </w:p>
    <w:p w14:paraId="0A6AEBFB" w14:textId="5F9CCF85" w:rsidR="00E7786C" w:rsidRPr="002B4B45" w:rsidRDefault="003302BD" w:rsidP="007E0D2C">
      <w:pPr>
        <w:pStyle w:val="mpcbullets1"/>
      </w:pPr>
      <w:r w:rsidRPr="002B4B45">
        <w:t>making decisions on anomalies (informed by technical advice from FSANZ)</w:t>
      </w:r>
    </w:p>
    <w:p w14:paraId="42EBB009" w14:textId="77777777" w:rsidR="00E7786C" w:rsidRPr="002B4B45" w:rsidRDefault="00E7786C" w:rsidP="007E0D2C">
      <w:pPr>
        <w:pStyle w:val="mpcbullets1"/>
      </w:pPr>
      <w:r w:rsidRPr="002B4B45">
        <w:t>managing non-compliance with the HSR System</w:t>
      </w:r>
    </w:p>
    <w:p w14:paraId="2A3B2E07" w14:textId="469DD894" w:rsidR="003302BD" w:rsidRPr="002B4B45" w:rsidRDefault="003302BD" w:rsidP="007E0D2C">
      <w:pPr>
        <w:pStyle w:val="mpcbullets1"/>
      </w:pPr>
      <w:r w:rsidRPr="002B4B45">
        <w:t>directing the monitoring of the HSR System</w:t>
      </w:r>
    </w:p>
    <w:p w14:paraId="204E21EE" w14:textId="77777777" w:rsidR="00C01372" w:rsidRPr="002B4B45" w:rsidRDefault="00E7786C" w:rsidP="007E0D2C">
      <w:pPr>
        <w:pStyle w:val="mpcbullets1"/>
      </w:pPr>
      <w:r w:rsidRPr="002B4B45">
        <w:t>driving the content and scope of marketing campaigns and other communications, informed by monitoring information</w:t>
      </w:r>
    </w:p>
    <w:p w14:paraId="1E329EC3" w14:textId="04AF7608" w:rsidR="003302BD" w:rsidRPr="0084685D" w:rsidRDefault="00C01372" w:rsidP="007E0D2C">
      <w:pPr>
        <w:pStyle w:val="mpcbullets1"/>
      </w:pPr>
      <w:r>
        <w:t xml:space="preserve">communicating </w:t>
      </w:r>
      <w:r w:rsidR="003302BD">
        <w:t xml:space="preserve">with stakeholders </w:t>
      </w:r>
      <w:r>
        <w:t>and providing updates to the FRSC as necessary.</w:t>
      </w:r>
    </w:p>
    <w:p w14:paraId="65084F04" w14:textId="77777777" w:rsidR="00E7786C" w:rsidRDefault="00E7786C" w:rsidP="005C3022">
      <w:pPr>
        <w:pStyle w:val="mpcNormal"/>
      </w:pPr>
    </w:p>
    <w:p w14:paraId="0ACC42EB" w14:textId="612214D7" w:rsidR="00E7786C" w:rsidRDefault="00E7786C" w:rsidP="005C3022">
      <w:pPr>
        <w:pStyle w:val="mpcNormal"/>
      </w:pPr>
      <w:r w:rsidRPr="00CC1ADD">
        <w:t xml:space="preserve">It is critical for the HSRAC to strategically identify actions needed in response to consumer concerns and changes in confidence and to work with partners in the System (industry, public health groups, health educators and others) to </w:t>
      </w:r>
      <w:r w:rsidR="005C3022">
        <w:t xml:space="preserve">swiftly </w:t>
      </w:r>
      <w:r w:rsidRPr="00CC1ADD">
        <w:t>develop the appropriate response and communicate key messages through a range of avenues.</w:t>
      </w:r>
    </w:p>
    <w:p w14:paraId="592FEB84" w14:textId="77777777" w:rsidR="00E7786C" w:rsidRDefault="00E7786C" w:rsidP="005C3022">
      <w:pPr>
        <w:pStyle w:val="mpcNormal"/>
      </w:pPr>
    </w:p>
    <w:p w14:paraId="147EC858" w14:textId="5A4FBBB0" w:rsidR="005C3022" w:rsidRDefault="00E7786C" w:rsidP="005C3022">
      <w:pPr>
        <w:pStyle w:val="mpcNormal"/>
      </w:pPr>
      <w:r>
        <w:t xml:space="preserve">To deliver these outcomes, it is proposed that the </w:t>
      </w:r>
      <w:r w:rsidRPr="00CC1ADD">
        <w:t>HSRAC</w:t>
      </w:r>
      <w:r>
        <w:t xml:space="preserve"> membership</w:t>
      </w:r>
      <w:r w:rsidR="005C3022">
        <w:t>:</w:t>
      </w:r>
      <w:r>
        <w:t xml:space="preserve"> </w:t>
      </w:r>
    </w:p>
    <w:p w14:paraId="35F9F41C" w14:textId="77777777" w:rsidR="005C3022" w:rsidRDefault="005C3022" w:rsidP="005C3022">
      <w:pPr>
        <w:pStyle w:val="mpcNormal"/>
      </w:pPr>
    </w:p>
    <w:p w14:paraId="6EBE9102" w14:textId="35082CDB" w:rsidR="005C3022" w:rsidRDefault="00E7786C" w:rsidP="007E0D2C">
      <w:pPr>
        <w:pStyle w:val="mpcbullets1"/>
      </w:pPr>
      <w:r>
        <w:t>continue to be based on both expertise and representation</w:t>
      </w:r>
      <w:r w:rsidRPr="00BF4A9C">
        <w:t xml:space="preserve"> </w:t>
      </w:r>
      <w:r>
        <w:t xml:space="preserve">(with </w:t>
      </w:r>
      <w:r w:rsidRPr="00CC1ADD">
        <w:t>a reasonable balance of members across government, industry an</w:t>
      </w:r>
      <w:r w:rsidR="005C3022">
        <w:t xml:space="preserve">d </w:t>
      </w:r>
      <w:r w:rsidRPr="00CC1ADD">
        <w:t xml:space="preserve">public health </w:t>
      </w:r>
      <w:r>
        <w:t xml:space="preserve">and </w:t>
      </w:r>
      <w:r w:rsidR="005C3022">
        <w:t xml:space="preserve">from both </w:t>
      </w:r>
      <w:r>
        <w:t xml:space="preserve">Australia and New Zealand) </w:t>
      </w:r>
    </w:p>
    <w:p w14:paraId="7EC95B96" w14:textId="5C5D9B75" w:rsidR="005C3022" w:rsidRDefault="00E7786C" w:rsidP="007E0D2C">
      <w:pPr>
        <w:pStyle w:val="mpcbullets1"/>
      </w:pPr>
      <w:r>
        <w:t xml:space="preserve">be </w:t>
      </w:r>
      <w:r w:rsidRPr="00CC1ADD">
        <w:t>reduce</w:t>
      </w:r>
      <w:r w:rsidR="005C3022">
        <w:t>d</w:t>
      </w:r>
      <w:r w:rsidRPr="00CC1ADD">
        <w:t xml:space="preserve"> in size from 10 members to eight</w:t>
      </w:r>
      <w:r>
        <w:t xml:space="preserve"> (reducing cost and streamlining decision making) </w:t>
      </w:r>
    </w:p>
    <w:p w14:paraId="1E6AFEFF" w14:textId="6175F626" w:rsidR="00E7786C" w:rsidRPr="00CC1ADD" w:rsidRDefault="00E7786C" w:rsidP="007E0D2C">
      <w:pPr>
        <w:pStyle w:val="mpcbullets1"/>
      </w:pPr>
      <w:r>
        <w:t xml:space="preserve">include </w:t>
      </w:r>
      <w:r w:rsidRPr="00CC1ADD">
        <w:t>one FSANZ representative</w:t>
      </w:r>
      <w:r>
        <w:t xml:space="preserve"> (as discussed below).</w:t>
      </w:r>
      <w:r w:rsidRPr="00CC1ADD">
        <w:t xml:space="preserve"> </w:t>
      </w:r>
    </w:p>
    <w:p w14:paraId="09C54086" w14:textId="7C6266FE" w:rsidR="00E7786C" w:rsidRDefault="00E7786C" w:rsidP="005C3022">
      <w:pPr>
        <w:pStyle w:val="mpcNormal"/>
      </w:pPr>
    </w:p>
    <w:p w14:paraId="6616139C" w14:textId="232B52D1" w:rsidR="00CC6DA9" w:rsidRDefault="00CC6DA9" w:rsidP="005C3022">
      <w:pPr>
        <w:pStyle w:val="mpcNormal"/>
      </w:pPr>
      <w:r>
        <w:t>After the two-year transition period</w:t>
      </w:r>
      <w:r w:rsidR="004D3AE1">
        <w:t>,</w:t>
      </w:r>
      <w:r>
        <w:t xml:space="preserve"> it may no longer be necessary to maintain an HSR specific committee. HSR related matters could then be rolled into the FRSC agenda.</w:t>
      </w:r>
    </w:p>
    <w:p w14:paraId="7ADC5241" w14:textId="77777777" w:rsidR="00CC6DA9" w:rsidRDefault="00CC6DA9" w:rsidP="005C3022">
      <w:pPr>
        <w:pStyle w:val="mpcNormal"/>
      </w:pPr>
    </w:p>
    <w:p w14:paraId="6F491DE2" w14:textId="77777777" w:rsidR="00E7786C" w:rsidRPr="00BF4A9C" w:rsidRDefault="00E7786C" w:rsidP="00A90016">
      <w:pPr>
        <w:pStyle w:val="mpcheading4"/>
      </w:pPr>
      <w:r w:rsidRPr="00BF4A9C">
        <w:t>Role of FSANZ</w:t>
      </w:r>
    </w:p>
    <w:p w14:paraId="630C52B2" w14:textId="77777777" w:rsidR="00E7786C" w:rsidRPr="00BF4A9C" w:rsidRDefault="00E7786C" w:rsidP="007E0D2C">
      <w:pPr>
        <w:pStyle w:val="mpcbullets1"/>
        <w:numPr>
          <w:ilvl w:val="0"/>
          <w:numId w:val="0"/>
        </w:numPr>
      </w:pPr>
    </w:p>
    <w:p w14:paraId="6ACD7092" w14:textId="6C8AB668" w:rsidR="00E7786C" w:rsidRPr="0084685D" w:rsidRDefault="00E7786C" w:rsidP="007E0D2C">
      <w:pPr>
        <w:pStyle w:val="mpcbullets1"/>
        <w:numPr>
          <w:ilvl w:val="0"/>
          <w:numId w:val="0"/>
        </w:numPr>
      </w:pPr>
      <w:r w:rsidRPr="0084685D">
        <w:t>To date FSA</w:t>
      </w:r>
      <w:r>
        <w:t>NZ</w:t>
      </w:r>
      <w:r w:rsidRPr="0084685D">
        <w:t xml:space="preserve"> has played an indirect role in the HSR System through their membership on the TAG</w:t>
      </w:r>
      <w:r w:rsidR="005C3022">
        <w:t xml:space="preserve">. </w:t>
      </w:r>
      <w:r w:rsidR="00CC6DA9">
        <w:t>O</w:t>
      </w:r>
      <w:r w:rsidR="005C3022">
        <w:t>ther than the HSR Secretariat</w:t>
      </w:r>
      <w:r w:rsidR="00CC6DA9">
        <w:t>,</w:t>
      </w:r>
      <w:r w:rsidR="005C3022">
        <w:t xml:space="preserve"> only the FSANZ representative and</w:t>
      </w:r>
      <w:r w:rsidRPr="0084685D">
        <w:t xml:space="preserve"> </w:t>
      </w:r>
      <w:r w:rsidR="005C3022" w:rsidRPr="0084685D">
        <w:t xml:space="preserve">one industry member </w:t>
      </w:r>
      <w:r w:rsidR="005C3022">
        <w:t>have had</w:t>
      </w:r>
      <w:r w:rsidRPr="0084685D">
        <w:t xml:space="preserve"> access to the TAG database</w:t>
      </w:r>
      <w:r w:rsidR="00A90016">
        <w:t>,</w:t>
      </w:r>
      <w:r w:rsidRPr="0084685D">
        <w:t xml:space="preserve"> </w:t>
      </w:r>
      <w:r w:rsidR="00CC6DA9">
        <w:t xml:space="preserve">which is used to </w:t>
      </w:r>
      <w:r w:rsidR="005C3022">
        <w:t xml:space="preserve">model </w:t>
      </w:r>
      <w:r w:rsidR="00A90016">
        <w:t xml:space="preserve">possible </w:t>
      </w:r>
      <w:r w:rsidR="005C3022">
        <w:t>changes to the</w:t>
      </w:r>
      <w:r w:rsidRPr="0084685D">
        <w:t xml:space="preserve"> HSR </w:t>
      </w:r>
      <w:r w:rsidR="005C3022">
        <w:t>C</w:t>
      </w:r>
      <w:r w:rsidRPr="0084685D">
        <w:t>alculator.</w:t>
      </w:r>
    </w:p>
    <w:p w14:paraId="66647F2F" w14:textId="77777777" w:rsidR="00E7786C" w:rsidRPr="0084685D" w:rsidRDefault="00E7786C" w:rsidP="007E0D2C">
      <w:pPr>
        <w:pStyle w:val="mpcbullets1"/>
        <w:numPr>
          <w:ilvl w:val="0"/>
          <w:numId w:val="0"/>
        </w:numPr>
      </w:pPr>
    </w:p>
    <w:p w14:paraId="38700883" w14:textId="700CE342" w:rsidR="00E7786C" w:rsidRDefault="00E7786C" w:rsidP="00676537">
      <w:pPr>
        <w:pStyle w:val="mpcbullets1"/>
        <w:keepNext w:val="0"/>
        <w:numPr>
          <w:ilvl w:val="0"/>
          <w:numId w:val="0"/>
        </w:numPr>
      </w:pPr>
      <w:r w:rsidRPr="0084685D">
        <w:t xml:space="preserve">FSANZ </w:t>
      </w:r>
      <w:r w:rsidR="005C3022">
        <w:t xml:space="preserve">is a </w:t>
      </w:r>
      <w:r w:rsidRPr="0084685D">
        <w:t>re</w:t>
      </w:r>
      <w:r>
        <w:t>spected</w:t>
      </w:r>
      <w:r w:rsidR="005C3022">
        <w:t>, trusted organisation</w:t>
      </w:r>
      <w:r>
        <w:t xml:space="preserve"> </w:t>
      </w:r>
      <w:r w:rsidRPr="0084685D">
        <w:t>and</w:t>
      </w:r>
      <w:r w:rsidR="00B84067">
        <w:t xml:space="preserve"> experts within </w:t>
      </w:r>
      <w:r w:rsidR="005C3022">
        <w:t>FSANZ have</w:t>
      </w:r>
      <w:r w:rsidRPr="0084685D">
        <w:t xml:space="preserve"> </w:t>
      </w:r>
      <w:r w:rsidR="005C3022">
        <w:t>the technical expertise and knowledge of the Australian and New Zealand food system, food science and nutrition</w:t>
      </w:r>
      <w:r w:rsidR="005C3022" w:rsidRPr="005C3022">
        <w:t xml:space="preserve"> </w:t>
      </w:r>
      <w:r w:rsidR="005C3022">
        <w:t>(</w:t>
      </w:r>
      <w:r w:rsidR="005C3022" w:rsidRPr="0084685D">
        <w:t>including Di</w:t>
      </w:r>
      <w:r w:rsidR="005C3022">
        <w:t>etary</w:t>
      </w:r>
      <w:r w:rsidR="005C3022" w:rsidRPr="0084685D">
        <w:t xml:space="preserve"> Guidelines, </w:t>
      </w:r>
      <w:r w:rsidR="005C3022">
        <w:t>the NPSC, N</w:t>
      </w:r>
      <w:r w:rsidR="005C3022" w:rsidRPr="0084685D">
        <w:t>IP requi</w:t>
      </w:r>
      <w:r w:rsidR="005C3022">
        <w:t>r</w:t>
      </w:r>
      <w:r w:rsidR="005C3022" w:rsidRPr="0084685D">
        <w:t>ements</w:t>
      </w:r>
      <w:r w:rsidR="005C3022">
        <w:t xml:space="preserve">, </w:t>
      </w:r>
      <w:r w:rsidR="005C3022" w:rsidRPr="0084685D">
        <w:t>labe</w:t>
      </w:r>
      <w:r w:rsidR="005C3022">
        <w:t>lling</w:t>
      </w:r>
      <w:r w:rsidR="005C3022" w:rsidRPr="0084685D">
        <w:t xml:space="preserve"> </w:t>
      </w:r>
      <w:r w:rsidR="005C3022">
        <w:t xml:space="preserve">and related </w:t>
      </w:r>
      <w:r w:rsidR="005C3022" w:rsidRPr="0084685D">
        <w:t>standards</w:t>
      </w:r>
      <w:r w:rsidR="005C3022">
        <w:t xml:space="preserve">), which underpin the functioning of the </w:t>
      </w:r>
      <w:r w:rsidRPr="0084685D">
        <w:t>HSR System</w:t>
      </w:r>
      <w:r>
        <w:t>.</w:t>
      </w:r>
    </w:p>
    <w:p w14:paraId="3D036CA5" w14:textId="77777777" w:rsidR="00E7786C" w:rsidRDefault="00E7786C" w:rsidP="00676537">
      <w:pPr>
        <w:pStyle w:val="mpcbullets1"/>
        <w:keepNext w:val="0"/>
        <w:numPr>
          <w:ilvl w:val="0"/>
          <w:numId w:val="0"/>
        </w:numPr>
      </w:pPr>
    </w:p>
    <w:p w14:paraId="4D92A55E" w14:textId="54EFED05" w:rsidR="004D3AE1" w:rsidRDefault="004D3AE1" w:rsidP="00676537">
      <w:pPr>
        <w:pStyle w:val="mpcbullets1"/>
        <w:keepNext w:val="0"/>
        <w:numPr>
          <w:ilvl w:val="0"/>
          <w:numId w:val="0"/>
        </w:numPr>
      </w:pPr>
      <w:r>
        <w:t>The Review considers that the governance arrangements would benefit from:</w:t>
      </w:r>
    </w:p>
    <w:p w14:paraId="1364C085" w14:textId="77777777" w:rsidR="004D3AE1" w:rsidRDefault="004D3AE1" w:rsidP="00676537">
      <w:pPr>
        <w:pStyle w:val="mpcbullets1"/>
        <w:keepNext w:val="0"/>
        <w:numPr>
          <w:ilvl w:val="0"/>
          <w:numId w:val="0"/>
        </w:numPr>
      </w:pPr>
    </w:p>
    <w:p w14:paraId="0DDEE88F" w14:textId="77777777" w:rsidR="004D3AE1" w:rsidRDefault="004D3AE1" w:rsidP="00676537">
      <w:pPr>
        <w:pStyle w:val="mpcbullets1"/>
        <w:keepNext w:val="0"/>
      </w:pPr>
      <w:r>
        <w:t xml:space="preserve">representation of FSANZ on the HSRAC </w:t>
      </w:r>
    </w:p>
    <w:p w14:paraId="3B8C6E85" w14:textId="1CB5E979" w:rsidR="004D3AE1" w:rsidRDefault="004D3AE1" w:rsidP="00676537">
      <w:pPr>
        <w:pStyle w:val="mpcbullets1"/>
        <w:keepNext w:val="0"/>
      </w:pPr>
      <w:r>
        <w:t>FSANZ managing the HSR Calculator and the TAG database</w:t>
      </w:r>
    </w:p>
    <w:p w14:paraId="1578C37A" w14:textId="73E9DBC1" w:rsidR="004D3AE1" w:rsidRPr="002B4B45" w:rsidRDefault="004D3AE1" w:rsidP="00676537">
      <w:pPr>
        <w:pStyle w:val="mpcbullets1"/>
        <w:keepNext w:val="0"/>
      </w:pPr>
      <w:r>
        <w:t xml:space="preserve">FSANZ providing advice to the HSR Secretariat and the HSRAC (on request) to assist them to resolve anomalies, and model the impact of potential changes to the HSR Calculator. This would be a </w:t>
      </w:r>
      <w:r w:rsidRPr="002B4B45">
        <w:t xml:space="preserve">similar role to that played by the TAG </w:t>
      </w:r>
      <w:r w:rsidR="00A90016" w:rsidRPr="002B4B45">
        <w:t>in the lead up to</w:t>
      </w:r>
      <w:r w:rsidRPr="002B4B45">
        <w:t xml:space="preserve"> the Review.</w:t>
      </w:r>
    </w:p>
    <w:p w14:paraId="37BF30F4" w14:textId="25BD2541" w:rsidR="005C3022" w:rsidRPr="002B4B45" w:rsidRDefault="005C3022" w:rsidP="00676537">
      <w:pPr>
        <w:pStyle w:val="mpcbullets1"/>
        <w:keepNext w:val="0"/>
        <w:numPr>
          <w:ilvl w:val="0"/>
          <w:numId w:val="0"/>
        </w:numPr>
      </w:pPr>
    </w:p>
    <w:p w14:paraId="743317AF" w14:textId="1DD41FEF" w:rsidR="002667AD" w:rsidRPr="002238DB" w:rsidRDefault="004D4A55" w:rsidP="00676537">
      <w:pPr>
        <w:pStyle w:val="mpcbullets1"/>
        <w:keepNext w:val="0"/>
        <w:numPr>
          <w:ilvl w:val="0"/>
          <w:numId w:val="0"/>
        </w:numPr>
      </w:pPr>
      <w:r w:rsidRPr="002B4B45">
        <w:t>Clear government leadership and expert involvement into the HSR System</w:t>
      </w:r>
      <w:r w:rsidR="002667AD" w:rsidRPr="002B4B45">
        <w:t xml:space="preserve"> aligns with other food labelling arrangements within Australia and New Zealand and with international </w:t>
      </w:r>
      <w:r w:rsidRPr="002B4B45">
        <w:t xml:space="preserve">FoPL </w:t>
      </w:r>
      <w:r w:rsidR="002667AD" w:rsidRPr="002B4B45">
        <w:t>best practice.</w:t>
      </w:r>
      <w:r w:rsidR="002667AD" w:rsidRPr="002B4B45">
        <w:rPr>
          <w:rFonts w:cs="Times New Roman (Body CS)"/>
          <w:vertAlign w:val="superscript"/>
        </w:rPr>
        <w:footnoteReference w:id="104"/>
      </w:r>
    </w:p>
    <w:p w14:paraId="378E9691" w14:textId="77777777" w:rsidR="002667AD" w:rsidRDefault="002667AD" w:rsidP="00676537">
      <w:pPr>
        <w:pStyle w:val="mpcbullets1"/>
        <w:keepNext w:val="0"/>
        <w:numPr>
          <w:ilvl w:val="0"/>
          <w:numId w:val="0"/>
        </w:numPr>
      </w:pPr>
    </w:p>
    <w:p w14:paraId="550F710F" w14:textId="53EDBCD2" w:rsidR="00E7786C" w:rsidRDefault="00E7786C" w:rsidP="00676537">
      <w:pPr>
        <w:pStyle w:val="mpcbullets1"/>
        <w:keepNext w:val="0"/>
        <w:numPr>
          <w:ilvl w:val="0"/>
          <w:numId w:val="0"/>
        </w:numPr>
      </w:pPr>
      <w:r>
        <w:t xml:space="preserve">Any stakeholder complaints or queries about the HSR </w:t>
      </w:r>
      <w:r w:rsidR="00364BC9">
        <w:t xml:space="preserve">System </w:t>
      </w:r>
      <w:r>
        <w:t>(including the HSR Calculator) would continue to be directed through the HSR Secretariat.</w:t>
      </w:r>
    </w:p>
    <w:p w14:paraId="4C713CD7" w14:textId="622F514F" w:rsidR="00E7786C" w:rsidRDefault="00E7786C" w:rsidP="00676537">
      <w:pPr>
        <w:pStyle w:val="mpcNormal"/>
        <w:keepNext w:val="0"/>
        <w:rPr>
          <w:rFonts w:eastAsia="Times New Roman"/>
          <w:color w:val="000000"/>
        </w:rPr>
      </w:pPr>
    </w:p>
    <w:p w14:paraId="4C4F382D" w14:textId="7A42CE30" w:rsidR="00DE6F10" w:rsidRPr="002B4B45" w:rsidRDefault="00DE6F10" w:rsidP="00676537">
      <w:pPr>
        <w:pStyle w:val="mpcheading4"/>
        <w:keepNext w:val="0"/>
      </w:pPr>
      <w:r w:rsidRPr="002B4B45">
        <w:t>Role of the SMAG</w:t>
      </w:r>
    </w:p>
    <w:p w14:paraId="6693F9EB" w14:textId="77777777" w:rsidR="00C0096E" w:rsidRPr="002B4B45" w:rsidRDefault="00C0096E" w:rsidP="00676537">
      <w:pPr>
        <w:pStyle w:val="Default"/>
        <w:rPr>
          <w:rFonts w:asciiTheme="minorHAnsi" w:hAnsiTheme="minorHAnsi" w:cstheme="minorBidi"/>
          <w:color w:val="auto"/>
          <w:sz w:val="22"/>
          <w:szCs w:val="22"/>
          <w:lang w:val="en-AU"/>
        </w:rPr>
      </w:pPr>
    </w:p>
    <w:p w14:paraId="55E7AAC6" w14:textId="72A53A3B" w:rsidR="00C0096E" w:rsidRPr="00CC1ADD" w:rsidRDefault="00C0096E" w:rsidP="00676537">
      <w:pPr>
        <w:pStyle w:val="Default"/>
        <w:rPr>
          <w:rFonts w:asciiTheme="minorHAnsi" w:hAnsiTheme="minorHAnsi" w:cstheme="minorBidi"/>
          <w:color w:val="auto"/>
          <w:sz w:val="22"/>
          <w:szCs w:val="22"/>
          <w:lang w:val="en-AU"/>
        </w:rPr>
      </w:pPr>
      <w:r w:rsidRPr="002B4B45">
        <w:rPr>
          <w:rFonts w:asciiTheme="minorHAnsi" w:hAnsiTheme="minorHAnsi" w:cstheme="minorBidi"/>
          <w:color w:val="auto"/>
          <w:sz w:val="22"/>
          <w:szCs w:val="22"/>
          <w:lang w:val="en-AU"/>
        </w:rPr>
        <w:t xml:space="preserve">As discussed in Chapter 4, it is recommended that the HSRAC and the SMAG in Australia and the MPI and HPA in New Zealand continue to work together to ensure government communications regarding the HSR System meet stakeholder needs. The SMAG should continue </w:t>
      </w:r>
      <w:r w:rsidR="004D4A55" w:rsidRPr="002B4B45">
        <w:rPr>
          <w:rFonts w:asciiTheme="minorHAnsi" w:hAnsiTheme="minorHAnsi" w:cstheme="minorBidi"/>
          <w:color w:val="auto"/>
          <w:sz w:val="22"/>
          <w:szCs w:val="22"/>
          <w:lang w:val="en-AU"/>
        </w:rPr>
        <w:t>for the duration of social marketing campaigns</w:t>
      </w:r>
      <w:r w:rsidRPr="002B4B45">
        <w:rPr>
          <w:rFonts w:asciiTheme="minorHAnsi" w:hAnsiTheme="minorHAnsi" w:cstheme="minorBidi"/>
          <w:color w:val="auto"/>
          <w:sz w:val="22"/>
          <w:szCs w:val="22"/>
          <w:lang w:val="en-AU"/>
        </w:rPr>
        <w:t xml:space="preserve">, as this provides a mechanism for consulting </w:t>
      </w:r>
      <w:r w:rsidR="002B4B45" w:rsidRPr="002B4B45">
        <w:rPr>
          <w:rFonts w:asciiTheme="minorHAnsi" w:hAnsiTheme="minorHAnsi" w:cstheme="minorBidi"/>
          <w:color w:val="auto"/>
          <w:sz w:val="22"/>
          <w:szCs w:val="22"/>
          <w:lang w:val="en-AU"/>
        </w:rPr>
        <w:t xml:space="preserve">Australian </w:t>
      </w:r>
      <w:r w:rsidRPr="002B4B45">
        <w:rPr>
          <w:rFonts w:asciiTheme="minorHAnsi" w:hAnsiTheme="minorHAnsi" w:cstheme="minorBidi"/>
          <w:color w:val="auto"/>
          <w:sz w:val="22"/>
          <w:szCs w:val="22"/>
          <w:lang w:val="en-AU"/>
        </w:rPr>
        <w:t>jurisdictions on the content and form of government communications on the HSR System</w:t>
      </w:r>
      <w:r w:rsidR="004D4A55" w:rsidRPr="002B4B45">
        <w:rPr>
          <w:rFonts w:asciiTheme="minorHAnsi" w:hAnsiTheme="minorHAnsi" w:cstheme="minorBidi"/>
          <w:color w:val="auto"/>
          <w:sz w:val="22"/>
          <w:szCs w:val="22"/>
          <w:lang w:val="en-AU"/>
        </w:rPr>
        <w:t xml:space="preserve"> and possible interactions with state-based initiatives</w:t>
      </w:r>
      <w:r w:rsidRPr="002B4B45">
        <w:rPr>
          <w:rFonts w:asciiTheme="minorHAnsi" w:hAnsiTheme="minorHAnsi" w:cstheme="minorBidi"/>
          <w:color w:val="auto"/>
          <w:sz w:val="22"/>
          <w:szCs w:val="22"/>
          <w:lang w:val="en-AU"/>
        </w:rPr>
        <w:t>.</w:t>
      </w:r>
    </w:p>
    <w:p w14:paraId="1E0F2E25" w14:textId="77777777" w:rsidR="00DE6F10" w:rsidRDefault="00DE6F10" w:rsidP="00676537">
      <w:pPr>
        <w:pStyle w:val="mpcNormal"/>
        <w:keepNext w:val="0"/>
        <w:rPr>
          <w:rFonts w:eastAsia="Times New Roman"/>
          <w:color w:val="000000"/>
        </w:rPr>
      </w:pPr>
    </w:p>
    <w:p w14:paraId="2F37EFA1" w14:textId="42555A65" w:rsidR="00E7786C" w:rsidRDefault="00E7786C" w:rsidP="00676537">
      <w:pPr>
        <w:pStyle w:val="mpcNormal"/>
        <w:keepNext w:val="0"/>
        <w:rPr>
          <w:rFonts w:eastAsia="Times New Roman"/>
          <w:b/>
          <w:color w:val="000000"/>
        </w:rPr>
      </w:pPr>
      <w:r w:rsidRPr="001B370E">
        <w:rPr>
          <w:rFonts w:eastAsia="Times New Roman"/>
          <w:b/>
          <w:color w:val="000000"/>
        </w:rPr>
        <w:t>Rol</w:t>
      </w:r>
      <w:r>
        <w:rPr>
          <w:rFonts w:eastAsia="Times New Roman"/>
          <w:b/>
          <w:color w:val="000000"/>
        </w:rPr>
        <w:t>e</w:t>
      </w:r>
      <w:r w:rsidRPr="001B370E">
        <w:rPr>
          <w:rFonts w:eastAsia="Times New Roman"/>
          <w:b/>
          <w:color w:val="000000"/>
        </w:rPr>
        <w:t xml:space="preserve"> of the </w:t>
      </w:r>
      <w:r w:rsidR="00A90016">
        <w:rPr>
          <w:rFonts w:eastAsia="Times New Roman"/>
          <w:b/>
          <w:color w:val="000000"/>
        </w:rPr>
        <w:t xml:space="preserve">HSR </w:t>
      </w:r>
      <w:r w:rsidRPr="001B370E">
        <w:rPr>
          <w:rFonts w:eastAsia="Times New Roman"/>
          <w:b/>
          <w:color w:val="000000"/>
        </w:rPr>
        <w:t>Secreta</w:t>
      </w:r>
      <w:r>
        <w:rPr>
          <w:rFonts w:eastAsia="Times New Roman"/>
          <w:b/>
          <w:color w:val="000000"/>
        </w:rPr>
        <w:t>r</w:t>
      </w:r>
      <w:r w:rsidRPr="001B370E">
        <w:rPr>
          <w:rFonts w:eastAsia="Times New Roman"/>
          <w:b/>
          <w:color w:val="000000"/>
        </w:rPr>
        <w:t xml:space="preserve">iat </w:t>
      </w:r>
    </w:p>
    <w:p w14:paraId="0FF0C011" w14:textId="77777777" w:rsidR="00E7786C" w:rsidRDefault="00E7786C" w:rsidP="00676537">
      <w:pPr>
        <w:pStyle w:val="mpcNormal"/>
        <w:keepNext w:val="0"/>
        <w:rPr>
          <w:rFonts w:eastAsia="Times New Roman"/>
          <w:b/>
          <w:color w:val="000000"/>
        </w:rPr>
      </w:pPr>
    </w:p>
    <w:p w14:paraId="22051815" w14:textId="77777777" w:rsidR="00E7786C" w:rsidRDefault="00E7786C" w:rsidP="00E7786C">
      <w:pPr>
        <w:pStyle w:val="mpcNormal"/>
      </w:pPr>
      <w:r w:rsidRPr="00541E05">
        <w:t xml:space="preserve">It is proposed that for </w:t>
      </w:r>
      <w:r>
        <w:t xml:space="preserve">the </w:t>
      </w:r>
      <w:r w:rsidRPr="00541E05">
        <w:t>per</w:t>
      </w:r>
      <w:r>
        <w:t>iod</w:t>
      </w:r>
      <w:r w:rsidRPr="00541E05">
        <w:t xml:space="preserve"> o</w:t>
      </w:r>
      <w:r>
        <w:t>f</w:t>
      </w:r>
      <w:r w:rsidRPr="00541E05">
        <w:t xml:space="preserve"> the transition, the HSR Secre</w:t>
      </w:r>
      <w:r>
        <w:t xml:space="preserve">tariat </w:t>
      </w:r>
      <w:r w:rsidRPr="00541E05">
        <w:t>continue to support the HSRAC</w:t>
      </w:r>
      <w:r>
        <w:t>, as well as:</w:t>
      </w:r>
    </w:p>
    <w:p w14:paraId="3879912E" w14:textId="77777777" w:rsidR="00E7786C" w:rsidRDefault="00E7786C" w:rsidP="00E7786C">
      <w:pPr>
        <w:pStyle w:val="mpcNormal"/>
      </w:pPr>
    </w:p>
    <w:p w14:paraId="2AC36A5A" w14:textId="2614F642" w:rsidR="00E7786C" w:rsidRDefault="00E7786C" w:rsidP="007E0D2C">
      <w:pPr>
        <w:pStyle w:val="mpcbullets1"/>
      </w:pPr>
      <w:r>
        <w:t>develop revised guidance materials (</w:t>
      </w:r>
      <w:r w:rsidR="00364BC9">
        <w:t>refer</w:t>
      </w:r>
      <w:r>
        <w:t xml:space="preserve"> Chap</w:t>
      </w:r>
      <w:r w:rsidR="00364BC9">
        <w:t>t</w:t>
      </w:r>
      <w:r>
        <w:t>er</w:t>
      </w:r>
      <w:r w:rsidR="00364BC9">
        <w:t xml:space="preserve"> </w:t>
      </w:r>
      <w:r>
        <w:t xml:space="preserve">7) for consideration by </w:t>
      </w:r>
      <w:r w:rsidR="00364BC9">
        <w:t xml:space="preserve">the </w:t>
      </w:r>
      <w:r>
        <w:t>HSRAC</w:t>
      </w:r>
    </w:p>
    <w:p w14:paraId="25D3D3F7" w14:textId="77777777" w:rsidR="00E7786C" w:rsidRPr="00CC1ADD" w:rsidRDefault="00E7786C" w:rsidP="007E0D2C">
      <w:pPr>
        <w:pStyle w:val="mpcbullets1"/>
      </w:pPr>
      <w:r w:rsidRPr="00CC1ADD">
        <w:t>provide a consumer and industry information/enquiry service</w:t>
      </w:r>
    </w:p>
    <w:p w14:paraId="4A777954" w14:textId="026243FE" w:rsidR="00E7786C" w:rsidRPr="00CC1ADD" w:rsidRDefault="00364BC9" w:rsidP="007E0D2C">
      <w:pPr>
        <w:pStyle w:val="mpcbullets1"/>
      </w:pPr>
      <w:r>
        <w:t>manage</w:t>
      </w:r>
      <w:r w:rsidR="00E7786C" w:rsidRPr="00CC1ADD">
        <w:t xml:space="preserve"> applications for consideration of anomalies</w:t>
      </w:r>
    </w:p>
    <w:p w14:paraId="64767A1C" w14:textId="77777777" w:rsidR="00E7786C" w:rsidRPr="00CC1ADD" w:rsidRDefault="00E7786C" w:rsidP="007E0D2C">
      <w:pPr>
        <w:pStyle w:val="mpcbullets1"/>
      </w:pPr>
      <w:r w:rsidRPr="00CC1ADD">
        <w:t>manage intellectual property and licensing issues associated with the HSR System</w:t>
      </w:r>
    </w:p>
    <w:p w14:paraId="303761E9" w14:textId="54A27404" w:rsidR="00E7786C" w:rsidRPr="00CC1ADD" w:rsidRDefault="00364BC9" w:rsidP="007E0D2C">
      <w:pPr>
        <w:pStyle w:val="mpcbullets1"/>
      </w:pPr>
      <w:r>
        <w:t xml:space="preserve">manage the HSR </w:t>
      </w:r>
      <w:r w:rsidR="00A90016">
        <w:t xml:space="preserve">System </w:t>
      </w:r>
      <w:r>
        <w:t xml:space="preserve">website and </w:t>
      </w:r>
      <w:r w:rsidR="00E7786C" w:rsidRPr="00CC1ADD">
        <w:t xml:space="preserve">develop resources for </w:t>
      </w:r>
      <w:r>
        <w:t>publication through the website</w:t>
      </w:r>
    </w:p>
    <w:p w14:paraId="57B3E409" w14:textId="77777777" w:rsidR="00E7786C" w:rsidRPr="00CC1ADD" w:rsidRDefault="00E7786C" w:rsidP="007E0D2C">
      <w:pPr>
        <w:pStyle w:val="mpcbullets1"/>
      </w:pPr>
      <w:r w:rsidRPr="00CC1ADD">
        <w:t>co-ordinate</w:t>
      </w:r>
      <w:r>
        <w:t xml:space="preserve"> any public</w:t>
      </w:r>
      <w:r w:rsidRPr="00CC1ADD">
        <w:t xml:space="preserve"> consultation on HSR System issues</w:t>
      </w:r>
      <w:r>
        <w:t>.</w:t>
      </w:r>
    </w:p>
    <w:p w14:paraId="66B3AD23" w14:textId="77777777" w:rsidR="004D3AE1" w:rsidRDefault="004D3AE1" w:rsidP="004D3AE1">
      <w:pPr>
        <w:pStyle w:val="mpcNormal"/>
      </w:pPr>
    </w:p>
    <w:p w14:paraId="160612FA" w14:textId="4648C89F" w:rsidR="004D3AE1" w:rsidRDefault="004D3AE1" w:rsidP="002B4B45">
      <w:pPr>
        <w:pStyle w:val="mpcNormal"/>
        <w:keepNext w:val="0"/>
      </w:pPr>
      <w:r>
        <w:t>After the two-year transition period, it may no longer be necessary to maintain a separate HSR Secretariat. This role could be combined with that of the existing Food Regulation Secretariat.</w:t>
      </w:r>
    </w:p>
    <w:p w14:paraId="00CA29D6" w14:textId="77777777" w:rsidR="004D3AE1" w:rsidRDefault="004D3AE1" w:rsidP="002B4B45">
      <w:pPr>
        <w:pStyle w:val="mpcNormal"/>
        <w:keepNext w:val="0"/>
      </w:pPr>
    </w:p>
    <w:p w14:paraId="54ADB434" w14:textId="62F134B8" w:rsidR="00E7786C" w:rsidRPr="00CC1ADD" w:rsidRDefault="00E7786C" w:rsidP="002B4B45">
      <w:pPr>
        <w:pStyle w:val="mpcNormal"/>
        <w:keepNext w:val="0"/>
      </w:pPr>
      <w:r>
        <w:t xml:space="preserve">A proposed governance structure, including roles and responsibilities is at Figure </w:t>
      </w:r>
      <w:r w:rsidR="00173A82">
        <w:t>1</w:t>
      </w:r>
      <w:r w:rsidR="00D82678">
        <w:t>2</w:t>
      </w:r>
      <w:r>
        <w:t>.</w:t>
      </w:r>
    </w:p>
    <w:p w14:paraId="26E70356" w14:textId="65C9429E" w:rsidR="00E7786C" w:rsidRDefault="00E7786C" w:rsidP="00364BC9">
      <w:pPr>
        <w:pStyle w:val="mpcNormal"/>
        <w:jc w:val="center"/>
      </w:pPr>
    </w:p>
    <w:p w14:paraId="74E3BBD8" w14:textId="5816442F" w:rsidR="004D3AE1" w:rsidRPr="00CC1ADD" w:rsidRDefault="00DE6F10" w:rsidP="004D3AE1">
      <w:pPr>
        <w:pStyle w:val="mpcNormal"/>
        <w:jc w:val="center"/>
      </w:pPr>
      <w:r w:rsidRPr="00DE6F10">
        <w:rPr>
          <w:noProof/>
          <w:lang w:eastAsia="en-AU"/>
        </w:rPr>
        <w:drawing>
          <wp:inline distT="0" distB="0" distL="0" distR="0" wp14:anchorId="6942A5F3" wp14:editId="62ED588E">
            <wp:extent cx="4347142" cy="4170338"/>
            <wp:effectExtent l="0" t="0" r="0" b="4445"/>
            <wp:docPr id="45" name="Picture 45" descr="Figure 12 shows the proposed governance structure for the HS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4644"/>
                    <a:stretch/>
                  </pic:blipFill>
                  <pic:spPr bwMode="auto">
                    <a:xfrm>
                      <a:off x="0" y="0"/>
                      <a:ext cx="4347142" cy="4170338"/>
                    </a:xfrm>
                    <a:prstGeom prst="rect">
                      <a:avLst/>
                    </a:prstGeom>
                    <a:ln>
                      <a:noFill/>
                    </a:ln>
                    <a:extLst>
                      <a:ext uri="{53640926-AAD7-44D8-BBD7-CCE9431645EC}">
                        <a14:shadowObscured xmlns:a14="http://schemas.microsoft.com/office/drawing/2010/main"/>
                      </a:ext>
                    </a:extLst>
                  </pic:spPr>
                </pic:pic>
              </a:graphicData>
            </a:graphic>
          </wp:inline>
        </w:drawing>
      </w:r>
    </w:p>
    <w:p w14:paraId="1963AE93" w14:textId="0C52DC53" w:rsidR="00E7786C" w:rsidRPr="00335668" w:rsidRDefault="00E7786C" w:rsidP="00173A82">
      <w:pPr>
        <w:spacing w:before="120"/>
        <w:jc w:val="center"/>
        <w:rPr>
          <w:sz w:val="20"/>
        </w:rPr>
      </w:pPr>
      <w:r w:rsidRPr="00335668">
        <w:rPr>
          <w:b/>
          <w:sz w:val="20"/>
        </w:rPr>
        <w:t xml:space="preserve">Figure </w:t>
      </w:r>
      <w:r w:rsidR="00372E4A">
        <w:rPr>
          <w:b/>
          <w:sz w:val="20"/>
        </w:rPr>
        <w:t>1</w:t>
      </w:r>
      <w:r w:rsidR="00D82678">
        <w:rPr>
          <w:b/>
          <w:sz w:val="20"/>
        </w:rPr>
        <w:t>2</w:t>
      </w:r>
      <w:r w:rsidRPr="00335668">
        <w:rPr>
          <w:b/>
          <w:sz w:val="20"/>
        </w:rPr>
        <w:t>:</w:t>
      </w:r>
      <w:r w:rsidRPr="00335668">
        <w:rPr>
          <w:sz w:val="20"/>
        </w:rPr>
        <w:t xml:space="preserve"> Proposed governance structure for the management of the HSR System moving forward.</w:t>
      </w:r>
    </w:p>
    <w:p w14:paraId="202CF0A8" w14:textId="77777777" w:rsidR="00E7786C" w:rsidRPr="00CC1ADD" w:rsidRDefault="00E7786C" w:rsidP="00E7786C">
      <w:pPr>
        <w:pStyle w:val="mpcNormal"/>
      </w:pPr>
    </w:p>
    <w:p w14:paraId="771919CC" w14:textId="3B31B8B3" w:rsidR="00E7786C" w:rsidRPr="001B370E" w:rsidRDefault="00335668" w:rsidP="005A162A">
      <w:pPr>
        <w:pStyle w:val="mpcheading3"/>
      </w:pPr>
      <w:r>
        <w:t>I</w:t>
      </w:r>
      <w:r w:rsidR="00E7786C" w:rsidRPr="00C201C7">
        <w:t>mprov</w:t>
      </w:r>
      <w:r>
        <w:t>ing</w:t>
      </w:r>
      <w:r w:rsidR="00E7786C" w:rsidRPr="00C201C7">
        <w:t xml:space="preserve"> transparency </w:t>
      </w:r>
    </w:p>
    <w:p w14:paraId="18FF8CDD" w14:textId="77777777" w:rsidR="00E7786C" w:rsidRDefault="00E7786C" w:rsidP="00E7786C">
      <w:pPr>
        <w:pStyle w:val="mpcNormal"/>
      </w:pPr>
    </w:p>
    <w:p w14:paraId="1ECBC78A" w14:textId="5388A304" w:rsidR="00E7786C" w:rsidRPr="00CC1ADD" w:rsidRDefault="00E7786C" w:rsidP="00E7786C">
      <w:pPr>
        <w:pStyle w:val="mpcNormal"/>
      </w:pPr>
      <w:r>
        <w:t>Some p</w:t>
      </w:r>
      <w:r w:rsidRPr="00CC1ADD">
        <w:t>ublic submissions to the Review in October 2017 highlighted concerns about the transparency of the HSR System</w:t>
      </w:r>
      <w:r>
        <w:t xml:space="preserve">. </w:t>
      </w:r>
      <w:r w:rsidRPr="00CC1ADD">
        <w:t xml:space="preserve">For example, </w:t>
      </w:r>
      <w:r>
        <w:t>some</w:t>
      </w:r>
      <w:r w:rsidRPr="00CC1ADD">
        <w:t xml:space="preserve"> stakeholders suggested there was inadequate information about</w:t>
      </w:r>
      <w:r>
        <w:t xml:space="preserve"> </w:t>
      </w:r>
      <w:r w:rsidRPr="00CC1ADD">
        <w:t>committee members</w:t>
      </w:r>
      <w:r>
        <w:t xml:space="preserve">, </w:t>
      </w:r>
      <w:r w:rsidRPr="00CC1ADD">
        <w:t>the anomaly and dispute resolution process</w:t>
      </w:r>
      <w:r>
        <w:t xml:space="preserve">es, </w:t>
      </w:r>
      <w:r w:rsidRPr="00CC1ADD">
        <w:t>the outcomes of HSRAC meetings</w:t>
      </w:r>
      <w:r>
        <w:t xml:space="preserve">, </w:t>
      </w:r>
      <w:r w:rsidRPr="00CC1ADD">
        <w:t xml:space="preserve">the campaigns </w:t>
      </w:r>
      <w:r>
        <w:t xml:space="preserve">and the </w:t>
      </w:r>
      <w:r w:rsidRPr="00CC1ADD">
        <w:t>monitoring of the HSR System.</w:t>
      </w:r>
    </w:p>
    <w:p w14:paraId="0AB2B707" w14:textId="77777777" w:rsidR="00E7786C" w:rsidRDefault="00E7786C" w:rsidP="00E7786C">
      <w:pPr>
        <w:pStyle w:val="mpcNormal"/>
      </w:pPr>
    </w:p>
    <w:p w14:paraId="05243C5F" w14:textId="7FDDF6A8" w:rsidR="00E7786C" w:rsidRDefault="00E7786C" w:rsidP="00E7786C">
      <w:pPr>
        <w:pStyle w:val="mpcNormal"/>
      </w:pPr>
      <w:r w:rsidRPr="00CC1ADD">
        <w:t xml:space="preserve">While some of this information was not available when the HSR System was first implemented in 2013, all of this information is now available on the HSR </w:t>
      </w:r>
      <w:r>
        <w:t xml:space="preserve">System </w:t>
      </w:r>
      <w:r w:rsidRPr="00CC1ADD">
        <w:t>website.</w:t>
      </w:r>
      <w:r>
        <w:t xml:space="preserve"> </w:t>
      </w:r>
      <w:r w:rsidRPr="00CC1ADD">
        <w:t>For example, the HSR System website includes:</w:t>
      </w:r>
    </w:p>
    <w:p w14:paraId="014C9188" w14:textId="77777777" w:rsidR="00364BC9" w:rsidRDefault="00364BC9" w:rsidP="00E7786C">
      <w:pPr>
        <w:pStyle w:val="mpcNormal"/>
      </w:pPr>
    </w:p>
    <w:p w14:paraId="43AB1768" w14:textId="43CB59F2" w:rsidR="00364BC9" w:rsidRPr="00CC1ADD" w:rsidRDefault="00364BC9" w:rsidP="007E0D2C">
      <w:pPr>
        <w:pStyle w:val="mpcbullets1"/>
      </w:pPr>
      <w:r w:rsidRPr="00CC1ADD">
        <w:t xml:space="preserve">information about the </w:t>
      </w:r>
      <w:hyperlink r:id="rId85" w:history="1">
        <w:r w:rsidRPr="00C94F1E">
          <w:rPr>
            <w:rStyle w:val="Hyperlink"/>
          </w:rPr>
          <w:t>governance committees</w:t>
        </w:r>
      </w:hyperlink>
      <w:r w:rsidRPr="00CC1ADD">
        <w:t xml:space="preserve"> including:</w:t>
      </w:r>
      <w:r>
        <w:t xml:space="preserve"> </w:t>
      </w:r>
      <w:r w:rsidRPr="00CC1ADD">
        <w:t>Terms of Reference for the HSRAC and the TAG</w:t>
      </w:r>
      <w:r>
        <w:t xml:space="preserve">; </w:t>
      </w:r>
      <w:r w:rsidRPr="00CC1ADD">
        <w:t>profiles of HSRAC and TAG members</w:t>
      </w:r>
      <w:r w:rsidR="001314E6">
        <w:t xml:space="preserve"> (</w:t>
      </w:r>
      <w:r w:rsidRPr="00CC1ADD">
        <w:t>providing transparency regarding membership and each member’s credentials</w:t>
      </w:r>
      <w:r w:rsidR="001314E6">
        <w:t>)</w:t>
      </w:r>
      <w:r>
        <w:t xml:space="preserve">; </w:t>
      </w:r>
      <w:r w:rsidRPr="00CC1ADD">
        <w:t>outcomes of HSRAC meetings since 2014</w:t>
      </w:r>
      <w:r>
        <w:t xml:space="preserve">; </w:t>
      </w:r>
      <w:r w:rsidRPr="00CC1ADD">
        <w:t xml:space="preserve">a Declaration of Interest Register recording, since 2014, the relevant HSRAC member, their declaration and the outcome </w:t>
      </w:r>
    </w:p>
    <w:p w14:paraId="15ADD244" w14:textId="6B467FB7" w:rsidR="00364BC9" w:rsidRPr="00CC1ADD" w:rsidRDefault="00364BC9" w:rsidP="007E0D2C">
      <w:pPr>
        <w:pStyle w:val="mpcbullets1"/>
      </w:pPr>
      <w:hyperlink r:id="rId86" w:history="1">
        <w:r w:rsidRPr="00C94F1E">
          <w:rPr>
            <w:rStyle w:val="Hyperlink"/>
          </w:rPr>
          <w:t>campaign materials and public relations resources</w:t>
        </w:r>
      </w:hyperlink>
      <w:r w:rsidRPr="00CC1ADD">
        <w:t xml:space="preserve"> including</w:t>
      </w:r>
      <w:r>
        <w:t xml:space="preserve"> </w:t>
      </w:r>
      <w:r w:rsidRPr="00CC1ADD">
        <w:t>campaign objectives</w:t>
      </w:r>
    </w:p>
    <w:p w14:paraId="48683A3E" w14:textId="5D6992F7" w:rsidR="00364BC9" w:rsidRPr="00CC1ADD" w:rsidRDefault="00364BC9" w:rsidP="007E0D2C">
      <w:pPr>
        <w:pStyle w:val="mpcbullets1"/>
      </w:pPr>
      <w:r w:rsidRPr="00CC1ADD">
        <w:t>print advertisements, out of home advertisements, online advertisements and video transcripts and links to videos</w:t>
      </w:r>
      <w:r w:rsidR="001314E6">
        <w:t>, f</w:t>
      </w:r>
      <w:r w:rsidRPr="00CC1ADD">
        <w:t>act sheets, posters, infographics, photo albums, articles about the HSR and links to social media accounts</w:t>
      </w:r>
    </w:p>
    <w:p w14:paraId="618F378F" w14:textId="77777777" w:rsidR="00364BC9" w:rsidRPr="00CC1ADD" w:rsidRDefault="00364BC9" w:rsidP="007E0D2C">
      <w:pPr>
        <w:pStyle w:val="mpcbullets1"/>
      </w:pPr>
      <w:hyperlink r:id="rId87" w:history="1">
        <w:r w:rsidRPr="00C94F1E">
          <w:rPr>
            <w:rStyle w:val="Hyperlink"/>
          </w:rPr>
          <w:t>research and evaluations</w:t>
        </w:r>
      </w:hyperlink>
      <w:r w:rsidRPr="00CC1ADD">
        <w:t xml:space="preserve"> including:</w:t>
      </w:r>
      <w:r>
        <w:t xml:space="preserve"> </w:t>
      </w:r>
      <w:r w:rsidRPr="00CC1ADD">
        <w:t>qualitative and quantitative research that informed the HSR System and the campaigns</w:t>
      </w:r>
      <w:r>
        <w:t xml:space="preserve">; </w:t>
      </w:r>
      <w:r w:rsidRPr="00CC1ADD">
        <w:t>evaluation of 2015, 2016 and 2017 campaign activity</w:t>
      </w:r>
      <w:r>
        <w:t xml:space="preserve">; </w:t>
      </w:r>
      <w:r w:rsidRPr="00CC1ADD">
        <w:t>details of the outcomes of the two-year review</w:t>
      </w:r>
      <w:r>
        <w:t xml:space="preserve">; </w:t>
      </w:r>
      <w:r w:rsidRPr="00CC1ADD">
        <w:t>progress reports on monitoring the implementation of the HSR System</w:t>
      </w:r>
    </w:p>
    <w:p w14:paraId="4E535D63" w14:textId="77777777" w:rsidR="00364BC9" w:rsidRPr="00CC1ADD" w:rsidRDefault="00364BC9" w:rsidP="007E0D2C">
      <w:pPr>
        <w:pStyle w:val="mpcbullets1"/>
      </w:pPr>
      <w:r w:rsidRPr="00CC1ADD">
        <w:t xml:space="preserve">the </w:t>
      </w:r>
      <w:hyperlink r:id="rId88" w:history="1">
        <w:r w:rsidRPr="00C94F1E">
          <w:rPr>
            <w:rStyle w:val="Hyperlink"/>
          </w:rPr>
          <w:t>process for assessing anomalies and a register of potential anomalies</w:t>
        </w:r>
      </w:hyperlink>
      <w:r w:rsidRPr="00CC1ADD">
        <w:t xml:space="preserve"> including</w:t>
      </w:r>
      <w:r>
        <w:t xml:space="preserve">: </w:t>
      </w:r>
      <w:r w:rsidRPr="00CC1ADD">
        <w:t>the date the potential anomaly was submitted (dating back to 3 April 2014)</w:t>
      </w:r>
      <w:r>
        <w:t xml:space="preserve">; </w:t>
      </w:r>
      <w:r w:rsidRPr="00CC1ADD">
        <w:t>a brief description of the application (as submitted by the applicant)</w:t>
      </w:r>
      <w:r>
        <w:t xml:space="preserve">; </w:t>
      </w:r>
      <w:r w:rsidRPr="00CC1ADD">
        <w:t>the date the potential anomaly was considered by the HSRAC</w:t>
      </w:r>
      <w:r>
        <w:t xml:space="preserve">; </w:t>
      </w:r>
      <w:r w:rsidRPr="00CC1ADD">
        <w:t xml:space="preserve">the HSRAC’s determination of the issue, the rationale and the next steps </w:t>
      </w:r>
    </w:p>
    <w:p w14:paraId="6F328324" w14:textId="77777777" w:rsidR="00364BC9" w:rsidRPr="00335668" w:rsidRDefault="00364BC9" w:rsidP="007E0D2C">
      <w:pPr>
        <w:pStyle w:val="mpcbullets1"/>
      </w:pPr>
      <w:hyperlink r:id="rId89" w:history="1">
        <w:r w:rsidRPr="00C94F1E">
          <w:rPr>
            <w:rStyle w:val="Hyperlink"/>
          </w:rPr>
          <w:t>companies implementing the HSR</w:t>
        </w:r>
      </w:hyperlink>
      <w:r w:rsidRPr="00CC1ADD">
        <w:t>.</w:t>
      </w:r>
    </w:p>
    <w:p w14:paraId="72CF01B3" w14:textId="77777777" w:rsidR="00E7786C" w:rsidRDefault="00E7786C" w:rsidP="00E7786C">
      <w:pPr>
        <w:pStyle w:val="mpcNormal"/>
      </w:pPr>
    </w:p>
    <w:p w14:paraId="0A813208" w14:textId="36F09FF3" w:rsidR="00E7786C" w:rsidRPr="00CC1ADD" w:rsidRDefault="00E7786C" w:rsidP="00E7786C">
      <w:pPr>
        <w:pStyle w:val="mpcNormal"/>
      </w:pPr>
      <w:r w:rsidRPr="00CC1ADD">
        <w:t>The availability of this information demonstrates the</w:t>
      </w:r>
      <w:r w:rsidR="002B4B45">
        <w:t xml:space="preserve"> </w:t>
      </w:r>
      <w:r w:rsidRPr="00CC1ADD">
        <w:t>high degree of transparency regarding the governance and operation of the HSR System. The HSR Secretariat has advised that the HSR System website is currently under review to make information more readily accessible. This will continue to improve transparency.</w:t>
      </w:r>
    </w:p>
    <w:p w14:paraId="19691614" w14:textId="77777777" w:rsidR="00E7786C" w:rsidRPr="00CC1ADD" w:rsidRDefault="00E7786C" w:rsidP="00E7786C">
      <w:pPr>
        <w:pStyle w:val="mpcNormal"/>
      </w:pPr>
    </w:p>
    <w:p w14:paraId="6F80C771" w14:textId="77777777" w:rsidR="00E7786C" w:rsidRDefault="00E7786C" w:rsidP="00E7786C">
      <w:pPr>
        <w:pStyle w:val="mpcNormal"/>
      </w:pPr>
      <w:r w:rsidRPr="00CC1ADD">
        <w:t>The remaining area of concern for stakeholders was the management of the TAG database and the level of industry involvement in the management of the HSR Calculator. It is proposed that th</w:t>
      </w:r>
      <w:r>
        <w:t xml:space="preserve">is </w:t>
      </w:r>
      <w:r w:rsidRPr="00CC1ADD">
        <w:t>be addressed through</w:t>
      </w:r>
      <w:r>
        <w:t>:</w:t>
      </w:r>
    </w:p>
    <w:p w14:paraId="3A703383" w14:textId="77777777" w:rsidR="00E7786C" w:rsidRDefault="00E7786C" w:rsidP="00E7786C">
      <w:pPr>
        <w:pStyle w:val="mpcNormal"/>
      </w:pPr>
    </w:p>
    <w:p w14:paraId="7D74ECFF" w14:textId="460DF12D" w:rsidR="00E7786C" w:rsidRDefault="00E7786C" w:rsidP="007E0D2C">
      <w:pPr>
        <w:pStyle w:val="mpcbullets1"/>
      </w:pPr>
      <w:r w:rsidRPr="00CC1ADD">
        <w:t xml:space="preserve">the </w:t>
      </w:r>
      <w:r>
        <w:t xml:space="preserve">changes </w:t>
      </w:r>
      <w:r w:rsidR="002E732B">
        <w:t xml:space="preserve">to </w:t>
      </w:r>
      <w:r w:rsidR="0000694B">
        <w:t xml:space="preserve">the </w:t>
      </w:r>
      <w:r w:rsidR="002E732B">
        <w:t>governance arrangement</w:t>
      </w:r>
      <w:r w:rsidR="0000694B">
        <w:t xml:space="preserve">s previously </w:t>
      </w:r>
      <w:r w:rsidR="002E732B">
        <w:t xml:space="preserve">described </w:t>
      </w:r>
      <w:r>
        <w:t>(with FSA</w:t>
      </w:r>
      <w:r w:rsidR="002E732B">
        <w:t>NZ</w:t>
      </w:r>
      <w:r>
        <w:t xml:space="preserve"> managing the TAG database and HSR Calculator)</w:t>
      </w:r>
    </w:p>
    <w:p w14:paraId="09B4ECA0" w14:textId="58966B7D" w:rsidR="00E7786C" w:rsidRDefault="00E7786C" w:rsidP="007E0D2C">
      <w:pPr>
        <w:pStyle w:val="mpcbullets1"/>
      </w:pPr>
      <w:r w:rsidRPr="00CC1ADD">
        <w:t xml:space="preserve">publication of information regarding the development of the HSR Calculator and details regarding its operation. </w:t>
      </w:r>
      <w:hyperlink r:id="rId90" w:history="1">
        <w:r w:rsidRPr="002E732B">
          <w:rPr>
            <w:rStyle w:val="Hyperlink"/>
          </w:rPr>
          <w:t>This information</w:t>
        </w:r>
      </w:hyperlink>
      <w:r w:rsidRPr="00CC1ADD">
        <w:t xml:space="preserve"> was published as part of the Review and is </w:t>
      </w:r>
      <w:r w:rsidR="002B4B45">
        <w:t>now available on the</w:t>
      </w:r>
      <w:r w:rsidRPr="00CC1ADD">
        <w:t xml:space="preserve"> HSR System website.</w:t>
      </w:r>
    </w:p>
    <w:p w14:paraId="7CE65E82" w14:textId="77777777" w:rsidR="00E7786C" w:rsidRPr="00CC1ADD" w:rsidRDefault="00E7786C" w:rsidP="007E0D2C">
      <w:pPr>
        <w:pStyle w:val="mpcbullets1"/>
        <w:numPr>
          <w:ilvl w:val="0"/>
          <w:numId w:val="0"/>
        </w:numPr>
        <w:ind w:left="360"/>
      </w:pPr>
    </w:p>
    <w:p w14:paraId="2CC49DC2" w14:textId="41CC32E8" w:rsidR="00E7786C" w:rsidRPr="002C6289" w:rsidRDefault="00E7786C" w:rsidP="00E7786C">
      <w:pPr>
        <w:pStyle w:val="mpcNormal"/>
      </w:pPr>
      <w:r w:rsidRPr="00CC1ADD">
        <w:t>Where stakeholders have concerns about the HSR Calculator, or any other aspect of the HSR System, they have an opportunity to raise these issues through the HSR Secretariat. As discussed above, the HSRAC should review comments and concerns and be actively involved in addressing these.</w:t>
      </w:r>
      <w:r w:rsidR="00062022">
        <w:t xml:space="preserve"> A register of queries/clarifications </w:t>
      </w:r>
      <w:r w:rsidR="00DE6F10">
        <w:t xml:space="preserve">sent to the HSR Secretariat </w:t>
      </w:r>
      <w:r w:rsidR="00062022">
        <w:t xml:space="preserve">and the </w:t>
      </w:r>
      <w:r w:rsidR="00DE6F10">
        <w:t xml:space="preserve">government’s response (including a rationale) should be made available on the HSR website to further improve transparency and </w:t>
      </w:r>
      <w:r w:rsidR="00957A19">
        <w:t>support consistent interpretation of the guidelines</w:t>
      </w:r>
      <w:r w:rsidR="00DE6F10">
        <w:t xml:space="preserve">. </w:t>
      </w:r>
    </w:p>
    <w:p w14:paraId="0DE4F11F" w14:textId="77777777" w:rsidR="00E7786C" w:rsidRDefault="00E7786C" w:rsidP="00E7786C">
      <w:pPr>
        <w:jc w:val="center"/>
        <w:rPr>
          <w:sz w:val="21"/>
        </w:rPr>
      </w:pPr>
    </w:p>
    <w:p w14:paraId="2302FD58" w14:textId="77777777" w:rsidR="00E7786C" w:rsidRPr="00CC1ADD" w:rsidRDefault="00E7786C" w:rsidP="005A162A">
      <w:pPr>
        <w:pStyle w:val="mpcheading3"/>
      </w:pPr>
      <w:r w:rsidRPr="00CC1ADD">
        <w:t xml:space="preserve">Improved monitoring of the HSR System </w:t>
      </w:r>
    </w:p>
    <w:p w14:paraId="44BDCC98" w14:textId="77777777" w:rsidR="00E7786C" w:rsidRPr="00CC1ADD" w:rsidRDefault="00E7786C" w:rsidP="00E7786C">
      <w:pPr>
        <w:keepNext/>
        <w:rPr>
          <w:sz w:val="22"/>
          <w:szCs w:val="22"/>
        </w:rPr>
      </w:pPr>
    </w:p>
    <w:p w14:paraId="405EC2D4" w14:textId="3163422D" w:rsidR="00E7786C" w:rsidRPr="00CC1ADD" w:rsidRDefault="00E7786C" w:rsidP="00E7786C">
      <w:pPr>
        <w:keepNext/>
        <w:rPr>
          <w:sz w:val="22"/>
          <w:szCs w:val="22"/>
        </w:rPr>
      </w:pPr>
      <w:r w:rsidRPr="00CC1ADD">
        <w:rPr>
          <w:sz w:val="22"/>
          <w:szCs w:val="22"/>
        </w:rPr>
        <w:t xml:space="preserve">As noted in Chapter 2, monitoring of the HSR System is undertaken by both the NHF and the MPI against three </w:t>
      </w:r>
      <w:r w:rsidR="00A90016">
        <w:rPr>
          <w:sz w:val="22"/>
          <w:szCs w:val="22"/>
        </w:rPr>
        <w:t>AoEs</w:t>
      </w:r>
      <w:r w:rsidRPr="00CC1ADD">
        <w:rPr>
          <w:sz w:val="22"/>
          <w:szCs w:val="22"/>
        </w:rPr>
        <w:t>. While this monitoring provides valuable information about the System, it has the following limitations:</w:t>
      </w:r>
    </w:p>
    <w:p w14:paraId="0E65102B" w14:textId="77777777" w:rsidR="00E7786C" w:rsidRPr="00CC1ADD" w:rsidRDefault="00E7786C" w:rsidP="00E7786C">
      <w:pPr>
        <w:rPr>
          <w:sz w:val="22"/>
          <w:szCs w:val="22"/>
        </w:rPr>
      </w:pPr>
    </w:p>
    <w:p w14:paraId="5629EA3B" w14:textId="77777777" w:rsidR="00E7786C" w:rsidRPr="00CC1ADD" w:rsidRDefault="00E7786C" w:rsidP="007E0D2C">
      <w:pPr>
        <w:pStyle w:val="mpcbullets1"/>
      </w:pPr>
      <w:r w:rsidRPr="00CC1ADD">
        <w:t xml:space="preserve">the monitoring results between Australia and New Zealand and across years are not always comparable </w:t>
      </w:r>
    </w:p>
    <w:p w14:paraId="210BC482" w14:textId="77777777" w:rsidR="00E7786C" w:rsidRPr="00CC1ADD" w:rsidRDefault="00E7786C" w:rsidP="007E0D2C">
      <w:pPr>
        <w:pStyle w:val="mpcbullets1"/>
      </w:pPr>
      <w:r w:rsidRPr="00CC1ADD">
        <w:t>there is limited capacity to measure changes in the nutritional profile of foods (reformulation)</w:t>
      </w:r>
    </w:p>
    <w:p w14:paraId="5B7E785B" w14:textId="77777777" w:rsidR="00E7786C" w:rsidRPr="00CC1ADD" w:rsidRDefault="00E7786C" w:rsidP="007E0D2C">
      <w:pPr>
        <w:pStyle w:val="mpcbullets1"/>
      </w:pPr>
      <w:r w:rsidRPr="00CC1ADD">
        <w:t>the monitoring questions focus on consumer understanding and awareness rather than on how they are using the HSR and how it is or is not changing their purchasing behaviours (noting there has been some consideration of this in the most recent monitoring report)</w:t>
      </w:r>
    </w:p>
    <w:p w14:paraId="1DDC1FB1" w14:textId="77777777" w:rsidR="00E7786C" w:rsidRPr="00CC1ADD" w:rsidRDefault="00E7786C" w:rsidP="007E0D2C">
      <w:pPr>
        <w:pStyle w:val="mpcbullets1"/>
      </w:pPr>
      <w:r w:rsidRPr="00CC1ADD">
        <w:t>there is no structured approach for reviewing the monitoring data and identifying what it means for the HSR System, including necessary changes to communications and campaigns and changes to evaluation questions as the System evolves.</w:t>
      </w:r>
    </w:p>
    <w:p w14:paraId="29F0312B" w14:textId="77777777" w:rsidR="00062022" w:rsidRPr="00CC1ADD" w:rsidRDefault="00062022" w:rsidP="00E7786C">
      <w:pPr>
        <w:rPr>
          <w:sz w:val="22"/>
          <w:szCs w:val="22"/>
        </w:rPr>
      </w:pPr>
    </w:p>
    <w:p w14:paraId="64C50ECD" w14:textId="467608F3" w:rsidR="008F12EF" w:rsidRPr="00E7786C" w:rsidRDefault="00E7786C" w:rsidP="00E7786C">
      <w:pPr>
        <w:rPr>
          <w:sz w:val="22"/>
          <w:szCs w:val="22"/>
        </w:rPr>
      </w:pPr>
      <w:r w:rsidRPr="00CC1ADD">
        <w:rPr>
          <w:sz w:val="22"/>
          <w:szCs w:val="22"/>
        </w:rPr>
        <w:t>Rather than increasing the investment in monitoring, the Review recommends better coordination of monitoring across Australia and New Zealand and</w:t>
      </w:r>
      <w:r>
        <w:rPr>
          <w:sz w:val="22"/>
          <w:szCs w:val="22"/>
        </w:rPr>
        <w:t xml:space="preserve"> more responsive </w:t>
      </w:r>
      <w:r w:rsidRPr="00CC1ADD">
        <w:rPr>
          <w:sz w:val="22"/>
          <w:szCs w:val="22"/>
        </w:rPr>
        <w:t>governance to ensure monitoring results can be used strategically and in real time.</w:t>
      </w:r>
    </w:p>
    <w:p w14:paraId="76D5C2C2" w14:textId="77777777" w:rsidR="008F12EF" w:rsidRDefault="008F12EF" w:rsidP="008F12EF">
      <w:pPr>
        <w:pStyle w:val="mpcNormal"/>
      </w:pPr>
    </w:p>
    <w:p w14:paraId="019D8916" w14:textId="41A8836A" w:rsidR="008F12EF" w:rsidRPr="00CC1ADD" w:rsidRDefault="0000694B" w:rsidP="00A90016">
      <w:pPr>
        <w:pStyle w:val="mpcheading2"/>
        <w:keepNext/>
        <w:rPr>
          <w:sz w:val="21"/>
        </w:rPr>
      </w:pPr>
      <w:bookmarkStart w:id="130" w:name="Infrastructure"/>
      <w:bookmarkStart w:id="131" w:name="_Toc536809185"/>
      <w:bookmarkStart w:id="132" w:name="_Toc9955066"/>
      <w:bookmarkEnd w:id="130"/>
      <w:r>
        <w:rPr>
          <w:lang w:eastAsia="en-GB"/>
        </w:rPr>
        <w:t>Critical p</w:t>
      </w:r>
      <w:r w:rsidR="008F12EF" w:rsidRPr="00CC1ADD">
        <w:rPr>
          <w:lang w:eastAsia="en-GB"/>
        </w:rPr>
        <w:t>ublic health infrastructure</w:t>
      </w:r>
      <w:bookmarkEnd w:id="131"/>
      <w:r>
        <w:rPr>
          <w:lang w:eastAsia="en-GB"/>
        </w:rPr>
        <w:t xml:space="preserve"> to support the HSR System</w:t>
      </w:r>
      <w:bookmarkEnd w:id="132"/>
    </w:p>
    <w:p w14:paraId="13A0C72B" w14:textId="77777777" w:rsidR="008F12EF" w:rsidRPr="00CC1ADD" w:rsidRDefault="008F12EF" w:rsidP="00D82678">
      <w:pPr>
        <w:pStyle w:val="mpcNormal"/>
        <w:keepNext w:val="0"/>
      </w:pPr>
      <w:r w:rsidRPr="00CC1ADD">
        <w:t xml:space="preserve">Review of the HSR System has been challenging, in part because there is: contention over the Dietary Guidelines; dated health and nutrition survey information in Australia and New Zealand; no central, trusted and comprehensive database of food products and their HSR status; and challenges in monitoring the HSR System. </w:t>
      </w:r>
    </w:p>
    <w:p w14:paraId="1A057C9D" w14:textId="77777777" w:rsidR="008F12EF" w:rsidRPr="00CC1ADD" w:rsidRDefault="008F12EF" w:rsidP="008F12EF">
      <w:pPr>
        <w:pStyle w:val="mpcNormal"/>
      </w:pPr>
    </w:p>
    <w:p w14:paraId="5F8A56A8" w14:textId="77777777" w:rsidR="008F12EF" w:rsidRPr="00CC1ADD" w:rsidRDefault="008F12EF" w:rsidP="008F12EF">
      <w:pPr>
        <w:pStyle w:val="mpcNormal"/>
      </w:pPr>
      <w:r w:rsidRPr="00CC1ADD">
        <w:t>If industry and governments are to invest in a public health and nutrition intervention as significant as the HSR System and consumers are to have confidence in the System:</w:t>
      </w:r>
      <w:r w:rsidRPr="00CC1ADD">
        <w:br/>
      </w:r>
    </w:p>
    <w:p w14:paraId="592B5564" w14:textId="77777777" w:rsidR="008F12EF" w:rsidRPr="00CC1ADD" w:rsidRDefault="008F12EF" w:rsidP="007E0D2C">
      <w:pPr>
        <w:pStyle w:val="mpcbullets1"/>
      </w:pPr>
      <w:r w:rsidRPr="00CC1ADD">
        <w:t xml:space="preserve">the guidelines </w:t>
      </w:r>
      <w:r>
        <w:t xml:space="preserve">and scientific evidence </w:t>
      </w:r>
      <w:r w:rsidRPr="00CC1ADD">
        <w:t>on which the intervention is based must be up to date</w:t>
      </w:r>
    </w:p>
    <w:p w14:paraId="6E77C421" w14:textId="77777777" w:rsidR="008F12EF" w:rsidRPr="00CC1ADD" w:rsidRDefault="008F12EF" w:rsidP="007E0D2C">
      <w:pPr>
        <w:pStyle w:val="mpcbullets1"/>
      </w:pPr>
      <w:r w:rsidRPr="00CC1ADD">
        <w:t xml:space="preserve">implementation of the intervention must be effectively monitored, including to track dietary trends. This is important so that: </w:t>
      </w:r>
    </w:p>
    <w:p w14:paraId="03AC07EC" w14:textId="77777777" w:rsidR="008F12EF" w:rsidRPr="00CC1ADD" w:rsidRDefault="008F12EF" w:rsidP="00173A82">
      <w:pPr>
        <w:pStyle w:val="mpcbullets2"/>
      </w:pPr>
      <w:r>
        <w:t xml:space="preserve">public health professionals can examine national dietary trends </w:t>
      </w:r>
    </w:p>
    <w:p w14:paraId="79B8ABCB" w14:textId="77777777" w:rsidR="008F12EF" w:rsidRPr="00CC1ADD" w:rsidRDefault="008F12EF" w:rsidP="00173A82">
      <w:pPr>
        <w:pStyle w:val="mpcbullets2"/>
      </w:pPr>
      <w:r w:rsidRPr="00CC1ADD">
        <w:t>researchers can better link dietary intakes to disease measures</w:t>
      </w:r>
    </w:p>
    <w:p w14:paraId="3CA37A64" w14:textId="77777777" w:rsidR="008F12EF" w:rsidRPr="00CC1ADD" w:rsidRDefault="008F12EF" w:rsidP="00173A82">
      <w:pPr>
        <w:pStyle w:val="mpcbullets2"/>
      </w:pPr>
      <w:r w:rsidRPr="00CC1ADD">
        <w:t xml:space="preserve">policy makers can develop </w:t>
      </w:r>
      <w:r>
        <w:t>interventions to</w:t>
      </w:r>
      <w:r w:rsidRPr="00CC1ADD">
        <w:t xml:space="preserve"> </w:t>
      </w:r>
      <w:r>
        <w:t>support</w:t>
      </w:r>
      <w:r w:rsidRPr="00CC1ADD">
        <w:t xml:space="preserve"> public health</w:t>
      </w:r>
      <w:r w:rsidRPr="00CC1ADD">
        <w:rPr>
          <w:rStyle w:val="FootnoteReference"/>
        </w:rPr>
        <w:footnoteReference w:id="105"/>
      </w:r>
    </w:p>
    <w:p w14:paraId="669B1AAE" w14:textId="77777777" w:rsidR="008F12EF" w:rsidRPr="00CC1ADD" w:rsidRDefault="008F12EF" w:rsidP="007C5D73">
      <w:pPr>
        <w:pStyle w:val="mpcNormal"/>
        <w:numPr>
          <w:ilvl w:val="0"/>
          <w:numId w:val="19"/>
        </w:numPr>
      </w:pPr>
      <w:r w:rsidRPr="00CC1ADD">
        <w:t>there should be a way to measure (on a regular and ongoing basis) the prevalence of health conditions and health risk factors (including overweight and obesity) such that the impact of interventions can be assessed.</w:t>
      </w:r>
    </w:p>
    <w:p w14:paraId="675B6292" w14:textId="77777777" w:rsidR="008F12EF" w:rsidRPr="00CC1ADD" w:rsidRDefault="008F12EF" w:rsidP="008F12EF">
      <w:pPr>
        <w:rPr>
          <w:rFonts w:cstheme="minorHAnsi"/>
          <w:sz w:val="22"/>
          <w:szCs w:val="22"/>
        </w:rPr>
      </w:pPr>
    </w:p>
    <w:p w14:paraId="37E16151" w14:textId="77777777" w:rsidR="008F12EF" w:rsidRPr="00CC1ADD" w:rsidRDefault="008F12EF" w:rsidP="005A162A">
      <w:pPr>
        <w:pStyle w:val="mpcheading3"/>
      </w:pPr>
      <w:r w:rsidRPr="00CC1ADD">
        <w:t>Currency of Dietary Guidelines</w:t>
      </w:r>
    </w:p>
    <w:p w14:paraId="5C5F37F1" w14:textId="77777777" w:rsidR="008F12EF" w:rsidRPr="00CC1ADD" w:rsidRDefault="008F12EF" w:rsidP="008F12EF">
      <w:pPr>
        <w:pStyle w:val="mpcNormal"/>
      </w:pPr>
    </w:p>
    <w:p w14:paraId="4BF1F862" w14:textId="77777777" w:rsidR="008F12EF" w:rsidRPr="00CC1ADD" w:rsidRDefault="008F12EF" w:rsidP="008F12EF">
      <w:pPr>
        <w:pStyle w:val="mpcNormal"/>
      </w:pPr>
      <w:r w:rsidRPr="00CC1ADD">
        <w:t>The ADG were last updated in 2013 and evolved from a 2003 edition that integrated updates of the Dietary Guidelines for Older Australians (1999), the Dietary Guidelines for Adults (2003) and the Dietary Guidelines for Children and Adolescents in Australia (2003). The</w:t>
      </w:r>
      <w:r>
        <w:t xml:space="preserve"> ADG</w:t>
      </w:r>
      <w:r w:rsidRPr="00CC1ADD">
        <w:t xml:space="preserve"> also include an update of the Australian Guide to Healthy Eating (1998).</w:t>
      </w:r>
    </w:p>
    <w:p w14:paraId="1CD2ADA8" w14:textId="77777777" w:rsidR="008F12EF" w:rsidRPr="00CC1ADD" w:rsidRDefault="008F12EF" w:rsidP="008F12EF">
      <w:pPr>
        <w:pStyle w:val="mpcNormal"/>
      </w:pPr>
    </w:p>
    <w:p w14:paraId="595CC8A4" w14:textId="77777777" w:rsidR="008F12EF" w:rsidRPr="00CC1ADD" w:rsidRDefault="008F12EF" w:rsidP="008F12EF">
      <w:pPr>
        <w:pStyle w:val="mpcNormal"/>
      </w:pPr>
      <w:r w:rsidRPr="00CC1ADD">
        <w:t xml:space="preserve">Nutrition science and the food supply change quickly, with implications for dietary guidelines and policy. For example, the ADG note that whole fruit is preferable to fruit juice, but also state that the occasional 125mL serve of fruit juice may assist with nutrient intake. This is not consistent with the more recent NZEAG </w:t>
      </w:r>
      <w:r>
        <w:t xml:space="preserve">that </w:t>
      </w:r>
      <w:r w:rsidRPr="00CC1ADD">
        <w:t xml:space="preserve">recommend eating fresh fruit and drinking plain water, rather than drinking fruit juice. </w:t>
      </w:r>
    </w:p>
    <w:p w14:paraId="578A27C6" w14:textId="77777777" w:rsidR="008F12EF" w:rsidRPr="00CC1ADD" w:rsidRDefault="008F12EF" w:rsidP="008F12EF">
      <w:pPr>
        <w:pStyle w:val="mpcNormal"/>
      </w:pPr>
    </w:p>
    <w:p w14:paraId="6A24BBDB" w14:textId="05A37D94" w:rsidR="008F12EF" w:rsidRPr="00CC1ADD" w:rsidRDefault="008F12EF" w:rsidP="008F12EF">
      <w:pPr>
        <w:pStyle w:val="mpcNormal"/>
      </w:pPr>
      <w:r w:rsidRPr="00CC1ADD">
        <w:t xml:space="preserve">The Review recommends </w:t>
      </w:r>
      <w:r>
        <w:t xml:space="preserve">regular </w:t>
      </w:r>
      <w:r w:rsidRPr="00CC1ADD">
        <w:t>updates to Dietary Guidelines to ensure that public health interventions such as the HSR System continue to be based on the best available science and data regarding the diets of Australians and New Zealanders. This is also consistent with the recommendations of others, including the Senate Select Committee into the Obesity Epidemic in Australia that recommended updating the ADG every five years</w:t>
      </w:r>
      <w:r w:rsidRPr="00CC1ADD">
        <w:rPr>
          <w:rStyle w:val="FootnoteReference"/>
        </w:rPr>
        <w:footnoteReference w:id="106"/>
      </w:r>
      <w:r w:rsidRPr="00CC1ADD">
        <w:t>.</w:t>
      </w:r>
    </w:p>
    <w:p w14:paraId="1E47B41A" w14:textId="77777777" w:rsidR="008F12EF" w:rsidRPr="00CC1ADD" w:rsidRDefault="008F12EF" w:rsidP="008F12EF">
      <w:pPr>
        <w:pStyle w:val="mpcNormal"/>
      </w:pPr>
    </w:p>
    <w:p w14:paraId="3FD5005E" w14:textId="77777777" w:rsidR="008F12EF" w:rsidRPr="00CC1ADD" w:rsidRDefault="008F12EF" w:rsidP="005A162A">
      <w:pPr>
        <w:pStyle w:val="mpcheading3"/>
      </w:pPr>
      <w:r w:rsidRPr="00CC1ADD">
        <w:t>Health and nutrition survey information</w:t>
      </w:r>
    </w:p>
    <w:p w14:paraId="697BF574" w14:textId="77777777" w:rsidR="008F12EF" w:rsidRPr="00CC1ADD" w:rsidRDefault="008F12EF" w:rsidP="008F12EF">
      <w:pPr>
        <w:pStyle w:val="mpcNormal"/>
      </w:pPr>
    </w:p>
    <w:p w14:paraId="53846524" w14:textId="77777777" w:rsidR="008F12EF" w:rsidRPr="00CC1ADD" w:rsidRDefault="008F12EF" w:rsidP="008F12EF">
      <w:pPr>
        <w:pStyle w:val="mpcNormal"/>
      </w:pPr>
      <w:r w:rsidRPr="00CC1ADD">
        <w:t xml:space="preserve">The </w:t>
      </w:r>
      <w:r>
        <w:t>AHS</w:t>
      </w:r>
      <w:r w:rsidRPr="00CC1ADD">
        <w:t xml:space="preserve"> collects important information about the foods and nutrients people consume and enables conclusions to be drawn about whether populations are meeting their daily recommended nutrient intakes and the contribution of different types of foods and beverages to their overall diet. The AHS provides baseline information to enable governments, industry and others to target health messages and interventions. The results of the 2011-12 survey </w:t>
      </w:r>
      <w:r>
        <w:t>have</w:t>
      </w:r>
      <w:r w:rsidRPr="00CC1ADD">
        <w:t xml:space="preserve"> informed this Review.</w:t>
      </w:r>
    </w:p>
    <w:p w14:paraId="1928F58A" w14:textId="77777777" w:rsidR="008F12EF" w:rsidRPr="00CC1ADD" w:rsidRDefault="008F12EF" w:rsidP="008F12EF">
      <w:pPr>
        <w:pStyle w:val="mpcNormal"/>
      </w:pPr>
    </w:p>
    <w:p w14:paraId="53607258" w14:textId="77777777" w:rsidR="008F12EF" w:rsidRPr="00CC1ADD" w:rsidRDefault="008F12EF" w:rsidP="002E732B">
      <w:pPr>
        <w:pStyle w:val="mpcNormal"/>
        <w:keepNext w:val="0"/>
      </w:pPr>
      <w:r w:rsidRPr="00CC1ADD">
        <w:t xml:space="preserve">While New Zealand conducts a continuous New Zealand Health Survey (NZHS) (enabling publication of annual updates on general health), a national nutrition survey has not been completed since </w:t>
      </w:r>
      <w:r>
        <w:t xml:space="preserve">the NZANS in </w:t>
      </w:r>
      <w:r w:rsidRPr="00CC1ADD">
        <w:t xml:space="preserve">2008-09. </w:t>
      </w:r>
      <w:r>
        <w:t>While t</w:t>
      </w:r>
      <w:r w:rsidRPr="00CC1ADD">
        <w:t xml:space="preserve">he results of the </w:t>
      </w:r>
      <w:r>
        <w:t>2008-09</w:t>
      </w:r>
      <w:r w:rsidRPr="00CC1ADD">
        <w:t xml:space="preserve"> survey </w:t>
      </w:r>
      <w:r>
        <w:t>have</w:t>
      </w:r>
      <w:r w:rsidRPr="00CC1ADD">
        <w:t xml:space="preserve"> informed this Review</w:t>
      </w:r>
      <w:r>
        <w:t>, t</w:t>
      </w:r>
      <w:r w:rsidRPr="00CC1ADD">
        <w:t>his has posed challenges in comparing Australian and New Zealander dietary patterns.</w:t>
      </w:r>
    </w:p>
    <w:p w14:paraId="360F7130" w14:textId="77777777" w:rsidR="008F12EF" w:rsidRPr="00CC1ADD" w:rsidRDefault="008F12EF" w:rsidP="002E732B">
      <w:pPr>
        <w:pStyle w:val="mpcNormal"/>
        <w:keepNext w:val="0"/>
      </w:pPr>
    </w:p>
    <w:p w14:paraId="09760267" w14:textId="77777777" w:rsidR="008F12EF" w:rsidRPr="00CC1ADD" w:rsidRDefault="008F12EF" w:rsidP="002E732B">
      <w:pPr>
        <w:pStyle w:val="mpcNormal"/>
        <w:keepNext w:val="0"/>
      </w:pPr>
      <w:r w:rsidRPr="00CC1ADD">
        <w:t xml:space="preserve">The Review recommends that health and nutrition surveys be conducted </w:t>
      </w:r>
      <w:r>
        <w:t>regularly</w:t>
      </w:r>
      <w:r w:rsidRPr="00CC1ADD">
        <w:t xml:space="preserve">. The data from these surveys plays an essential role in informing the Dietary Guidelines, industry reformulation targets and government decisions regarding the focus and impact of public health interventions.  </w:t>
      </w:r>
    </w:p>
    <w:p w14:paraId="0F46D33B" w14:textId="77777777" w:rsidR="008F12EF" w:rsidRPr="00CC1ADD" w:rsidRDefault="008F12EF" w:rsidP="002E732B">
      <w:pPr>
        <w:pStyle w:val="mpcNormal"/>
        <w:keepNext w:val="0"/>
      </w:pPr>
    </w:p>
    <w:p w14:paraId="2B223F8C" w14:textId="77777777" w:rsidR="008F12EF" w:rsidRPr="00CC1ADD" w:rsidRDefault="008F12EF" w:rsidP="005A162A">
      <w:pPr>
        <w:pStyle w:val="mpcheading3"/>
      </w:pPr>
      <w:r w:rsidRPr="00CC1ADD">
        <w:t>Central, trusted, comprehensive database of food products and HSR status</w:t>
      </w:r>
    </w:p>
    <w:p w14:paraId="5BECB1C7" w14:textId="77777777" w:rsidR="008F12EF" w:rsidRPr="00CC1ADD" w:rsidRDefault="008F12EF" w:rsidP="008F12EF">
      <w:pPr>
        <w:pStyle w:val="mpcNormal"/>
      </w:pPr>
    </w:p>
    <w:p w14:paraId="226D09EB" w14:textId="77777777" w:rsidR="008F12EF" w:rsidRPr="00CC1ADD" w:rsidRDefault="008F12EF" w:rsidP="008F12EF">
      <w:pPr>
        <w:pStyle w:val="mpcNormal"/>
      </w:pPr>
      <w:r w:rsidRPr="00CC1ADD">
        <w:t>There are a number of databases holding food composition data</w:t>
      </w:r>
      <w:r>
        <w:t xml:space="preserve"> including</w:t>
      </w:r>
      <w:r w:rsidRPr="00CC1ADD">
        <w:t>:</w:t>
      </w:r>
    </w:p>
    <w:p w14:paraId="4C22420E" w14:textId="77777777" w:rsidR="008F12EF" w:rsidRPr="00CC1ADD" w:rsidRDefault="008F12EF" w:rsidP="008F12EF">
      <w:pPr>
        <w:rPr>
          <w:sz w:val="22"/>
          <w:szCs w:val="22"/>
        </w:rPr>
      </w:pPr>
    </w:p>
    <w:p w14:paraId="594CEA14" w14:textId="6B164446" w:rsidR="008F12EF" w:rsidRPr="00CC1ADD" w:rsidRDefault="008F12EF" w:rsidP="007E0D2C">
      <w:pPr>
        <w:pStyle w:val="mpcbullets1"/>
      </w:pPr>
      <w:r w:rsidRPr="00CC1ADD">
        <w:rPr>
          <w:b/>
        </w:rPr>
        <w:t>the TAG database</w:t>
      </w:r>
      <w:r w:rsidRPr="00CC1ADD">
        <w:t xml:space="preserve"> – This database contains 5,885 foods and beverages, with confidential data provided directly by industry. The TAG database holds the most reliable data for modelling HSR System changes as it includes accurate values for FVNL content (and for a limited number of products, the wholegrain, calcium and added sugars content). However, the database is only available to the </w:t>
      </w:r>
      <w:r w:rsidR="0026483D">
        <w:t xml:space="preserve">Commonwealth </w:t>
      </w:r>
      <w:r w:rsidRPr="00CC1ADD">
        <w:t>Department of Health and two members of the TAG. Further, there is no process for regularly updating the data and the database does not note whether the HSR is actually displayed on the product</w:t>
      </w:r>
      <w:r>
        <w:t>.</w:t>
      </w:r>
    </w:p>
    <w:p w14:paraId="6E89F0B8" w14:textId="3E853A6D" w:rsidR="000A077D" w:rsidRDefault="008F12EF" w:rsidP="007E0D2C">
      <w:pPr>
        <w:pStyle w:val="mpcbullets1"/>
      </w:pPr>
      <w:r w:rsidRPr="00CC1ADD">
        <w:rPr>
          <w:b/>
        </w:rPr>
        <w:t>FoodSwitch (George Institute), FoodTrack (NHF) and Nutri</w:t>
      </w:r>
      <w:r w:rsidR="00F37134">
        <w:rPr>
          <w:b/>
        </w:rPr>
        <w:t>t</w:t>
      </w:r>
      <w:r w:rsidRPr="00CC1ADD">
        <w:rPr>
          <w:b/>
        </w:rPr>
        <w:t>rack (University of Auckland)</w:t>
      </w:r>
      <w:r w:rsidRPr="00CC1ADD">
        <w:t xml:space="preserve"> – These databases are much larger than the TAG database and note where products are actually displaying the HSR and what the HSR is. Data is collected using smartphone applications and in-store sampling (rather than being provided by industry). As such, the key limitation is that FVNL, added sugars and wholegrain contents are estimated (based on ingredients). All of these databases are also proprietary.</w:t>
      </w:r>
    </w:p>
    <w:p w14:paraId="6AA0C53C" w14:textId="657E4447" w:rsidR="000A077D" w:rsidRPr="00957A19" w:rsidRDefault="008F12EF" w:rsidP="007E0D2C">
      <w:pPr>
        <w:pStyle w:val="mpcbullets1"/>
      </w:pPr>
      <w:r w:rsidRPr="000A077D">
        <w:rPr>
          <w:b/>
        </w:rPr>
        <w:t>AUSNUT and the Australian Food Composition Database (FSANZ)</w:t>
      </w:r>
      <w:r w:rsidRPr="00CC1ADD">
        <w:t xml:space="preserve"> – </w:t>
      </w:r>
      <w:r w:rsidR="0026483D">
        <w:t>These a</w:t>
      </w:r>
      <w:r>
        <w:t xml:space="preserve">re </w:t>
      </w:r>
      <w:r w:rsidRPr="00CC1ADD">
        <w:t>food nutrient database</w:t>
      </w:r>
      <w:r>
        <w:t>s</w:t>
      </w:r>
      <w:r w:rsidRPr="00CC1ADD">
        <w:t xml:space="preserve"> that include the average nutrient content of foods</w:t>
      </w:r>
      <w:r>
        <w:t>. AUSNUT</w:t>
      </w:r>
      <w:r w:rsidRPr="00CC1ADD">
        <w:t xml:space="preserve"> is a survey</w:t>
      </w:r>
      <w:r>
        <w:t>-</w:t>
      </w:r>
      <w:r w:rsidRPr="00CC1ADD">
        <w:t xml:space="preserve">specific database that </w:t>
      </w:r>
      <w:r>
        <w:t xml:space="preserve">includes data for foods as consumed and </w:t>
      </w:r>
      <w:r w:rsidRPr="00CC1ADD">
        <w:t xml:space="preserve">is only updated </w:t>
      </w:r>
      <w:r>
        <w:t>when</w:t>
      </w:r>
      <w:r w:rsidRPr="00CC1ADD">
        <w:t xml:space="preserve"> a new </w:t>
      </w:r>
      <w:r>
        <w:t>national health survey</w:t>
      </w:r>
      <w:r w:rsidRPr="00CC1ADD">
        <w:t xml:space="preserve"> is undertaken. The Australian Food </w:t>
      </w:r>
      <w:r w:rsidRPr="00957A19">
        <w:t>Composition Database (formerly NUTTAB) is a reference database containing mainly analytical data for commonly consumed foods. Neither database includes individual branded products or, for example, the FVNL content of foods.</w:t>
      </w:r>
    </w:p>
    <w:p w14:paraId="4C99E7FC" w14:textId="7332732C" w:rsidR="000A077D" w:rsidRPr="00957A19" w:rsidRDefault="000A077D" w:rsidP="007E0D2C">
      <w:pPr>
        <w:pStyle w:val="mpcbullets1"/>
        <w:rPr>
          <w:rFonts w:ascii="Times New Roman" w:hAnsi="Times New Roman"/>
        </w:rPr>
      </w:pPr>
      <w:r w:rsidRPr="00957A19">
        <w:rPr>
          <w:b/>
        </w:rPr>
        <w:t xml:space="preserve">New Zealand Food Composition Database </w:t>
      </w:r>
      <w:r w:rsidRPr="00957A19">
        <w:t xml:space="preserve">– This database </w:t>
      </w:r>
      <w:r w:rsidR="008F12EF" w:rsidRPr="00957A19">
        <w:t xml:space="preserve">contains key nutrients for </w:t>
      </w:r>
      <w:r w:rsidRPr="00957A19">
        <w:t xml:space="preserve">foods </w:t>
      </w:r>
      <w:r w:rsidRPr="00957A19">
        <w:rPr>
          <w:shd w:val="clear" w:color="auto" w:fill="FFFFFF"/>
        </w:rPr>
        <w:t>commonly prepared and eaten in New Zealand</w:t>
      </w:r>
      <w:r w:rsidRPr="00957A19">
        <w:t xml:space="preserve"> </w:t>
      </w:r>
      <w:r w:rsidR="008F12EF" w:rsidRPr="00957A19">
        <w:t>(rather than branded products).</w:t>
      </w:r>
      <w:r w:rsidRPr="00957A19">
        <w:t xml:space="preserve"> It is jointly managed by Plant &amp; Food Research and the New Zealand Ministry of Health. D</w:t>
      </w:r>
      <w:r w:rsidRPr="00957A19">
        <w:rPr>
          <w:shd w:val="clear" w:color="auto" w:fill="FFFFFF"/>
        </w:rPr>
        <w:t>ata is collated through analysis conducted by laboratories in New Zealand and Australia and includes carbohydrate, protein, fat, cholesterol, caffeine, vitamins, minerals, fatty acids, fibre, moisture and ash.</w:t>
      </w:r>
    </w:p>
    <w:p w14:paraId="4BB7FF09" w14:textId="77777777" w:rsidR="008F12EF" w:rsidRPr="00CC1ADD" w:rsidRDefault="008F12EF" w:rsidP="008F12EF">
      <w:pPr>
        <w:pStyle w:val="mpcNormal"/>
      </w:pPr>
    </w:p>
    <w:p w14:paraId="3829EC24" w14:textId="4AEA9658" w:rsidR="008F12EF" w:rsidRPr="00CC1ADD" w:rsidRDefault="008F12EF" w:rsidP="00845E72">
      <w:pPr>
        <w:pStyle w:val="mpcNormal"/>
        <w:keepNext w:val="0"/>
      </w:pPr>
      <w:r w:rsidRPr="00CC1ADD">
        <w:t xml:space="preserve">While </w:t>
      </w:r>
      <w:r>
        <w:t>all</w:t>
      </w:r>
      <w:r w:rsidRPr="00CC1ADD">
        <w:t xml:space="preserve"> of these databases serve valuable purposes, there is no single bi-national data</w:t>
      </w:r>
      <w:r w:rsidR="0000694B">
        <w:t>set</w:t>
      </w:r>
      <w:r w:rsidRPr="00CC1ADD">
        <w:t xml:space="preserve"> that can be used to validate the accuracy of the HSR shown on products or track reformulation. This limits the capacity of FSANZ, the NHMRC, </w:t>
      </w:r>
      <w:r>
        <w:t>government health agencies</w:t>
      </w:r>
      <w:r w:rsidRPr="00CC1ADD">
        <w:t xml:space="preserve"> and others to analyse changes to food composition and the food supply </w:t>
      </w:r>
      <w:r>
        <w:t>or</w:t>
      </w:r>
      <w:r w:rsidRPr="00CC1ADD">
        <w:t xml:space="preserve"> to model the impact of changes including potential changes to the HSR System.</w:t>
      </w:r>
    </w:p>
    <w:p w14:paraId="3B54E411" w14:textId="77777777" w:rsidR="008F12EF" w:rsidRPr="00CC1ADD" w:rsidRDefault="008F12EF" w:rsidP="008F12EF">
      <w:pPr>
        <w:pStyle w:val="mpcNormal"/>
      </w:pPr>
    </w:p>
    <w:p w14:paraId="42BE227D" w14:textId="77777777" w:rsidR="008F12EF" w:rsidRPr="00CC1ADD" w:rsidRDefault="008F12EF" w:rsidP="00173A82">
      <w:pPr>
        <w:pStyle w:val="mpcNormal"/>
        <w:keepNext w:val="0"/>
      </w:pPr>
      <w:r w:rsidRPr="00CC1ADD">
        <w:t>The Review recommends that FSANZ expands its existing data management system (Silo</w:t>
      </w:r>
      <w:r w:rsidRPr="00CC1ADD">
        <w:rPr>
          <w:rStyle w:val="FootnoteReference"/>
        </w:rPr>
        <w:footnoteReference w:id="107"/>
      </w:r>
      <w:r w:rsidRPr="00CC1ADD">
        <w:t>) to enable the automated upload, validation, storage and reporting of branded food data including the HSR. This would complement existing datasets and include a public facing component that includes</w:t>
      </w:r>
      <w:r>
        <w:t xml:space="preserve"> the following attributes of </w:t>
      </w:r>
      <w:r w:rsidRPr="00CC1ADD">
        <w:t>products for retail sale in Australia and New Zealand:</w:t>
      </w:r>
    </w:p>
    <w:p w14:paraId="133DE5BD" w14:textId="77777777" w:rsidR="008F12EF" w:rsidRPr="00CC1ADD" w:rsidRDefault="008F12EF" w:rsidP="00173A82">
      <w:pPr>
        <w:pStyle w:val="mpcNormal"/>
        <w:keepNext w:val="0"/>
      </w:pPr>
    </w:p>
    <w:p w14:paraId="48A32C59" w14:textId="77777777" w:rsidR="008F12EF" w:rsidRPr="00CC1ADD" w:rsidRDefault="008F12EF" w:rsidP="00173A82">
      <w:pPr>
        <w:pStyle w:val="mpcbullets1"/>
        <w:keepNext w:val="0"/>
      </w:pPr>
      <w:r w:rsidRPr="00CC1ADD">
        <w:t>the product name</w:t>
      </w:r>
    </w:p>
    <w:p w14:paraId="36E91E03" w14:textId="0B95D2C9" w:rsidR="008F12EF" w:rsidRPr="00CC1ADD" w:rsidRDefault="008F12EF" w:rsidP="00173A82">
      <w:pPr>
        <w:pStyle w:val="mpcbullets1"/>
        <w:keepNext w:val="0"/>
      </w:pPr>
      <w:r w:rsidRPr="00CC1ADD">
        <w:t>the information in the NIP on a serving size and 100 g/100 m</w:t>
      </w:r>
      <w:r w:rsidR="005D5698">
        <w:t>L</w:t>
      </w:r>
      <w:r w:rsidRPr="00CC1ADD">
        <w:t xml:space="preserve"> basis</w:t>
      </w:r>
    </w:p>
    <w:p w14:paraId="28311E1A" w14:textId="77777777" w:rsidR="008F12EF" w:rsidRPr="00CC1ADD" w:rsidRDefault="008F12EF" w:rsidP="00173A82">
      <w:pPr>
        <w:pStyle w:val="mpcbullets1"/>
        <w:keepNext w:val="0"/>
      </w:pPr>
      <w:r w:rsidRPr="00CC1ADD">
        <w:t>the form of the food</w:t>
      </w:r>
    </w:p>
    <w:p w14:paraId="7F5C8A15" w14:textId="77777777" w:rsidR="008F12EF" w:rsidRPr="00CC1ADD" w:rsidRDefault="008F12EF" w:rsidP="00173A82">
      <w:pPr>
        <w:pStyle w:val="mpcbullets1"/>
        <w:keepNext w:val="0"/>
      </w:pPr>
      <w:r w:rsidRPr="00CC1ADD">
        <w:t>the ingredient list (as it appears on the product)</w:t>
      </w:r>
    </w:p>
    <w:p w14:paraId="1C2A4224" w14:textId="0DC42929" w:rsidR="008F12EF" w:rsidRDefault="008F12EF" w:rsidP="00173A82">
      <w:pPr>
        <w:pStyle w:val="mpcbullets1"/>
        <w:keepNext w:val="0"/>
      </w:pPr>
      <w:r w:rsidRPr="00CC1ADD">
        <w:t xml:space="preserve">the fibre, calcium and FVNL values </w:t>
      </w:r>
      <w:r>
        <w:t>(w</w:t>
      </w:r>
      <w:r w:rsidRPr="00CC1ADD">
        <w:t>hile this is not generally included in the NIP, the inclusion of this information in the dataset enables validation of the HSR displayed by the manufacturer without revealing confidential recipe information</w:t>
      </w:r>
      <w:r w:rsidR="005D5698">
        <w:t>)</w:t>
      </w:r>
    </w:p>
    <w:p w14:paraId="1C3811F5" w14:textId="77777777" w:rsidR="008F12EF" w:rsidRPr="00CC1ADD" w:rsidRDefault="008F12EF" w:rsidP="00173A82">
      <w:pPr>
        <w:pStyle w:val="mpcbullets1"/>
        <w:keepNext w:val="0"/>
      </w:pPr>
      <w:r>
        <w:t>the HSR Category</w:t>
      </w:r>
    </w:p>
    <w:p w14:paraId="2E15A44B" w14:textId="438DF211" w:rsidR="008F12EF" w:rsidRPr="00CC1ADD" w:rsidRDefault="008F12EF" w:rsidP="00173A82">
      <w:pPr>
        <w:pStyle w:val="mpcbullets1"/>
        <w:keepNext w:val="0"/>
      </w:pPr>
      <w:r>
        <w:t>the HSR status of a product (</w:t>
      </w:r>
      <w:r w:rsidRPr="00CC1ADD">
        <w:t>whether the product displays the HSR and if so, the HSR</w:t>
      </w:r>
      <w:r w:rsidR="00A90016">
        <w:t xml:space="preserve"> and the HSR graphic option</w:t>
      </w:r>
      <w:r>
        <w:t>)</w:t>
      </w:r>
      <w:r w:rsidRPr="00CC1ADD">
        <w:t>.</w:t>
      </w:r>
    </w:p>
    <w:p w14:paraId="0F4CA53E" w14:textId="77777777" w:rsidR="008F12EF" w:rsidRPr="00CC1ADD" w:rsidRDefault="008F12EF" w:rsidP="00676537">
      <w:pPr>
        <w:pStyle w:val="mpcNormal"/>
        <w:keepNext w:val="0"/>
      </w:pPr>
    </w:p>
    <w:p w14:paraId="0A6C06C1" w14:textId="66BC0909" w:rsidR="008F12EF" w:rsidRPr="00CC1ADD" w:rsidRDefault="00845E72" w:rsidP="00676537">
      <w:pPr>
        <w:pStyle w:val="mpcNormal"/>
        <w:keepNext w:val="0"/>
      </w:pPr>
      <w:r>
        <w:t>Regular s</w:t>
      </w:r>
      <w:r w:rsidR="008F12EF" w:rsidRPr="00CC1ADD">
        <w:t xml:space="preserve">tandardised, automated uploads of information by industry (and built in </w:t>
      </w:r>
      <w:r w:rsidR="0000694B">
        <w:t xml:space="preserve">automated </w:t>
      </w:r>
      <w:r w:rsidR="008F12EF" w:rsidRPr="00CC1ADD">
        <w:t xml:space="preserve">validation steps) would obviate the need for resource intensive in-store data collections or annual data submissions and ensure the quality of the data. </w:t>
      </w:r>
    </w:p>
    <w:p w14:paraId="6D4BDBAC" w14:textId="77777777" w:rsidR="008F12EF" w:rsidRPr="00CC1ADD" w:rsidRDefault="008F12EF" w:rsidP="008F12EF">
      <w:pPr>
        <w:pStyle w:val="mpcNormal"/>
      </w:pPr>
    </w:p>
    <w:p w14:paraId="12375338" w14:textId="77777777" w:rsidR="008F12EF" w:rsidRPr="00CC1ADD" w:rsidRDefault="008F12EF" w:rsidP="008F12EF">
      <w:pPr>
        <w:pStyle w:val="mpcNormal"/>
      </w:pPr>
      <w:r w:rsidRPr="00CC1ADD">
        <w:t>The dataset could:</w:t>
      </w:r>
    </w:p>
    <w:p w14:paraId="6F803706" w14:textId="77777777" w:rsidR="008F12EF" w:rsidRPr="00CC1ADD" w:rsidRDefault="008F12EF" w:rsidP="008F12EF">
      <w:pPr>
        <w:pStyle w:val="mpcNormal"/>
      </w:pPr>
    </w:p>
    <w:p w14:paraId="2966F545" w14:textId="77777777" w:rsidR="008756A0" w:rsidRDefault="008F12EF" w:rsidP="007E0D2C">
      <w:pPr>
        <w:pStyle w:val="mpcbullets1"/>
      </w:pPr>
      <w:r w:rsidRPr="00CC1ADD">
        <w:t xml:space="preserve">be modelled on the </w:t>
      </w:r>
      <w:hyperlink r:id="rId91" w:history="1">
        <w:r w:rsidRPr="00CC1ADD">
          <w:rPr>
            <w:rStyle w:val="Hyperlink"/>
          </w:rPr>
          <w:t>USDA Branded Food Products Database</w:t>
        </w:r>
      </w:hyperlink>
      <w:r w:rsidRPr="00CC1ADD">
        <w:t xml:space="preserve"> that resulted from a Public-Private Partnership</w:t>
      </w:r>
      <w:r>
        <w:t xml:space="preserve"> with the </w:t>
      </w:r>
      <w:r w:rsidRPr="00CC1ADD">
        <w:t xml:space="preserve">goal </w:t>
      </w:r>
      <w:r>
        <w:t>of</w:t>
      </w:r>
      <w:r w:rsidRPr="00CC1ADD">
        <w:t xml:space="preserve"> enhanc</w:t>
      </w:r>
      <w:r>
        <w:t>ing</w:t>
      </w:r>
      <w:r w:rsidRPr="00CC1ADD">
        <w:t xml:space="preserve"> public health and the sharing of open data</w:t>
      </w:r>
      <w:r>
        <w:t>.</w:t>
      </w:r>
      <w:r w:rsidRPr="00CC1ADD">
        <w:t xml:space="preserve"> </w:t>
      </w:r>
      <w:r>
        <w:t xml:space="preserve">The Database includes the </w:t>
      </w:r>
      <w:r w:rsidRPr="00CC1ADD">
        <w:t>nutrient composition of branded foods and private label data provided by the food industry</w:t>
      </w:r>
      <w:r w:rsidRPr="00CC1ADD">
        <w:rPr>
          <w:rStyle w:val="FootnoteReference"/>
        </w:rPr>
        <w:footnoteReference w:id="108"/>
      </w:r>
    </w:p>
    <w:p w14:paraId="3905A13E" w14:textId="0C1F4F49" w:rsidR="008756A0" w:rsidRPr="008756A0" w:rsidRDefault="008756A0" w:rsidP="007E0D2C">
      <w:pPr>
        <w:pStyle w:val="mpcbullets1"/>
      </w:pPr>
      <w:r>
        <w:t>utilise</w:t>
      </w:r>
      <w:r w:rsidRPr="008756A0">
        <w:t xml:space="preserve"> existing databases which collect high quality label data to optimise data coverage and quality assurance.</w:t>
      </w:r>
      <w:r>
        <w:t xml:space="preserve"> </w:t>
      </w:r>
      <w:r w:rsidR="0026483D">
        <w:t>For example, t</w:t>
      </w:r>
      <w:r w:rsidR="000A077D">
        <w:t xml:space="preserve">he USDA database partners with </w:t>
      </w:r>
      <w:r w:rsidR="000A077D" w:rsidRPr="008756A0">
        <w:t>GS1, Label Insight, 1 worldsync and Maryland University</w:t>
      </w:r>
      <w:r w:rsidR="000A077D">
        <w:t xml:space="preserve"> to improve data quality.</w:t>
      </w:r>
      <w:r w:rsidRPr="008756A0">
        <w:t xml:space="preserve"> </w:t>
      </w:r>
      <w:r w:rsidR="0026483D">
        <w:t xml:space="preserve">Aligning with existing databases </w:t>
      </w:r>
      <w:r w:rsidRPr="008756A0">
        <w:t>provides greater incentive to industry</w:t>
      </w:r>
      <w:r w:rsidR="0026483D">
        <w:t xml:space="preserve"> to participate</w:t>
      </w:r>
    </w:p>
    <w:p w14:paraId="3BF9E547" w14:textId="07DD8692" w:rsidR="008F12EF" w:rsidRPr="00CC1ADD" w:rsidRDefault="008F12EF" w:rsidP="007E0D2C">
      <w:pPr>
        <w:pStyle w:val="mpcbullets1"/>
      </w:pPr>
      <w:r w:rsidRPr="00CC1ADD">
        <w:t>support public and industry confidence in the HSR System and enable validation of the HSR displayed on a product</w:t>
      </w:r>
    </w:p>
    <w:p w14:paraId="7CDDB05A" w14:textId="3FE21BB9" w:rsidR="008F12EF" w:rsidRPr="00CC1ADD" w:rsidRDefault="008F12EF" w:rsidP="00173A82">
      <w:pPr>
        <w:pStyle w:val="mpcbullets2"/>
      </w:pPr>
      <w:r w:rsidRPr="00CC1ADD">
        <w:t xml:space="preserve">An automated </w:t>
      </w:r>
      <w:r>
        <w:t>IT solution</w:t>
      </w:r>
      <w:r w:rsidRPr="00CC1ADD">
        <w:t xml:space="preserve"> would provide peace of mind for manufacturers that they have displayed the correct HSR</w:t>
      </w:r>
      <w:r>
        <w:t>,</w:t>
      </w:r>
      <w:r w:rsidRPr="00CC1ADD">
        <w:t xml:space="preserve"> assure manufacturers that their competitors have also used the correct HSR and</w:t>
      </w:r>
      <w:r>
        <w:t xml:space="preserve"> alleviate </w:t>
      </w:r>
      <w:r w:rsidRPr="00CC1ADD">
        <w:t>consumer</w:t>
      </w:r>
      <w:r>
        <w:t xml:space="preserve"> </w:t>
      </w:r>
      <w:r w:rsidRPr="00CC1ADD">
        <w:t xml:space="preserve">concerns </w:t>
      </w:r>
      <w:r>
        <w:t>about manufacturers incorrectly displaying HSRs</w:t>
      </w:r>
      <w:r w:rsidR="00A90016">
        <w:t>,</w:t>
      </w:r>
      <w:r>
        <w:t xml:space="preserve"> as they can be assessed against a validated database.</w:t>
      </w:r>
    </w:p>
    <w:p w14:paraId="6701C7A1" w14:textId="77777777" w:rsidR="008F12EF" w:rsidRPr="00CC1ADD" w:rsidRDefault="008F12EF" w:rsidP="007E0D2C">
      <w:pPr>
        <w:pStyle w:val="mpcbullets1"/>
      </w:pPr>
      <w:r>
        <w:t>track longitudinal reformulation of products</w:t>
      </w:r>
    </w:p>
    <w:p w14:paraId="4A54494C" w14:textId="024B91E7" w:rsidR="008F12EF" w:rsidRPr="00CC1ADD" w:rsidRDefault="008F12EF" w:rsidP="007E0D2C">
      <w:pPr>
        <w:pStyle w:val="mpcbullets1"/>
      </w:pPr>
      <w:r w:rsidRPr="00CC1ADD">
        <w:t>enable anomalies or areas of confusion in the HSR calculation to be identified</w:t>
      </w:r>
      <w:r w:rsidR="0000694B">
        <w:t xml:space="preserve"> and assessed</w:t>
      </w:r>
      <w:r w:rsidRPr="00CC1ADD">
        <w:t xml:space="preserve">, </w:t>
      </w:r>
      <w:r>
        <w:t>allowing</w:t>
      </w:r>
      <w:r w:rsidRPr="00CC1ADD">
        <w:t xml:space="preserve"> the System </w:t>
      </w:r>
      <w:r>
        <w:t>to</w:t>
      </w:r>
      <w:r w:rsidRPr="00CC1ADD">
        <w:t xml:space="preserve"> be more responsive </w:t>
      </w:r>
    </w:p>
    <w:p w14:paraId="1E8CD256" w14:textId="77777777" w:rsidR="008F12EF" w:rsidRPr="00CC1ADD" w:rsidRDefault="008F12EF" w:rsidP="007E0D2C">
      <w:pPr>
        <w:pStyle w:val="mpcbullets1"/>
      </w:pPr>
      <w:r w:rsidRPr="00CC1ADD">
        <w:t xml:space="preserve">support the work of FSANZ and </w:t>
      </w:r>
      <w:r>
        <w:t>government health agencies,</w:t>
      </w:r>
      <w:r w:rsidRPr="00CC1ADD">
        <w:t xml:space="preserve"> including in relation to reformulation projects, generating nutrient profiles for surveys and inform</w:t>
      </w:r>
      <w:r>
        <w:t>ing</w:t>
      </w:r>
      <w:r w:rsidRPr="00CC1ADD">
        <w:t xml:space="preserve"> </w:t>
      </w:r>
      <w:r>
        <w:t>the</w:t>
      </w:r>
      <w:r w:rsidRPr="00CC1ADD">
        <w:t xml:space="preserve"> development </w:t>
      </w:r>
      <w:r>
        <w:t>of food regulation</w:t>
      </w:r>
    </w:p>
    <w:p w14:paraId="1B6DEC09" w14:textId="77777777" w:rsidR="008F12EF" w:rsidRPr="00CC1ADD" w:rsidRDefault="008F12EF" w:rsidP="007E0D2C">
      <w:pPr>
        <w:pStyle w:val="mpcbullets1"/>
      </w:pPr>
      <w:r w:rsidRPr="00CC1ADD">
        <w:t>inform the regular review of Dietary Guidelines by describing the current food supply.</w:t>
      </w:r>
    </w:p>
    <w:p w14:paraId="6304D0FC" w14:textId="77777777" w:rsidR="008F12EF" w:rsidRPr="00CC1ADD" w:rsidRDefault="008F12EF" w:rsidP="008F12EF">
      <w:pPr>
        <w:rPr>
          <w:sz w:val="22"/>
          <w:szCs w:val="22"/>
        </w:rPr>
      </w:pPr>
    </w:p>
    <w:p w14:paraId="4AD24AD5" w14:textId="32D4D449" w:rsidR="008F12EF" w:rsidRPr="00CC1ADD" w:rsidRDefault="008F12EF" w:rsidP="008F12EF">
      <w:pPr>
        <w:rPr>
          <w:sz w:val="22"/>
          <w:szCs w:val="22"/>
        </w:rPr>
      </w:pPr>
      <w:r w:rsidRPr="00CC1ADD">
        <w:rPr>
          <w:sz w:val="22"/>
          <w:szCs w:val="22"/>
        </w:rPr>
        <w:t>Should this recommendation be accepted, it is suggested:</w:t>
      </w:r>
    </w:p>
    <w:p w14:paraId="008DADD1" w14:textId="77777777" w:rsidR="008F12EF" w:rsidRPr="00CC1ADD" w:rsidRDefault="008F12EF" w:rsidP="008F12EF">
      <w:pPr>
        <w:rPr>
          <w:sz w:val="22"/>
          <w:szCs w:val="22"/>
        </w:rPr>
      </w:pPr>
    </w:p>
    <w:p w14:paraId="5651D5A2" w14:textId="531F8369" w:rsidR="008F12EF" w:rsidRPr="00CC1ADD" w:rsidRDefault="008F12EF" w:rsidP="007E0D2C">
      <w:pPr>
        <w:pStyle w:val="mpcbullets1"/>
      </w:pPr>
      <w:r w:rsidRPr="00CC1ADD">
        <w:t xml:space="preserve">FSANZ </w:t>
      </w:r>
      <w:r>
        <w:t xml:space="preserve">be funded to </w:t>
      </w:r>
      <w:r w:rsidRPr="00CC1ADD">
        <w:t xml:space="preserve">steward the development of the database, including the staging of its roll-out </w:t>
      </w:r>
    </w:p>
    <w:p w14:paraId="1C7D9639" w14:textId="498C1CE2" w:rsidR="008F12EF" w:rsidRPr="00CC1ADD" w:rsidRDefault="008F12EF" w:rsidP="00173A82">
      <w:pPr>
        <w:pStyle w:val="mpcbullets2"/>
      </w:pPr>
      <w:r>
        <w:t xml:space="preserve">In consultation with government agencies and stakeholders, further consideration would need to be given to </w:t>
      </w:r>
      <w:r w:rsidRPr="00CC1ADD">
        <w:t>the viability of the dataset being bi-nationa</w:t>
      </w:r>
      <w:r>
        <w:t xml:space="preserve">l, </w:t>
      </w:r>
      <w:r w:rsidR="0000694B">
        <w:t>how the database could be managed administratively by FSANZ</w:t>
      </w:r>
      <w:r>
        <w:t xml:space="preserve"> (avoiding the need for legislative amendments), data protection and uses.</w:t>
      </w:r>
    </w:p>
    <w:p w14:paraId="18F8DD01" w14:textId="604E5E4C" w:rsidR="008F12EF" w:rsidRPr="00CC1ADD" w:rsidRDefault="008F12EF" w:rsidP="007E0D2C">
      <w:pPr>
        <w:pStyle w:val="mpcbullets1"/>
      </w:pPr>
      <w:r w:rsidRPr="00CC1ADD">
        <w:t>a review of international approaches and further discussions with the USDA informs the development of the dataset (including to harmonise data dictionaries wherever possible)</w:t>
      </w:r>
    </w:p>
    <w:p w14:paraId="1E43301B" w14:textId="77777777" w:rsidR="008F12EF" w:rsidRPr="00CC1ADD" w:rsidRDefault="008F12EF" w:rsidP="00173A82">
      <w:pPr>
        <w:pStyle w:val="mpcbullets2"/>
      </w:pPr>
      <w:r w:rsidRPr="00CC1ADD">
        <w:t xml:space="preserve">For example, there is already an international food categorisation system (FoodEx2) that has been applied to many datasets internationally. </w:t>
      </w:r>
    </w:p>
    <w:p w14:paraId="12992CE4" w14:textId="0DCDCC72" w:rsidR="008F12EF" w:rsidRPr="00CC1ADD" w:rsidRDefault="008F12EF" w:rsidP="007E0D2C">
      <w:pPr>
        <w:pStyle w:val="mpcbullets1"/>
      </w:pPr>
      <w:r w:rsidRPr="00CC1ADD">
        <w:t>industry consultation inform</w:t>
      </w:r>
      <w:r>
        <w:t>s the</w:t>
      </w:r>
      <w:r w:rsidRPr="00CC1ADD">
        <w:t xml:space="preserve"> design specifications and user </w:t>
      </w:r>
      <w:r w:rsidR="002E732B">
        <w:t>guidance required</w:t>
      </w:r>
      <w:r w:rsidRPr="00CC1ADD">
        <w:t xml:space="preserve"> to minimise </w:t>
      </w:r>
      <w:r>
        <w:t xml:space="preserve">the </w:t>
      </w:r>
      <w:r w:rsidRPr="00CC1ADD">
        <w:t xml:space="preserve">reporting burden and maximise manufacturer participation. </w:t>
      </w:r>
    </w:p>
    <w:p w14:paraId="195BD955" w14:textId="494A4CFB" w:rsidR="008F12EF" w:rsidRDefault="008F12EF" w:rsidP="00173A82">
      <w:pPr>
        <w:pStyle w:val="mpcbullets2"/>
      </w:pPr>
      <w:r w:rsidRPr="00CC1ADD">
        <w:t>The Review recognises that industry support is critical for achieving the outcomes sought</w:t>
      </w:r>
      <w:r w:rsidR="002E732B">
        <w:t xml:space="preserve"> through this recommendation</w:t>
      </w:r>
      <w:r>
        <w:t>. Co-design of the database specifications will ensure ease of use and encourage industry submission of data.</w:t>
      </w:r>
    </w:p>
    <w:p w14:paraId="73AD55B0" w14:textId="0A380379" w:rsidR="008F12EF" w:rsidRDefault="008F12EF" w:rsidP="00173A82">
      <w:pPr>
        <w:pStyle w:val="mpcbullets2"/>
      </w:pPr>
      <w:r>
        <w:t xml:space="preserve">The Review notes that the AFGC has been developing an online Product Information Form </w:t>
      </w:r>
      <w:r w:rsidR="00845E72">
        <w:t xml:space="preserve">which provides a standard which industry will be able to use to exchange product information along the supply chain and upload data. </w:t>
      </w:r>
      <w:r>
        <w:t xml:space="preserve">This experience could be leveraged to </w:t>
      </w:r>
      <w:r w:rsidR="00845E72">
        <w:t xml:space="preserve">improve the ease with which industry can upload data and </w:t>
      </w:r>
      <w:r>
        <w:t>minimise additional impost on industry.</w:t>
      </w:r>
    </w:p>
    <w:p w14:paraId="3D86F79C" w14:textId="7E5CCB0D" w:rsidR="001D5779" w:rsidRPr="00CC1ADD" w:rsidRDefault="001D5779">
      <w:pPr>
        <w:pStyle w:val="mpcheading1"/>
      </w:pPr>
      <w:r w:rsidRPr="00CC1ADD">
        <w:br w:type="column"/>
      </w:r>
      <w:bookmarkStart w:id="133" w:name="Chapter7"/>
      <w:bookmarkStart w:id="134" w:name="_Toc9955067"/>
      <w:bookmarkEnd w:id="133"/>
      <w:r w:rsidRPr="00CC1ADD">
        <w:t xml:space="preserve">Chapter 7 – </w:t>
      </w:r>
      <w:r w:rsidR="00767B1E">
        <w:t>Optimising</w:t>
      </w:r>
      <w:r w:rsidR="00767B1E" w:rsidRPr="00CC1ADD">
        <w:t xml:space="preserve"> </w:t>
      </w:r>
      <w:r w:rsidRPr="00CC1ADD">
        <w:t xml:space="preserve">uptake of the </w:t>
      </w:r>
      <w:r w:rsidR="00CB56DE">
        <w:t>Health Star Rating</w:t>
      </w:r>
      <w:r w:rsidRPr="00CC1ADD">
        <w:t xml:space="preserve"> System</w:t>
      </w:r>
      <w:bookmarkEnd w:id="134"/>
    </w:p>
    <w:p w14:paraId="7DD5DE34" w14:textId="77777777" w:rsidR="001D5779" w:rsidRPr="00CC1ADD" w:rsidRDefault="001D5779">
      <w:pPr>
        <w:pStyle w:val="mpcheading2"/>
        <w:rPr>
          <w:sz w:val="22"/>
          <w:lang w:eastAsia="en-GB"/>
        </w:rPr>
      </w:pPr>
      <w:bookmarkStart w:id="135" w:name="Summary7"/>
      <w:bookmarkStart w:id="136" w:name="_Toc9955068"/>
      <w:bookmarkEnd w:id="135"/>
      <w:r w:rsidRPr="00CC1ADD">
        <w:rPr>
          <w:lang w:eastAsia="en-GB"/>
        </w:rPr>
        <w:t>Summary</w:t>
      </w:r>
      <w:bookmarkEnd w:id="136"/>
    </w:p>
    <w:p w14:paraId="5D4663CE" w14:textId="77777777" w:rsidR="001D5779" w:rsidRPr="00CC1ADD" w:rsidRDefault="001D5779" w:rsidP="007E3016">
      <w:pPr>
        <w:pStyle w:val="mpcNormal"/>
        <w:keepNext w:val="0"/>
      </w:pPr>
      <w:r w:rsidRPr="00CC1ADD">
        <w:t>No uptake targets were set when the HSR System was implemented. Stakeholders therefore have different expectations as to what constitutes the System’s success.</w:t>
      </w:r>
    </w:p>
    <w:p w14:paraId="706FCFF7" w14:textId="77777777" w:rsidR="001D5779" w:rsidRPr="00CC1ADD" w:rsidRDefault="001D5779" w:rsidP="007E3016">
      <w:pPr>
        <w:pStyle w:val="mpcNormal"/>
        <w:keepNext w:val="0"/>
      </w:pPr>
    </w:p>
    <w:p w14:paraId="0C8A39C9" w14:textId="77777777" w:rsidR="001D5779" w:rsidRPr="00CC1ADD" w:rsidRDefault="001D5779" w:rsidP="007E3016">
      <w:pPr>
        <w:pStyle w:val="mpcNormal"/>
        <w:keepNext w:val="0"/>
      </w:pPr>
      <w:r w:rsidRPr="00CC1ADD">
        <w:t>While uptake of the HSR System has been greater than the uptake of other FoPL initiatives (including the DIG</w:t>
      </w:r>
      <w:r w:rsidRPr="00CC1ADD">
        <w:rPr>
          <w:rStyle w:val="FootnoteReference"/>
          <w:sz w:val="22"/>
        </w:rPr>
        <w:footnoteReference w:id="109"/>
      </w:r>
      <w:r w:rsidRPr="00CC1ADD">
        <w:t>), the Review considers that uptake is still not adequate to enable consumers to effectively compare similar products.</w:t>
      </w:r>
    </w:p>
    <w:p w14:paraId="2DD77BA8" w14:textId="77777777" w:rsidR="001D5779" w:rsidRPr="00CC1ADD" w:rsidRDefault="001D5779" w:rsidP="007E3016">
      <w:pPr>
        <w:pStyle w:val="mpcNormal"/>
        <w:keepNext w:val="0"/>
      </w:pPr>
    </w:p>
    <w:p w14:paraId="3EAFB93E" w14:textId="5A689035" w:rsidR="001D5779" w:rsidRPr="00CC1ADD" w:rsidRDefault="001824D7" w:rsidP="007E3016">
      <w:pPr>
        <w:pStyle w:val="mpcNormal"/>
        <w:keepNext w:val="0"/>
      </w:pPr>
      <w:r w:rsidRPr="00CC1ADD">
        <w:t>Consistent and w</w:t>
      </w:r>
      <w:r w:rsidR="001D5779" w:rsidRPr="00CC1ADD">
        <w:t xml:space="preserve">idespread adoption of the HSR System, including the full range of HSRs (0.5 to 5 stars) across food categories and </w:t>
      </w:r>
      <w:r w:rsidR="00A46252">
        <w:t xml:space="preserve">the </w:t>
      </w:r>
      <w:r w:rsidR="00865490">
        <w:t>products intended to display the HSR</w:t>
      </w:r>
      <w:r w:rsidR="001D5779" w:rsidRPr="00CC1ADD">
        <w:t>, is an outcome sought by the vast majority of stakeholders. If the HSR System is to be retained, improved uptake across the range of eligible products is necessary to achieve the public health impact sought.</w:t>
      </w:r>
    </w:p>
    <w:p w14:paraId="766257DC" w14:textId="77777777" w:rsidR="001D5779" w:rsidRPr="00CC1ADD" w:rsidRDefault="001D5779" w:rsidP="007E3016">
      <w:pPr>
        <w:pStyle w:val="mpcNormal"/>
        <w:keepNext w:val="0"/>
      </w:pPr>
    </w:p>
    <w:p w14:paraId="0612493D" w14:textId="1C622940" w:rsidR="001824D7" w:rsidRPr="00CC1ADD" w:rsidRDefault="00CA03D9" w:rsidP="001371BA">
      <w:pPr>
        <w:pStyle w:val="mpcNormal"/>
        <w:keepNext w:val="0"/>
      </w:pPr>
      <w:r>
        <w:t>K</w:t>
      </w:r>
      <w:r w:rsidR="001371BA">
        <w:t>ey</w:t>
      </w:r>
      <w:r w:rsidR="001D5779" w:rsidRPr="00CC1ADD">
        <w:t xml:space="preserve"> question</w:t>
      </w:r>
      <w:r w:rsidR="001824D7" w:rsidRPr="00CC1ADD">
        <w:t>s</w:t>
      </w:r>
      <w:r w:rsidR="001D5779" w:rsidRPr="00CC1ADD">
        <w:t xml:space="preserve"> for the Review </w:t>
      </w:r>
      <w:r w:rsidR="001824D7" w:rsidRPr="00CC1ADD">
        <w:t>are</w:t>
      </w:r>
      <w:r w:rsidR="00173A82">
        <w:t>:</w:t>
      </w:r>
      <w:r w:rsidR="001371BA">
        <w:t xml:space="preserve"> how</w:t>
      </w:r>
      <w:r w:rsidR="001D5779" w:rsidRPr="00CC1ADD">
        <w:t xml:space="preserve"> </w:t>
      </w:r>
      <w:r w:rsidR="0000694B">
        <w:t>c</w:t>
      </w:r>
      <w:r w:rsidR="001371BA">
        <w:t xml:space="preserve">an </w:t>
      </w:r>
      <w:r w:rsidR="00CD7880" w:rsidRPr="00CC1ADD">
        <w:t xml:space="preserve">uptake of </w:t>
      </w:r>
      <w:r w:rsidR="001D5779" w:rsidRPr="00CC1ADD">
        <w:t>the HSR</w:t>
      </w:r>
      <w:r w:rsidR="001824D7" w:rsidRPr="00CC1ADD">
        <w:t xml:space="preserve"> System</w:t>
      </w:r>
      <w:r w:rsidR="00CD7880" w:rsidRPr="00CC1ADD">
        <w:t xml:space="preserve"> be </w:t>
      </w:r>
      <w:r w:rsidR="00767B1E">
        <w:t>optimised</w:t>
      </w:r>
      <w:r w:rsidR="00173A82">
        <w:t>;</w:t>
      </w:r>
      <w:r w:rsidR="001371BA">
        <w:t xml:space="preserve"> and should this be done by </w:t>
      </w:r>
      <w:r w:rsidR="001D5779" w:rsidRPr="00CC1ADD">
        <w:t xml:space="preserve">mandating the </w:t>
      </w:r>
      <w:r w:rsidR="00CD7880" w:rsidRPr="00CC1ADD">
        <w:t>S</w:t>
      </w:r>
      <w:r w:rsidR="001D5779" w:rsidRPr="00CC1ADD">
        <w:t xml:space="preserve">ystem or maintaining the voluntary approach? </w:t>
      </w:r>
    </w:p>
    <w:p w14:paraId="1CFCFDFB" w14:textId="77777777" w:rsidR="001D5779" w:rsidRPr="00CC1ADD" w:rsidRDefault="001D5779" w:rsidP="007E3016">
      <w:pPr>
        <w:pStyle w:val="mpcNormal"/>
        <w:keepNext w:val="0"/>
      </w:pPr>
    </w:p>
    <w:p w14:paraId="3BE58F6D" w14:textId="33AA8C5D" w:rsidR="001D5779" w:rsidRPr="00CC1ADD" w:rsidRDefault="001371BA" w:rsidP="007E3016">
      <w:pPr>
        <w:pStyle w:val="mpcNormal"/>
        <w:keepNext w:val="0"/>
      </w:pPr>
      <w:r>
        <w:t>T</w:t>
      </w:r>
      <w:r w:rsidR="001D5779" w:rsidRPr="00CC1ADD">
        <w:t>he Review closely examined the barriers to uptake, incentives for uptake and the evidence regarding the use and distribution of the HSR across products.</w:t>
      </w:r>
      <w:r>
        <w:t xml:space="preserve"> </w:t>
      </w:r>
      <w:r w:rsidR="001D5779" w:rsidRPr="00CC1ADD">
        <w:t>The Review found that:</w:t>
      </w:r>
    </w:p>
    <w:p w14:paraId="70BC1074" w14:textId="77777777" w:rsidR="001D5779" w:rsidRPr="00CC1ADD" w:rsidRDefault="001D5779" w:rsidP="007E3016">
      <w:pPr>
        <w:pStyle w:val="mpcNormal"/>
        <w:keepNext w:val="0"/>
      </w:pPr>
    </w:p>
    <w:p w14:paraId="79D01365" w14:textId="262B1DBA" w:rsidR="001D5779" w:rsidRPr="00CC1ADD" w:rsidRDefault="001D5779" w:rsidP="007E0D2C">
      <w:pPr>
        <w:pStyle w:val="mpcbullets1"/>
      </w:pPr>
      <w:r w:rsidRPr="00CC1ADD">
        <w:t>there is enthusiasm for the HSR System within industry</w:t>
      </w:r>
      <w:r w:rsidR="007C3E73">
        <w:t>,</w:t>
      </w:r>
      <w:r w:rsidRPr="00CC1ADD">
        <w:t xml:space="preserve"> with over 200 manufacturers and retailers </w:t>
      </w:r>
      <w:r w:rsidR="00CA03D9">
        <w:t>having displayed</w:t>
      </w:r>
      <w:r w:rsidRPr="00CC1ADD">
        <w:t xml:space="preserve"> the HSR on their products across Australia and New Zealand</w:t>
      </w:r>
      <w:r w:rsidRPr="00CC1ADD">
        <w:rPr>
          <w:rStyle w:val="FootnoteReference"/>
          <w:sz w:val="22"/>
        </w:rPr>
        <w:footnoteReference w:id="110"/>
      </w:r>
      <w:r w:rsidRPr="00CC1ADD">
        <w:t xml:space="preserve"> and many of these undertaking their own promotion of the System (</w:t>
      </w:r>
      <w:r w:rsidR="004505FF" w:rsidRPr="00CC1ADD">
        <w:t>refer</w:t>
      </w:r>
      <w:r w:rsidRPr="00CC1ADD">
        <w:t xml:space="preserve"> </w:t>
      </w:r>
      <w:r w:rsidRPr="00CC1ADD">
        <w:rPr>
          <w:u w:val="single"/>
        </w:rPr>
        <w:t>Appendix C</w:t>
      </w:r>
      <w:r w:rsidRPr="00CC1ADD">
        <w:t>)</w:t>
      </w:r>
    </w:p>
    <w:p w14:paraId="3E850134" w14:textId="77777777" w:rsidR="001D5779" w:rsidRPr="00CC1ADD" w:rsidRDefault="001D5779" w:rsidP="007E0D2C">
      <w:pPr>
        <w:pStyle w:val="mpcbullets1"/>
      </w:pPr>
      <w:r w:rsidRPr="00CC1ADD">
        <w:t>many major retailers are displaying the HSR on all private label products (with Coles, Woolworths and ALDI accounting for over half of all products participating in the System in Australia)</w:t>
      </w:r>
    </w:p>
    <w:p w14:paraId="0F8BF6F1" w14:textId="357F702D" w:rsidR="001D5779" w:rsidRPr="00CC1ADD" w:rsidRDefault="001D5779" w:rsidP="007E0D2C">
      <w:pPr>
        <w:pStyle w:val="mpcbullets1"/>
      </w:pPr>
      <w:r w:rsidRPr="00CC1ADD">
        <w:t>compliance by those who use the HSR System is high (</w:t>
      </w:r>
      <w:r w:rsidR="00196244" w:rsidRPr="00CC1ADD">
        <w:t>refer</w:t>
      </w:r>
      <w:r w:rsidRPr="00CC1ADD">
        <w:t xml:space="preserve"> Chapter 3)</w:t>
      </w:r>
    </w:p>
    <w:p w14:paraId="078D473B" w14:textId="2F220531" w:rsidR="001D5779" w:rsidRPr="00CC1ADD" w:rsidRDefault="001D5779" w:rsidP="007E0D2C">
      <w:pPr>
        <w:pStyle w:val="mpcbullets1"/>
      </w:pPr>
      <w:r w:rsidRPr="00CC1ADD">
        <w:t>the HSR System is influencing healthy reformulation (</w:t>
      </w:r>
      <w:r w:rsidR="00196244" w:rsidRPr="00CC1ADD">
        <w:t xml:space="preserve">refer </w:t>
      </w:r>
      <w:r w:rsidRPr="00CC1ADD">
        <w:t>Chapter 3).</w:t>
      </w:r>
    </w:p>
    <w:p w14:paraId="51F26771" w14:textId="77777777" w:rsidR="001D5779" w:rsidRPr="00CC1ADD" w:rsidRDefault="001D5779" w:rsidP="007E3016">
      <w:pPr>
        <w:pStyle w:val="mpcNormal"/>
        <w:keepNext w:val="0"/>
      </w:pPr>
    </w:p>
    <w:p w14:paraId="5B773F0E" w14:textId="41F79E96" w:rsidR="001D5779" w:rsidRPr="00CC1ADD" w:rsidRDefault="001D5779" w:rsidP="007E3016">
      <w:pPr>
        <w:pStyle w:val="mpcNormal"/>
        <w:keepNext w:val="0"/>
      </w:pPr>
      <w:r w:rsidRPr="00CC1ADD">
        <w:t xml:space="preserve">Despite this, there </w:t>
      </w:r>
      <w:r w:rsidR="00C36AA4">
        <w:t>is</w:t>
      </w:r>
      <w:r w:rsidR="00C36AA4" w:rsidRPr="00CC1ADD">
        <w:t xml:space="preserve"> </w:t>
      </w:r>
      <w:r w:rsidRPr="00CC1ADD">
        <w:t xml:space="preserve">a significant number of manufacturers choosing not to implement the HSR System. Some of the reasons for not adopting the </w:t>
      </w:r>
      <w:r w:rsidR="001824D7" w:rsidRPr="00CC1ADD">
        <w:t xml:space="preserve">System </w:t>
      </w:r>
      <w:r w:rsidRPr="00CC1ADD">
        <w:t>include:</w:t>
      </w:r>
    </w:p>
    <w:p w14:paraId="08BAD03C" w14:textId="77777777" w:rsidR="001D5779" w:rsidRPr="00CC1ADD" w:rsidRDefault="001D5779" w:rsidP="007E3016">
      <w:pPr>
        <w:pStyle w:val="mpcNormal"/>
        <w:keepNext w:val="0"/>
      </w:pPr>
    </w:p>
    <w:p w14:paraId="68BE07E1" w14:textId="35B68083" w:rsidR="001371BA" w:rsidRDefault="001371BA" w:rsidP="007E0D2C">
      <w:pPr>
        <w:pStyle w:val="mpcbullets1"/>
      </w:pPr>
      <w:r>
        <w:t xml:space="preserve">concern about consumer response to the HSR </w:t>
      </w:r>
      <w:r w:rsidR="00173A82">
        <w:t xml:space="preserve">System </w:t>
      </w:r>
      <w:r>
        <w:t>and public criticism of the System</w:t>
      </w:r>
    </w:p>
    <w:p w14:paraId="01D3409A" w14:textId="3CB1319B" w:rsidR="001D5779" w:rsidRPr="00CC1ADD" w:rsidRDefault="001D5779" w:rsidP="007E0D2C">
      <w:pPr>
        <w:pStyle w:val="mpcbullets1"/>
      </w:pPr>
      <w:r w:rsidRPr="00CC1ADD">
        <w:t xml:space="preserve">concerns about the current treatment of certain products, particularly FFG foods </w:t>
      </w:r>
      <w:r w:rsidR="00CA03D9">
        <w:t>(</w:t>
      </w:r>
      <w:r w:rsidRPr="00CC1ADD">
        <w:t>including dairy products</w:t>
      </w:r>
      <w:r w:rsidR="00711616">
        <w:t>)</w:t>
      </w:r>
      <w:r w:rsidRPr="00CC1ADD">
        <w:t xml:space="preserve"> and non-dairy beverages</w:t>
      </w:r>
    </w:p>
    <w:p w14:paraId="20620D45" w14:textId="14F92B41" w:rsidR="001D5779" w:rsidRPr="00CC1ADD" w:rsidRDefault="001D5779" w:rsidP="007E0D2C">
      <w:pPr>
        <w:pStyle w:val="mpcbullets1"/>
      </w:pPr>
      <w:r w:rsidRPr="00CC1ADD">
        <w:t xml:space="preserve">a lack of certainty regarding </w:t>
      </w:r>
      <w:r w:rsidR="00CA03D9">
        <w:t xml:space="preserve">the </w:t>
      </w:r>
      <w:r w:rsidRPr="00CC1ADD">
        <w:t>‘as prepared’ rules</w:t>
      </w:r>
    </w:p>
    <w:p w14:paraId="66E6CC97" w14:textId="22DA5C65" w:rsidR="00982E43" w:rsidRDefault="001D5779" w:rsidP="007E0D2C">
      <w:pPr>
        <w:pStyle w:val="mpcbullets1"/>
      </w:pPr>
      <w:r w:rsidRPr="00CC1ADD">
        <w:t>a lack of clarity regarding the products on which the HSR should appear</w:t>
      </w:r>
    </w:p>
    <w:p w14:paraId="08512CD4" w14:textId="6199E978" w:rsidR="001D5779" w:rsidRPr="00CC1ADD" w:rsidRDefault="00982E43" w:rsidP="007E0D2C">
      <w:pPr>
        <w:pStyle w:val="mpcbullets1"/>
      </w:pPr>
      <w:r>
        <w:t xml:space="preserve">a reluctance to invest prior to knowing the </w:t>
      </w:r>
      <w:r w:rsidR="001D5779" w:rsidRPr="00CC1ADD">
        <w:t>outcomes of th</w:t>
      </w:r>
      <w:r>
        <w:t xml:space="preserve">is </w:t>
      </w:r>
      <w:r w:rsidR="001D5779" w:rsidRPr="00CC1ADD">
        <w:t>Review.</w:t>
      </w:r>
    </w:p>
    <w:p w14:paraId="2D3188B9" w14:textId="77777777" w:rsidR="001D5779" w:rsidRPr="00CC1ADD" w:rsidRDefault="001D5779" w:rsidP="007E3016">
      <w:pPr>
        <w:pStyle w:val="mpcNormal"/>
        <w:keepNext w:val="0"/>
      </w:pPr>
      <w:r w:rsidRPr="00CC1ADD">
        <w:t xml:space="preserve"> </w:t>
      </w:r>
    </w:p>
    <w:p w14:paraId="417D88CF" w14:textId="471762C5" w:rsidR="001D5779" w:rsidRPr="00CC1ADD" w:rsidRDefault="001371BA" w:rsidP="0017608D">
      <w:pPr>
        <w:pStyle w:val="mpcNormal"/>
        <w:keepNext w:val="0"/>
      </w:pPr>
      <w:r>
        <w:t xml:space="preserve">The </w:t>
      </w:r>
      <w:r w:rsidR="001D5779" w:rsidRPr="00CC1ADD">
        <w:t xml:space="preserve">Review </w:t>
      </w:r>
      <w:r>
        <w:t xml:space="preserve">recommends that rather than mandating the System at this time, the recommended changes should be made to improve confidence in the System and clear uptake targets should be set. This </w:t>
      </w:r>
      <w:r w:rsidR="00554AE9">
        <w:t>build</w:t>
      </w:r>
      <w:r>
        <w:t xml:space="preserve">s </w:t>
      </w:r>
      <w:r w:rsidR="00554AE9">
        <w:t>on the significant investment and goodwill of industry and others</w:t>
      </w:r>
      <w:r>
        <w:t xml:space="preserve"> to-date and is </w:t>
      </w:r>
      <w:r w:rsidR="001D5779" w:rsidRPr="00CC1ADD">
        <w:t>consistent with:</w:t>
      </w:r>
    </w:p>
    <w:p w14:paraId="07F64133" w14:textId="77777777" w:rsidR="001D5779" w:rsidRPr="00CC1ADD" w:rsidRDefault="001D5779" w:rsidP="0017608D">
      <w:pPr>
        <w:pStyle w:val="mpcNormal"/>
        <w:keepNext w:val="0"/>
      </w:pPr>
    </w:p>
    <w:p w14:paraId="0D2FFD66" w14:textId="550287AB" w:rsidR="001D5779" w:rsidRPr="00CC1ADD" w:rsidRDefault="001D5779" w:rsidP="007E0D2C">
      <w:pPr>
        <w:pStyle w:val="mpcbullets1"/>
      </w:pPr>
      <w:r w:rsidRPr="00CC1ADD">
        <w:t>the principles of best practice regulation, which state that</w:t>
      </w:r>
      <w:r w:rsidR="00C36AA4">
        <w:t>:</w:t>
      </w:r>
      <w:r w:rsidRPr="00CC1ADD">
        <w:t xml:space="preserve"> regulation should not be adopted as a default option; the policy option with the greatest net benefit should be adopted; and decisions to regulate should be proportionate, taking into account the need for flexibility and the extent of market failure</w:t>
      </w:r>
    </w:p>
    <w:p w14:paraId="0518EA8E" w14:textId="6CFA26AB" w:rsidR="001D5779" w:rsidRPr="00CC1ADD" w:rsidRDefault="001D5779" w:rsidP="00173A82">
      <w:pPr>
        <w:pStyle w:val="mpcbullets2"/>
      </w:pPr>
      <w:r w:rsidRPr="00CC1ADD">
        <w:t>Applying these principles, the Review considers that the benefits of mandating the System (at this time) do not outweigh the significant disadvantages and costs of doing so</w:t>
      </w:r>
      <w:r w:rsidR="009E50B1" w:rsidRPr="00CC1ADD">
        <w:t>.</w:t>
      </w:r>
    </w:p>
    <w:p w14:paraId="27EAFB6A" w14:textId="68BE7F6A" w:rsidR="001D5779" w:rsidRDefault="001D5779" w:rsidP="007E0D2C">
      <w:pPr>
        <w:pStyle w:val="mpcbullets1"/>
      </w:pPr>
      <w:r w:rsidRPr="00CC1ADD">
        <w:t>international experience</w:t>
      </w:r>
      <w:r w:rsidR="009E50B1" w:rsidRPr="00CC1ADD">
        <w:t xml:space="preserve"> </w:t>
      </w:r>
      <w:r w:rsidRPr="00CC1ADD">
        <w:t>where the majority of interpretive FoPL schemes have been implemented on a voluntary basis</w:t>
      </w:r>
    </w:p>
    <w:p w14:paraId="5E7040D8" w14:textId="1DD74A58" w:rsidR="00405E71" w:rsidRPr="00CC1ADD" w:rsidRDefault="00405E71" w:rsidP="007E0D2C">
      <w:pPr>
        <w:pStyle w:val="mpcbullets1"/>
      </w:pPr>
      <w:r>
        <w:t xml:space="preserve">research (including a recent UK study) </w:t>
      </w:r>
      <w:r w:rsidRPr="00E30D87">
        <w:t>that highlight</w:t>
      </w:r>
      <w:r>
        <w:t>s</w:t>
      </w:r>
      <w:r w:rsidRPr="00E30D87">
        <w:t xml:space="preserve"> the importance </w:t>
      </w:r>
      <w:r>
        <w:t>o</w:t>
      </w:r>
      <w:r w:rsidRPr="00E30D87">
        <w:t>f setting targets and monitoring against these</w:t>
      </w:r>
      <w:r>
        <w:t xml:space="preserve"> to </w:t>
      </w:r>
      <w:r w:rsidRPr="00E30D87">
        <w:t>assess the impact of long-term</w:t>
      </w:r>
      <w:r w:rsidR="0000694B">
        <w:t>,</w:t>
      </w:r>
      <w:r w:rsidRPr="00E30D87">
        <w:t xml:space="preserve"> sustained interventions </w:t>
      </w:r>
      <w:r w:rsidR="0000694B">
        <w:t>tackling</w:t>
      </w:r>
      <w:r w:rsidRPr="00E30D87">
        <w:t xml:space="preserve"> complex issues such as obesity</w:t>
      </w:r>
      <w:r>
        <w:t>.</w:t>
      </w:r>
      <w:r w:rsidRPr="008324C4">
        <w:rPr>
          <w:rFonts w:cs="Calibri (Body)"/>
          <w:vertAlign w:val="superscript"/>
        </w:rPr>
        <w:footnoteReference w:id="111"/>
      </w:r>
      <w:r w:rsidRPr="008324C4">
        <w:rPr>
          <w:rFonts w:cs="Calibri (Body)"/>
          <w:vertAlign w:val="superscript"/>
        </w:rPr>
        <w:t>.</w:t>
      </w:r>
    </w:p>
    <w:p w14:paraId="6CF0AB58" w14:textId="267EA942" w:rsidR="007C3E73" w:rsidRPr="00405E71" w:rsidRDefault="007C3E73" w:rsidP="00376F44">
      <w:pPr>
        <w:pStyle w:val="mpcNormal"/>
        <w:keepNext w:val="0"/>
        <w:rPr>
          <w:b/>
        </w:rPr>
      </w:pPr>
    </w:p>
    <w:tbl>
      <w:tblPr>
        <w:tblStyle w:val="TableGrid"/>
        <w:tblW w:w="0" w:type="auto"/>
        <w:tblLook w:val="04A0" w:firstRow="1" w:lastRow="0" w:firstColumn="1" w:lastColumn="0" w:noHBand="0" w:noVBand="1"/>
        <w:tblCaption w:val="Rec 9"/>
        <w:tblDescription w:val="Recommendation 9:  The HSR System remain voluntary but with clear uptake targets set and all stakeholders working together to drive uptake. If the HSR System continues to perform well but the HSR is not displayed on 70% of target products within five years of a government decision on these recommendations, the HSR System should be mandated."/>
      </w:tblPr>
      <w:tblGrid>
        <w:gridCol w:w="9736"/>
      </w:tblGrid>
      <w:tr w:rsidR="007C3E73" w:rsidRPr="00CC1ADD" w14:paraId="43326C01" w14:textId="77777777" w:rsidTr="00CA03D9">
        <w:trPr>
          <w:trHeight w:val="1490"/>
        </w:trPr>
        <w:tc>
          <w:tcPr>
            <w:tcW w:w="9736" w:type="dxa"/>
            <w:shd w:val="clear" w:color="auto" w:fill="D9E2F3" w:themeFill="accent1" w:themeFillTint="33"/>
            <w:vAlign w:val="center"/>
          </w:tcPr>
          <w:p w14:paraId="05059BB0" w14:textId="5EEABFD2" w:rsidR="00614EF5" w:rsidRPr="00405E71" w:rsidRDefault="00405E71" w:rsidP="00405E71">
            <w:pPr>
              <w:pStyle w:val="mpcNormal"/>
              <w:keepNext w:val="0"/>
              <w:ind w:left="2160" w:hanging="2160"/>
            </w:pPr>
            <w:r w:rsidRPr="00405E71">
              <w:rPr>
                <w:b/>
              </w:rPr>
              <w:t xml:space="preserve">Recommendation </w:t>
            </w:r>
            <w:r w:rsidR="00711616">
              <w:rPr>
                <w:b/>
              </w:rPr>
              <w:t>9</w:t>
            </w:r>
            <w:r w:rsidRPr="00405E71">
              <w:rPr>
                <w:b/>
              </w:rPr>
              <w:t xml:space="preserve">: </w:t>
            </w:r>
            <w:r w:rsidRPr="00405E71">
              <w:rPr>
                <w:b/>
              </w:rPr>
              <w:tab/>
              <w:t xml:space="preserve">The HSR System remain voluntary but with clear uptake </w:t>
            </w:r>
            <w:r w:rsidR="000C2CCD">
              <w:rPr>
                <w:b/>
              </w:rPr>
              <w:t xml:space="preserve">targets set and all stakeholders working together to drive uptake. If the HSR </w:t>
            </w:r>
            <w:r w:rsidR="00711616">
              <w:rPr>
                <w:b/>
              </w:rPr>
              <w:t xml:space="preserve">System </w:t>
            </w:r>
            <w:r w:rsidR="00376F44">
              <w:rPr>
                <w:b/>
              </w:rPr>
              <w:t xml:space="preserve">continues to perform well but the HSR </w:t>
            </w:r>
            <w:r w:rsidR="000C2CCD">
              <w:rPr>
                <w:b/>
              </w:rPr>
              <w:t>is not displayed on 70% of target products within five years of a government decision on these recommendations, the HSR System should be mandated.</w:t>
            </w:r>
          </w:p>
        </w:tc>
      </w:tr>
    </w:tbl>
    <w:p w14:paraId="00663DA1" w14:textId="77777777" w:rsidR="007C3E73" w:rsidRPr="00CC1ADD" w:rsidRDefault="007C3E73" w:rsidP="0017608D">
      <w:pPr>
        <w:pStyle w:val="mpcNormal"/>
        <w:keepNext w:val="0"/>
      </w:pPr>
    </w:p>
    <w:tbl>
      <w:tblPr>
        <w:tblStyle w:val="TableGrid"/>
        <w:tblW w:w="0" w:type="auto"/>
        <w:tblLook w:val="04A0" w:firstRow="1" w:lastRow="0" w:firstColumn="1" w:lastColumn="0" w:noHBand="0" w:noVBand="1"/>
        <w:tblCaption w:val="Rec 10"/>
        <w:tblDescription w:val="Recommendation 10:  The existing Guide for Industry to the HSR Calculator and the HSR System Style Guide be combined, revised and strengthened, providing greater certainty for stakeholders."/>
      </w:tblPr>
      <w:tblGrid>
        <w:gridCol w:w="9736"/>
      </w:tblGrid>
      <w:tr w:rsidR="007C3E73" w:rsidRPr="00CC1ADD" w14:paraId="169C4456" w14:textId="77777777" w:rsidTr="00CA03D9">
        <w:trPr>
          <w:trHeight w:val="990"/>
        </w:trPr>
        <w:tc>
          <w:tcPr>
            <w:tcW w:w="9736" w:type="dxa"/>
            <w:shd w:val="clear" w:color="auto" w:fill="D9E2F3" w:themeFill="accent1" w:themeFillTint="33"/>
            <w:vAlign w:val="center"/>
          </w:tcPr>
          <w:p w14:paraId="04BB0ADC" w14:textId="35D3988C" w:rsidR="007C3E73" w:rsidRPr="00FC088C" w:rsidRDefault="00614EF5" w:rsidP="00FC088C">
            <w:pPr>
              <w:pStyle w:val="mpcNormal"/>
              <w:keepNext w:val="0"/>
              <w:ind w:left="2160" w:hanging="2160"/>
              <w:rPr>
                <w:b/>
              </w:rPr>
            </w:pPr>
            <w:r w:rsidRPr="00953915">
              <w:rPr>
                <w:b/>
              </w:rPr>
              <w:t xml:space="preserve">Recommendation </w:t>
            </w:r>
            <w:r w:rsidR="00711616">
              <w:rPr>
                <w:b/>
              </w:rPr>
              <w:t>10</w:t>
            </w:r>
            <w:r w:rsidRPr="00953915">
              <w:rPr>
                <w:b/>
              </w:rPr>
              <w:t xml:space="preserve">: </w:t>
            </w:r>
            <w:r w:rsidRPr="00953915">
              <w:rPr>
                <w:b/>
              </w:rPr>
              <w:tab/>
              <w:t xml:space="preserve">The existing </w:t>
            </w:r>
            <w:r w:rsidRPr="008C6958">
              <w:rPr>
                <w:b/>
                <w:i/>
              </w:rPr>
              <w:t>Guide for Industry to the HSR Calculator</w:t>
            </w:r>
            <w:r w:rsidRPr="00953915">
              <w:rPr>
                <w:b/>
              </w:rPr>
              <w:t xml:space="preserve"> and the </w:t>
            </w:r>
            <w:r w:rsidRPr="008C6958">
              <w:rPr>
                <w:b/>
                <w:i/>
              </w:rPr>
              <w:t>HSR System Style Guide</w:t>
            </w:r>
            <w:r w:rsidRPr="00953915">
              <w:rPr>
                <w:b/>
              </w:rPr>
              <w:t xml:space="preserve"> be combined, revised and strengthened, providing greater certainty for stakeholders.</w:t>
            </w:r>
          </w:p>
        </w:tc>
      </w:tr>
    </w:tbl>
    <w:p w14:paraId="3180FEDE" w14:textId="77777777" w:rsidR="00614EF5" w:rsidRPr="00CC1ADD" w:rsidRDefault="00614EF5" w:rsidP="00FC088C">
      <w:pPr>
        <w:pStyle w:val="mpcNormal"/>
        <w:keepNext w:val="0"/>
      </w:pPr>
    </w:p>
    <w:p w14:paraId="68A4C808" w14:textId="352453F9" w:rsidR="001D5779" w:rsidRPr="00CC1ADD" w:rsidRDefault="001D5779">
      <w:pPr>
        <w:pStyle w:val="mpcheading2"/>
        <w:rPr>
          <w:lang w:eastAsia="en-GB"/>
        </w:rPr>
      </w:pPr>
      <w:bookmarkStart w:id="137" w:name="Regulation"/>
      <w:bookmarkStart w:id="138" w:name="_Toc9955069"/>
      <w:bookmarkEnd w:id="137"/>
      <w:r w:rsidRPr="00CC1ADD">
        <w:rPr>
          <w:lang w:eastAsia="en-GB"/>
        </w:rPr>
        <w:t>Best practice regulation</w:t>
      </w:r>
      <w:bookmarkEnd w:id="138"/>
      <w:r w:rsidRPr="00CC1ADD">
        <w:rPr>
          <w:lang w:eastAsia="en-GB"/>
        </w:rPr>
        <w:t xml:space="preserve"> </w:t>
      </w:r>
    </w:p>
    <w:p w14:paraId="0F036A54" w14:textId="65DD96E4" w:rsidR="001D5779" w:rsidRPr="00CC1ADD" w:rsidRDefault="001D5779" w:rsidP="00FC088C">
      <w:pPr>
        <w:pStyle w:val="mpcNormal"/>
        <w:keepNext w:val="0"/>
      </w:pPr>
      <w:r w:rsidRPr="00CC1ADD">
        <w:t xml:space="preserve">In determining whether to </w:t>
      </w:r>
      <w:r w:rsidR="009E50B1" w:rsidRPr="00CC1ADD">
        <w:t xml:space="preserve">recommend </w:t>
      </w:r>
      <w:r w:rsidRPr="00CC1ADD">
        <w:t>mandat</w:t>
      </w:r>
      <w:r w:rsidR="009E50B1" w:rsidRPr="00CC1ADD">
        <w:t>ing</w:t>
      </w:r>
      <w:r w:rsidRPr="00CC1ADD">
        <w:t xml:space="preserve"> the HSR System, the Review applied the principles of best practice regulation.</w:t>
      </w:r>
    </w:p>
    <w:p w14:paraId="1112CEC4" w14:textId="77777777" w:rsidR="001D5779" w:rsidRPr="00CC1ADD" w:rsidRDefault="001D5779" w:rsidP="00FC088C">
      <w:pPr>
        <w:pStyle w:val="mpcNormal"/>
        <w:keepNext w:val="0"/>
      </w:pPr>
    </w:p>
    <w:p w14:paraId="1992FC2A" w14:textId="559CFF3E" w:rsidR="001D5779" w:rsidRPr="00CC1ADD" w:rsidRDefault="001D5779" w:rsidP="00FC088C">
      <w:pPr>
        <w:pStyle w:val="mpcNormal"/>
        <w:keepNext w:val="0"/>
      </w:pPr>
      <w:r w:rsidRPr="00CC1ADD">
        <w:t>The</w:t>
      </w:r>
      <w:r w:rsidR="00D8013B">
        <w:t xml:space="preserve"> Organisation for Economic Co-operation and Development (</w:t>
      </w:r>
      <w:r w:rsidRPr="00CC1ADD">
        <w:t>OECD</w:t>
      </w:r>
      <w:r w:rsidR="00D8013B">
        <w:t>)</w:t>
      </w:r>
      <w:r w:rsidRPr="00CC1ADD">
        <w:t xml:space="preserve">, </w:t>
      </w:r>
      <w:r w:rsidR="00C36AA4">
        <w:t xml:space="preserve">the </w:t>
      </w:r>
      <w:r w:rsidRPr="00CC1ADD">
        <w:t xml:space="preserve">Australian Government, </w:t>
      </w:r>
      <w:r w:rsidR="00C36AA4">
        <w:t xml:space="preserve">the </w:t>
      </w:r>
      <w:r w:rsidRPr="00CC1ADD">
        <w:t>New Zealand Government and a number of State and Territory governments have published guides to best practice regulation, detailing matters to be taken into account when determining how to implement public policy measures (via regulation or otherwise). For example:</w:t>
      </w:r>
    </w:p>
    <w:p w14:paraId="36E08B42" w14:textId="77777777" w:rsidR="001D5779" w:rsidRPr="00CC1ADD" w:rsidRDefault="001D5779" w:rsidP="00FC088C">
      <w:pPr>
        <w:pStyle w:val="mpcNormal"/>
        <w:keepNext w:val="0"/>
      </w:pPr>
    </w:p>
    <w:p w14:paraId="5F4B3F10" w14:textId="53C638A1" w:rsidR="001D5779" w:rsidRPr="00CC1ADD" w:rsidRDefault="001D5779" w:rsidP="007E0D2C">
      <w:pPr>
        <w:pStyle w:val="mpcbullets1"/>
      </w:pPr>
      <w:r w:rsidRPr="00CC1ADD">
        <w:t xml:space="preserve">The </w:t>
      </w:r>
      <w:hyperlink r:id="rId92" w:history="1">
        <w:r w:rsidRPr="00CC1ADD">
          <w:rPr>
            <w:rStyle w:val="Hyperlink"/>
          </w:rPr>
          <w:t>Australian Government Guide to Regulation</w:t>
        </w:r>
      </w:hyperlink>
      <w:r w:rsidRPr="007C3E73">
        <w:rPr>
          <w:rStyle w:val="FootnoteReference"/>
          <w:sz w:val="22"/>
        </w:rPr>
        <w:footnoteReference w:id="112"/>
      </w:r>
      <w:r w:rsidRPr="007C3E73">
        <w:t xml:space="preserve"> </w:t>
      </w:r>
      <w:r w:rsidRPr="00CC1ADD">
        <w:t>describes 10 principles for Australian Government policy makers, including the requirement that regulation is not the default option for policy makers. Rather, the policy intervention offering the greatest net benefit should always be the recommended option. The Guide also urges policy makers to consider the problem to be solved, why government action is needed and the likely net benefit of various options.</w:t>
      </w:r>
    </w:p>
    <w:p w14:paraId="76774AD5" w14:textId="77777777" w:rsidR="00954492" w:rsidRPr="00CC1ADD" w:rsidRDefault="00954492" w:rsidP="00FC088C">
      <w:pPr>
        <w:pStyle w:val="mpcNormal"/>
        <w:keepNext w:val="0"/>
      </w:pPr>
    </w:p>
    <w:p w14:paraId="14FD02B2" w14:textId="597EBF1E" w:rsidR="001D5779" w:rsidRPr="00CC1ADD" w:rsidRDefault="001D5779" w:rsidP="007E0D2C">
      <w:pPr>
        <w:pStyle w:val="mpcbullets1"/>
      </w:pPr>
      <w:r w:rsidRPr="00CC1ADD">
        <w:t xml:space="preserve">The </w:t>
      </w:r>
      <w:hyperlink r:id="rId93" w:history="1">
        <w:r w:rsidRPr="00CC1ADD">
          <w:rPr>
            <w:rStyle w:val="Hyperlink"/>
          </w:rPr>
          <w:t>NSW Government’s Guide to Better Regulation</w:t>
        </w:r>
      </w:hyperlink>
      <w:r w:rsidRPr="00CC1ADD">
        <w:rPr>
          <w:rStyle w:val="FootnoteReference"/>
          <w:sz w:val="22"/>
        </w:rPr>
        <w:footnoteReference w:id="113"/>
      </w:r>
      <w:r w:rsidRPr="00CC1ADD">
        <w:t xml:space="preserve"> articulates the characteristics of good regulation and the desirability of minimising red-tape through seven better regulation principles (broadly consistent with those of the Australian Government). The principles focus on encouraging non-regulatory approaches and ensuring that the need for government action is clearly established, effective and proportional.</w:t>
      </w:r>
    </w:p>
    <w:p w14:paraId="6E76D7E8" w14:textId="77777777" w:rsidR="00954492" w:rsidRPr="00CC1ADD" w:rsidRDefault="00954492" w:rsidP="000779B8">
      <w:pPr>
        <w:pStyle w:val="mpcNormal"/>
        <w:keepNext w:val="0"/>
      </w:pPr>
    </w:p>
    <w:p w14:paraId="13B24966" w14:textId="7417044E" w:rsidR="001D5779" w:rsidRPr="00CC1ADD" w:rsidRDefault="001D5779" w:rsidP="007E0D2C">
      <w:pPr>
        <w:pStyle w:val="mpcbullets1"/>
      </w:pPr>
      <w:r w:rsidRPr="00CC1ADD">
        <w:t xml:space="preserve">The New Zealand Government has published </w:t>
      </w:r>
      <w:hyperlink r:id="rId94" w:history="1">
        <w:r w:rsidRPr="00CC1ADD">
          <w:rPr>
            <w:rStyle w:val="Hyperlink"/>
          </w:rPr>
          <w:t>Government Expectations for Good Regulatory Practice</w:t>
        </w:r>
      </w:hyperlink>
      <w:r w:rsidRPr="00CC1ADD">
        <w:rPr>
          <w:rStyle w:val="FootnoteReference"/>
          <w:sz w:val="22"/>
        </w:rPr>
        <w:footnoteReference w:id="114"/>
      </w:r>
      <w:r w:rsidRPr="00CC1ADD">
        <w:t>,</w:t>
      </w:r>
      <w:r w:rsidRPr="00CC1ADD">
        <w:rPr>
          <w:i/>
        </w:rPr>
        <w:t xml:space="preserve">  </w:t>
      </w:r>
      <w:r w:rsidRPr="00CC1ADD">
        <w:t>which details the Government’s expectations for the design of regulatory systems. It includes the expectation that clear policy objectives should be achieved in the least costly way and with the least adverse impact on market competition, property rights and individual autonomy and responsibility. It also encourages predictability, flexibility and capacity to evolve in response to changing circumstances.</w:t>
      </w:r>
    </w:p>
    <w:p w14:paraId="320D1A46" w14:textId="77777777" w:rsidR="00954492" w:rsidRPr="00CC1ADD" w:rsidRDefault="00954492" w:rsidP="000779B8">
      <w:pPr>
        <w:pStyle w:val="mpcNormal"/>
        <w:keepNext w:val="0"/>
      </w:pPr>
    </w:p>
    <w:p w14:paraId="2C994D4A" w14:textId="6CAC3BE3" w:rsidR="001D5779" w:rsidRPr="00CC1ADD" w:rsidRDefault="001D5779" w:rsidP="007E0D2C">
      <w:pPr>
        <w:pStyle w:val="mpcbullets1"/>
      </w:pPr>
      <w:r w:rsidRPr="00CC1ADD">
        <w:t xml:space="preserve">The OECD has adopted the </w:t>
      </w:r>
      <w:hyperlink r:id="rId95" w:history="1">
        <w:r w:rsidRPr="00CC1ADD">
          <w:rPr>
            <w:rStyle w:val="Hyperlink"/>
          </w:rPr>
          <w:t>Recommendation of the Council on Regulatory Policy and Governance</w:t>
        </w:r>
      </w:hyperlink>
      <w:r w:rsidRPr="00CC1ADD">
        <w:rPr>
          <w:rStyle w:val="FootnoteReference"/>
          <w:sz w:val="22"/>
        </w:rPr>
        <w:footnoteReference w:id="115"/>
      </w:r>
      <w:r w:rsidR="007C3E73">
        <w:t xml:space="preserve">, </w:t>
      </w:r>
      <w:r w:rsidRPr="00CC1ADD">
        <w:t>which sets out the measures that governments should take to support the implementation and advancement of systemic regulatory reform. This guide assists governments to deliver regulation that will meet public policy objectives and have a positive economic and societal impact.</w:t>
      </w:r>
    </w:p>
    <w:p w14:paraId="1036ED3F" w14:textId="77777777" w:rsidR="001D5779" w:rsidRPr="00CC1ADD" w:rsidRDefault="001D5779" w:rsidP="000779B8">
      <w:pPr>
        <w:pStyle w:val="mpcNormal"/>
        <w:keepNext w:val="0"/>
      </w:pPr>
    </w:p>
    <w:p w14:paraId="263849CD" w14:textId="77777777" w:rsidR="001D5779" w:rsidRPr="00CC1ADD" w:rsidRDefault="001D5779" w:rsidP="000779B8">
      <w:pPr>
        <w:pStyle w:val="mpcNormal"/>
        <w:keepNext w:val="0"/>
      </w:pPr>
      <w:r w:rsidRPr="00CC1ADD">
        <w:t>Drawing on the above principles, the Review considers that:</w:t>
      </w:r>
    </w:p>
    <w:p w14:paraId="587414FD" w14:textId="77777777" w:rsidR="001D5779" w:rsidRPr="00CC1ADD" w:rsidRDefault="001D5779" w:rsidP="000779B8">
      <w:pPr>
        <w:pStyle w:val="mpcNormal"/>
        <w:keepNext w:val="0"/>
      </w:pPr>
    </w:p>
    <w:p w14:paraId="433035C3" w14:textId="189DA856" w:rsidR="00554AE9" w:rsidRDefault="00554AE9" w:rsidP="007E0D2C">
      <w:pPr>
        <w:pStyle w:val="mpcbullets1"/>
      </w:pPr>
      <w:r w:rsidRPr="00CC1ADD">
        <w:t xml:space="preserve">there has been a lack of certainty about whether the HSR System will continue and a number of manufacturers have delayed implementing the System in anticipation of the outcomes of the Review. By clarifying that the HSR System is to be retained, uncertainty is removed, such that industry can invest in its implementation </w:t>
      </w:r>
    </w:p>
    <w:p w14:paraId="08B00152" w14:textId="77777777" w:rsidR="00954492" w:rsidRPr="00CC1ADD" w:rsidRDefault="00954492" w:rsidP="000779B8">
      <w:pPr>
        <w:pStyle w:val="mpcNormal"/>
        <w:keepNext w:val="0"/>
      </w:pPr>
    </w:p>
    <w:p w14:paraId="427F03C0" w14:textId="239AA9C8" w:rsidR="001D5779" w:rsidRPr="00CC1ADD" w:rsidRDefault="001D5779" w:rsidP="007E0D2C">
      <w:pPr>
        <w:pStyle w:val="mpcbullets1"/>
      </w:pPr>
      <w:r w:rsidRPr="00CC1ADD">
        <w:t>mandating the HSR System via the Cod</w:t>
      </w:r>
      <w:r w:rsidR="00A35EB9">
        <w:t>e</w:t>
      </w:r>
      <w:r w:rsidRPr="00CC1ADD">
        <w:t xml:space="preserve"> would not provide the greatest net benefit if a similar outcome can otherwise be achieved, as significant costs would be associated with:</w:t>
      </w:r>
    </w:p>
    <w:p w14:paraId="1DBFAAAE" w14:textId="68E07212" w:rsidR="001D5779" w:rsidRPr="00CC1ADD" w:rsidRDefault="001D5779" w:rsidP="00173A82">
      <w:pPr>
        <w:pStyle w:val="mpcbullets2"/>
      </w:pPr>
      <w:r w:rsidRPr="00CC1ADD">
        <w:t xml:space="preserve">making changes to the Code to mandate the HSR System. Changes to the Code </w:t>
      </w:r>
      <w:r w:rsidR="00376F44">
        <w:t xml:space="preserve">would likely take a minimum of </w:t>
      </w:r>
      <w:r w:rsidRPr="00CC1ADD">
        <w:t>two to three years and involve an eight-step process, including: raising a proposal; public notification of the proposal; initial assessment and one round of consultation; assessment and drafting of the new standards; further consultation; approval by the FSANZ Board; referral to, and consideration by, the Forum and possible further review before finalisation of the standard in law</w:t>
      </w:r>
    </w:p>
    <w:p w14:paraId="5D038517" w14:textId="77777777" w:rsidR="001D5779" w:rsidRPr="00CC1ADD" w:rsidRDefault="001D5779" w:rsidP="00173A82">
      <w:pPr>
        <w:pStyle w:val="mpcbullets2"/>
      </w:pPr>
      <w:r w:rsidRPr="00CC1ADD">
        <w:t>requiring industry to implement the HSR on all products within a defined period</w:t>
      </w:r>
    </w:p>
    <w:p w14:paraId="6B159FD1" w14:textId="77777777" w:rsidR="001D5779" w:rsidRPr="00CC1ADD" w:rsidRDefault="001D5779" w:rsidP="00173A82">
      <w:pPr>
        <w:pStyle w:val="mpcbullets2"/>
      </w:pPr>
      <w:r w:rsidRPr="00CC1ADD">
        <w:t>each jurisdiction monitoring and enforcing compliance with the law</w:t>
      </w:r>
    </w:p>
    <w:p w14:paraId="37A0F44F" w14:textId="46FDD9B1" w:rsidR="001D5779" w:rsidRPr="00CC1ADD" w:rsidRDefault="001D5779" w:rsidP="00173A82">
      <w:pPr>
        <w:pStyle w:val="mpcbullets2"/>
      </w:pPr>
      <w:r w:rsidRPr="00CC1ADD">
        <w:t>ongoing administrative costs to industry associated with demonstrating compliance</w:t>
      </w:r>
    </w:p>
    <w:p w14:paraId="75858EC1" w14:textId="77777777" w:rsidR="00954492" w:rsidRPr="00CC1ADD" w:rsidRDefault="00954492" w:rsidP="000779B8">
      <w:pPr>
        <w:pStyle w:val="mpcNormal"/>
        <w:keepNext w:val="0"/>
      </w:pPr>
    </w:p>
    <w:p w14:paraId="2C10348C" w14:textId="6033F288" w:rsidR="001D5779" w:rsidRPr="00CC1ADD" w:rsidRDefault="001D5779" w:rsidP="007E0D2C">
      <w:pPr>
        <w:pStyle w:val="mpcbullets1"/>
      </w:pPr>
      <w:r w:rsidRPr="00CC1ADD">
        <w:t>flexibility</w:t>
      </w:r>
      <w:r w:rsidRPr="00CC1ADD">
        <w:rPr>
          <w:b/>
          <w:i/>
        </w:rPr>
        <w:t xml:space="preserve"> </w:t>
      </w:r>
      <w:r w:rsidRPr="00CC1ADD">
        <w:t xml:space="preserve">and responsiveness are strengths of the current voluntary </w:t>
      </w:r>
      <w:r w:rsidR="00BF11EE">
        <w:t>approach</w:t>
      </w:r>
      <w:r w:rsidR="00BF11EE" w:rsidRPr="00CC1ADD">
        <w:t xml:space="preserve"> </w:t>
      </w:r>
      <w:r w:rsidRPr="00CC1ADD">
        <w:t xml:space="preserve">that would be lost if the HSR System were mandated under the Code </w:t>
      </w:r>
    </w:p>
    <w:p w14:paraId="04BC9E54" w14:textId="53AC3BE3" w:rsidR="001D5779" w:rsidRPr="00CC1ADD" w:rsidRDefault="001D5779" w:rsidP="00173A82">
      <w:pPr>
        <w:pStyle w:val="mpcbullets2"/>
      </w:pPr>
      <w:r w:rsidRPr="00CC1ADD">
        <w:t>The food supply is constantly changing, as are consumer expectations, dietary recommendations and the nutritional profile of foods. Within this context, it is critical that there is a timely mechanism for considering anomalies, providing technical advice and adjusting guidance materials</w:t>
      </w:r>
      <w:r w:rsidR="00D8013B">
        <w:t>.</w:t>
      </w:r>
    </w:p>
    <w:p w14:paraId="5312AA39" w14:textId="77777777" w:rsidR="001D5779" w:rsidRPr="00CC1ADD" w:rsidRDefault="001D5779" w:rsidP="00173A82">
      <w:pPr>
        <w:pStyle w:val="mpcbullets2"/>
      </w:pPr>
      <w:r w:rsidRPr="00CC1ADD">
        <w:t>Anomalies are considered by a bi-national, cross-sectoral committee, with outcomes communicated directly to manufacturers and associated adjustments made to guidance material available online. While the Review has made suggestions for improving this approach, it is a broadly effective mechanism for achieving transparent and consistent outcomes, while retaining flexibility and minimising bureaucratic process.</w:t>
      </w:r>
    </w:p>
    <w:p w14:paraId="0E191EE8" w14:textId="1FC27A86" w:rsidR="001D5779" w:rsidRPr="00CC1ADD" w:rsidRDefault="001D5779" w:rsidP="00173A82">
      <w:pPr>
        <w:pStyle w:val="mpcbullets2"/>
      </w:pPr>
      <w:r w:rsidRPr="00CC1ADD">
        <w:t>If the HSR System were to be mandated under the Code, responsibility for provision of advice, monitoring and enforcement would rest with 10 jurisdictions. While bi-national bodies exist to resolve national issues and encourage consistency (including ISFR, FRSC and the Forum), these bodies also deal with pressing food safety issues and are unlikely to prioritise the resolution of FoPL anomalies.</w:t>
      </w:r>
    </w:p>
    <w:p w14:paraId="02E33CA0" w14:textId="77777777" w:rsidR="00954492" w:rsidRPr="00CC1ADD" w:rsidRDefault="00954492" w:rsidP="000779B8">
      <w:pPr>
        <w:pStyle w:val="mpcNormal"/>
        <w:keepNext w:val="0"/>
      </w:pPr>
    </w:p>
    <w:p w14:paraId="076EFBF4" w14:textId="77777777" w:rsidR="001D5779" w:rsidRPr="00CC1ADD" w:rsidRDefault="001D5779" w:rsidP="00676537">
      <w:pPr>
        <w:pStyle w:val="mpcbullets1"/>
      </w:pPr>
      <w:r w:rsidRPr="00CC1ADD">
        <w:t>there is little evidence that mandating the System is necessary to sanction widespread poor performance or address persistent non-compliance.</w:t>
      </w:r>
    </w:p>
    <w:p w14:paraId="47C467BA" w14:textId="6ED61C7E" w:rsidR="001D5779" w:rsidRPr="00CC1ADD" w:rsidRDefault="001D5779" w:rsidP="00676537">
      <w:pPr>
        <w:pStyle w:val="mpcbullets2"/>
        <w:keepNext/>
      </w:pPr>
      <w:r w:rsidRPr="00CC1ADD">
        <w:t>As detailed in Chapter 3, monitoring in Australia indicates that compliance with the Style Guide was at 9</w:t>
      </w:r>
      <w:r w:rsidR="00A507BC">
        <w:t>6</w:t>
      </w:r>
      <w:r w:rsidRPr="00CC1ADD">
        <w:t>% in 2018</w:t>
      </w:r>
      <w:r w:rsidR="00A507BC">
        <w:t xml:space="preserve">. Across the four years since implementation, </w:t>
      </w:r>
      <w:r w:rsidRPr="00CC1ADD">
        <w:t xml:space="preserve">compliance with the HSR Calculator </w:t>
      </w:r>
      <w:r w:rsidR="00A507BC">
        <w:t>has averaged more than 94% and wh</w:t>
      </w:r>
      <w:r w:rsidRPr="00CC1ADD">
        <w:t>ere there were inconsistencies, the manufacturer has generally understated rather than overstated the product’s HSR.</w:t>
      </w:r>
      <w:r w:rsidRPr="00CC1ADD">
        <w:rPr>
          <w:rFonts w:cs="Arial (Body CS)"/>
          <w:vertAlign w:val="superscript"/>
        </w:rPr>
        <w:footnoteReference w:id="116"/>
      </w:r>
    </w:p>
    <w:p w14:paraId="54CC2B3A" w14:textId="77777777" w:rsidR="001D5779" w:rsidRPr="00CC1ADD" w:rsidRDefault="001D5779" w:rsidP="000779B8">
      <w:pPr>
        <w:pStyle w:val="mpcNormal"/>
        <w:keepNext w:val="0"/>
      </w:pPr>
    </w:p>
    <w:p w14:paraId="37A3360C" w14:textId="6AFA764A" w:rsidR="001D5779" w:rsidRPr="00CC1ADD" w:rsidRDefault="001D5779" w:rsidP="000779B8">
      <w:pPr>
        <w:pStyle w:val="mpcNormal"/>
        <w:keepNext w:val="0"/>
      </w:pPr>
      <w:r w:rsidRPr="00CC1ADD">
        <w:t xml:space="preserve">The changes to governance arrangements described in Chapter 6 provide mechanisms for greater transparency, for anomalies to be resolved and actions to be taken in the event of non-compliance, without needing to mandate the </w:t>
      </w:r>
      <w:r w:rsidR="00D8013B">
        <w:t xml:space="preserve">HSR </w:t>
      </w:r>
      <w:r w:rsidRPr="00CC1ADD">
        <w:t>System.</w:t>
      </w:r>
    </w:p>
    <w:p w14:paraId="0B5D4C5E" w14:textId="77777777" w:rsidR="001D5779" w:rsidRPr="00CC1ADD" w:rsidRDefault="001D5779" w:rsidP="000779B8">
      <w:pPr>
        <w:pStyle w:val="mpcNormal"/>
        <w:keepNext w:val="0"/>
      </w:pPr>
    </w:p>
    <w:p w14:paraId="15477C1B" w14:textId="77AC13ED" w:rsidR="001D5779" w:rsidRPr="00CC1ADD" w:rsidRDefault="001D5779">
      <w:pPr>
        <w:pStyle w:val="mpcheading2"/>
        <w:rPr>
          <w:lang w:eastAsia="en-GB"/>
        </w:rPr>
      </w:pPr>
      <w:bookmarkStart w:id="139" w:name="International"/>
      <w:bookmarkStart w:id="140" w:name="_Toc9955070"/>
      <w:bookmarkEnd w:id="139"/>
      <w:r w:rsidRPr="00CC1ADD">
        <w:rPr>
          <w:lang w:eastAsia="en-GB"/>
        </w:rPr>
        <w:t>International experience and trade implications</w:t>
      </w:r>
      <w:bookmarkEnd w:id="140"/>
    </w:p>
    <w:p w14:paraId="6DCE8EB2" w14:textId="3A87DEC6" w:rsidR="001D5779" w:rsidRPr="00CC1ADD" w:rsidRDefault="001D5779" w:rsidP="000779B8">
      <w:pPr>
        <w:pStyle w:val="mpcNormal"/>
        <w:keepNext w:val="0"/>
      </w:pPr>
      <w:r w:rsidRPr="00CC1ADD">
        <w:t xml:space="preserve">Interpretive FoPL </w:t>
      </w:r>
      <w:r w:rsidR="00BF11EE">
        <w:t>schemes</w:t>
      </w:r>
      <w:r w:rsidR="00BF11EE" w:rsidRPr="00CC1ADD">
        <w:t xml:space="preserve"> </w:t>
      </w:r>
      <w:r w:rsidRPr="00CC1ADD">
        <w:t>are continuing to be implemented internationally. The majority of these have been implemented on a voluntary basis</w:t>
      </w:r>
      <w:r w:rsidR="00A507BC">
        <w:t>.</w:t>
      </w:r>
    </w:p>
    <w:p w14:paraId="284534A2" w14:textId="77777777" w:rsidR="001D5779" w:rsidRPr="00CC1ADD" w:rsidRDefault="001D5779" w:rsidP="000779B8">
      <w:pPr>
        <w:pStyle w:val="mpcNormal"/>
        <w:keepNext w:val="0"/>
      </w:pPr>
    </w:p>
    <w:p w14:paraId="0200E8F9" w14:textId="0D5A3BF2" w:rsidR="001D5779" w:rsidRPr="00CC1ADD" w:rsidRDefault="001D5779" w:rsidP="000779B8">
      <w:pPr>
        <w:pStyle w:val="mpcNormal"/>
      </w:pPr>
      <w:r w:rsidRPr="00CC1ADD">
        <w:t xml:space="preserve">In 2016-17, </w:t>
      </w:r>
      <w:r w:rsidR="00A648C4" w:rsidRPr="00CC1ADD">
        <w:t xml:space="preserve">the </w:t>
      </w:r>
      <w:r w:rsidRPr="00CC1ADD">
        <w:t xml:space="preserve">Codex Committee on Food Labelling undertook a stocktake of FoPL </w:t>
      </w:r>
      <w:r w:rsidR="00C36AA4">
        <w:t>schemes</w:t>
      </w:r>
      <w:r w:rsidR="00C36AA4" w:rsidRPr="00CC1ADD">
        <w:t xml:space="preserve"> </w:t>
      </w:r>
      <w:r w:rsidRPr="00CC1ADD">
        <w:t xml:space="preserve">and developed two detailed discussion papers on key issues relevant to the implementation of FoPL </w:t>
      </w:r>
      <w:r w:rsidR="00C36AA4">
        <w:t>schemes</w:t>
      </w:r>
      <w:r w:rsidR="00A507BC">
        <w:t>:</w:t>
      </w:r>
    </w:p>
    <w:p w14:paraId="36D1E3FD" w14:textId="77777777" w:rsidR="00954492" w:rsidRPr="00CC1ADD" w:rsidRDefault="00954492" w:rsidP="000779B8">
      <w:pPr>
        <w:pStyle w:val="mpcNormal"/>
      </w:pPr>
    </w:p>
    <w:p w14:paraId="1C2E582C" w14:textId="544515A1" w:rsidR="00A507BC" w:rsidRDefault="001D5779" w:rsidP="007E0D2C">
      <w:pPr>
        <w:pStyle w:val="mpcbullets1"/>
      </w:pPr>
      <w:r w:rsidRPr="00CC1ADD">
        <w:t xml:space="preserve">37 member countries responded to the first discussion paper in 2016, identifying 16 different FoPL </w:t>
      </w:r>
      <w:r w:rsidR="00C36AA4">
        <w:t>schemes</w:t>
      </w:r>
      <w:r w:rsidR="00C36AA4" w:rsidRPr="00CC1ADD">
        <w:t xml:space="preserve"> </w:t>
      </w:r>
      <w:r w:rsidRPr="00CC1ADD">
        <w:t xml:space="preserve">that had been implemented across 23 countries. Of these, 10 were interpretative </w:t>
      </w:r>
      <w:r w:rsidR="00C36AA4">
        <w:t>schemes</w:t>
      </w:r>
      <w:r w:rsidR="00C36AA4" w:rsidRPr="00CC1ADD">
        <w:t xml:space="preserve"> </w:t>
      </w:r>
      <w:r w:rsidRPr="00CC1ADD">
        <w:t xml:space="preserve">(such as the HSR System) </w:t>
      </w:r>
      <w:r w:rsidR="00C36AA4">
        <w:t>that</w:t>
      </w:r>
      <w:r w:rsidR="00C36AA4" w:rsidRPr="00CC1ADD">
        <w:t xml:space="preserve"> </w:t>
      </w:r>
      <w:r w:rsidRPr="00CC1ADD">
        <w:t xml:space="preserve">include symbols, colour codes and/or graphic representations that facilitate interpretation by the consumer and six were informative </w:t>
      </w:r>
      <w:r w:rsidR="00BF11EE">
        <w:t>schemes</w:t>
      </w:r>
      <w:r w:rsidRPr="00CC1ADD">
        <w:t xml:space="preserve">. </w:t>
      </w:r>
    </w:p>
    <w:p w14:paraId="0C68B753" w14:textId="3DBE45D6" w:rsidR="00F851BC" w:rsidRDefault="001D5779" w:rsidP="007E0D2C">
      <w:pPr>
        <w:pStyle w:val="mpcbullets1"/>
      </w:pPr>
      <w:r w:rsidRPr="00CC1ADD">
        <w:t xml:space="preserve">17 of the member countries reported having implemented FoPL </w:t>
      </w:r>
      <w:r w:rsidR="00C36AA4">
        <w:t>schemes</w:t>
      </w:r>
      <w:r w:rsidR="00C36AA4" w:rsidRPr="00CC1ADD">
        <w:t xml:space="preserve"> </w:t>
      </w:r>
      <w:r w:rsidRPr="00CC1ADD">
        <w:t xml:space="preserve">on a voluntary basis, four on a mandatory basis, with another two countries having implemented voluntary and mandatory FoPL </w:t>
      </w:r>
      <w:r w:rsidR="00C36AA4">
        <w:t>schemes</w:t>
      </w:r>
      <w:r w:rsidRPr="00CC1ADD">
        <w:t>.</w:t>
      </w:r>
      <w:r w:rsidRPr="00CC1ADD">
        <w:rPr>
          <w:rStyle w:val="FootnoteReference"/>
          <w:sz w:val="22"/>
        </w:rPr>
        <w:footnoteReference w:id="117"/>
      </w:r>
      <w:r w:rsidR="00A507BC">
        <w:t xml:space="preserve"> </w:t>
      </w:r>
    </w:p>
    <w:p w14:paraId="1173C70A" w14:textId="5BB2D2E7" w:rsidR="001D5779" w:rsidRPr="00CC1ADD" w:rsidRDefault="001D5779" w:rsidP="00173A82">
      <w:pPr>
        <w:pStyle w:val="mpcbullets2"/>
      </w:pPr>
      <w:r w:rsidRPr="00CC1ADD">
        <w:t xml:space="preserve">For example, the UK has developed a voluntary traffic light </w:t>
      </w:r>
      <w:r w:rsidR="008026E3">
        <w:t xml:space="preserve">labelling </w:t>
      </w:r>
      <w:r w:rsidRPr="00CC1ADD">
        <w:t xml:space="preserve">scheme and the French Government has implemented the voluntary colour-coded scheme, Nutri-Score.  </w:t>
      </w:r>
    </w:p>
    <w:p w14:paraId="21A78BF9" w14:textId="77777777" w:rsidR="001D5779" w:rsidRPr="00CC1ADD" w:rsidRDefault="001D5779" w:rsidP="000779B8">
      <w:pPr>
        <w:pStyle w:val="mpcNormal"/>
        <w:keepNext w:val="0"/>
      </w:pPr>
    </w:p>
    <w:p w14:paraId="33B191EB" w14:textId="112AAEA5" w:rsidR="001D5779" w:rsidRPr="00CC1ADD" w:rsidRDefault="001D5779" w:rsidP="000779B8">
      <w:pPr>
        <w:pStyle w:val="mpcNormal"/>
        <w:keepNext w:val="0"/>
      </w:pPr>
      <w:r w:rsidRPr="00CC1ADD">
        <w:t xml:space="preserve">As few FoPL </w:t>
      </w:r>
      <w:r w:rsidR="00C36AA4">
        <w:t>schemes</w:t>
      </w:r>
      <w:r w:rsidR="00C36AA4" w:rsidRPr="00CC1ADD">
        <w:t xml:space="preserve"> </w:t>
      </w:r>
      <w:r w:rsidRPr="00CC1ADD">
        <w:t xml:space="preserve">are currently mandatory, evidence of the real-life impact of mandatory </w:t>
      </w:r>
      <w:r w:rsidR="00C36AA4">
        <w:t>schemes</w:t>
      </w:r>
      <w:r w:rsidR="00C36AA4" w:rsidRPr="00CC1ADD">
        <w:t xml:space="preserve"> </w:t>
      </w:r>
      <w:r w:rsidRPr="00CC1ADD">
        <w:t>on consumer behaviour and industry reformulation is limited.</w:t>
      </w:r>
      <w:r w:rsidRPr="00CC1ADD">
        <w:rPr>
          <w:rStyle w:val="FootnoteReference"/>
          <w:sz w:val="22"/>
        </w:rPr>
        <w:footnoteReference w:id="118"/>
      </w:r>
      <w:r w:rsidRPr="00CC1ADD">
        <w:t> </w:t>
      </w:r>
    </w:p>
    <w:p w14:paraId="3E37C2A2" w14:textId="77777777" w:rsidR="001D5779" w:rsidRPr="00CC1ADD" w:rsidRDefault="001D5779" w:rsidP="0017608D">
      <w:pPr>
        <w:pStyle w:val="mpcNormal"/>
        <w:keepNext w:val="0"/>
      </w:pPr>
    </w:p>
    <w:p w14:paraId="7C3287A8" w14:textId="18B43882" w:rsidR="001D5779" w:rsidRPr="00CC1ADD" w:rsidRDefault="005235DE" w:rsidP="005A162A">
      <w:pPr>
        <w:pStyle w:val="mpcheading3"/>
      </w:pPr>
      <w:r w:rsidRPr="00CC1ADD">
        <w:t>F</w:t>
      </w:r>
      <w:r w:rsidR="009E50B1" w:rsidRPr="00CC1ADD">
        <w:t xml:space="preserve">oPL </w:t>
      </w:r>
      <w:r w:rsidR="001D5779" w:rsidRPr="00CC1ADD">
        <w:t>and trade policy</w:t>
      </w:r>
    </w:p>
    <w:p w14:paraId="330C50F9" w14:textId="77777777" w:rsidR="005235DE" w:rsidRPr="00CC1ADD" w:rsidRDefault="005235DE" w:rsidP="00A72405">
      <w:pPr>
        <w:pStyle w:val="mpcNormal"/>
      </w:pPr>
    </w:p>
    <w:p w14:paraId="2AF69E9F" w14:textId="2D7AA13F" w:rsidR="001D5779" w:rsidRPr="00CC1ADD" w:rsidRDefault="001D5779" w:rsidP="00A72405">
      <w:pPr>
        <w:pStyle w:val="mpcNormal"/>
      </w:pPr>
      <w:r w:rsidRPr="00CC1ADD">
        <w:t xml:space="preserve">As member states of the World Trade Organization (WTO), Australia and New Zealand are party to a range of trade agreements, including the Agreement on Technical Barriers to Trade (TBT Agreement) and the Agreement on the Application of Sanitary and Phytosanity Measures (SPS Agreement). The TBT Agreement applies to compulsory labelling requirements (technical regulations) and compulsory labelling indications (standards). </w:t>
      </w:r>
    </w:p>
    <w:p w14:paraId="522FF58E" w14:textId="77777777" w:rsidR="001D5779" w:rsidRPr="00CC1ADD" w:rsidRDefault="001D5779" w:rsidP="000779B8">
      <w:pPr>
        <w:pStyle w:val="mpcNormal"/>
        <w:keepNext w:val="0"/>
      </w:pPr>
    </w:p>
    <w:p w14:paraId="14EC207B" w14:textId="77777777" w:rsidR="001D5779" w:rsidRPr="00CC1ADD" w:rsidRDefault="001D5779" w:rsidP="000779B8">
      <w:pPr>
        <w:pStyle w:val="mpcNormal"/>
        <w:keepNext w:val="0"/>
      </w:pPr>
      <w:r w:rsidRPr="00CC1ADD">
        <w:t xml:space="preserve">Relevant, and in some cases common, principles under the Agreements include that labelling measures must: </w:t>
      </w:r>
    </w:p>
    <w:p w14:paraId="41A6C4A2" w14:textId="77777777" w:rsidR="001D5779" w:rsidRPr="00CC1ADD" w:rsidRDefault="001D5779" w:rsidP="000779B8">
      <w:pPr>
        <w:pStyle w:val="mpcNormal"/>
        <w:keepNext w:val="0"/>
      </w:pPr>
    </w:p>
    <w:p w14:paraId="35D24C4D" w14:textId="77777777" w:rsidR="001D5779" w:rsidRPr="00CC1ADD" w:rsidRDefault="001D5779" w:rsidP="007E0D2C">
      <w:pPr>
        <w:pStyle w:val="mpcbullets1"/>
      </w:pPr>
      <w:r w:rsidRPr="00CC1ADD">
        <w:t>not discriminate between domestic and imported products</w:t>
      </w:r>
    </w:p>
    <w:p w14:paraId="5FC5EA75" w14:textId="77777777" w:rsidR="001D5779" w:rsidRPr="00CC1ADD" w:rsidRDefault="001D5779" w:rsidP="007E0D2C">
      <w:pPr>
        <w:pStyle w:val="mpcbullets1"/>
      </w:pPr>
      <w:r w:rsidRPr="00CC1ADD">
        <w:t>be monitored and reviewed to address changes in circumstances and objectives</w:t>
      </w:r>
    </w:p>
    <w:p w14:paraId="46C06518" w14:textId="5C71B2A7" w:rsidR="001D5779" w:rsidRPr="00CC1ADD" w:rsidRDefault="001D5779" w:rsidP="007E0D2C">
      <w:pPr>
        <w:pStyle w:val="mpcbullets1"/>
      </w:pPr>
      <w:r w:rsidRPr="00CC1ADD">
        <w:t xml:space="preserve">when available and where appropriate, adopt international standards as a basis (to encourage the international harmonisation of food standards). The SPS Agreement explicitly recognises </w:t>
      </w:r>
      <w:r w:rsidR="00D8013B">
        <w:t xml:space="preserve">the </w:t>
      </w:r>
      <w:r w:rsidRPr="00CC1ADD">
        <w:t>Codex as a relevant international standard setting body.</w:t>
      </w:r>
    </w:p>
    <w:p w14:paraId="5DF31459" w14:textId="77777777" w:rsidR="001D5779" w:rsidRPr="00CC1ADD" w:rsidRDefault="001D5779" w:rsidP="000779B8">
      <w:pPr>
        <w:pStyle w:val="mpcNormal"/>
        <w:keepNext w:val="0"/>
      </w:pPr>
    </w:p>
    <w:p w14:paraId="516070E0" w14:textId="77777777" w:rsidR="001D5779" w:rsidRPr="00CC1ADD" w:rsidRDefault="001D5779" w:rsidP="000779B8">
      <w:pPr>
        <w:pStyle w:val="mpcNormal"/>
        <w:keepNext w:val="0"/>
      </w:pPr>
      <w:r w:rsidRPr="00CC1ADD">
        <w:t>Under international trade law, voluntary labelling schemes are more likely than mandatory labelling requirements to be considered consistent with WTO rules.</w:t>
      </w:r>
      <w:r w:rsidRPr="00CC1ADD">
        <w:rPr>
          <w:rStyle w:val="FootnoteReference"/>
          <w:sz w:val="22"/>
        </w:rPr>
        <w:footnoteReference w:id="119"/>
      </w:r>
      <w:r w:rsidRPr="00CC1ADD">
        <w:t xml:space="preserve"> For both mandatory and voluntary claims, governments have the duty to monitor the claims and protect consumers’ right to receive accurate and true information.</w:t>
      </w:r>
      <w:r w:rsidRPr="00CC1ADD">
        <w:rPr>
          <w:rStyle w:val="FootnoteReference"/>
          <w:sz w:val="22"/>
        </w:rPr>
        <w:footnoteReference w:id="120"/>
      </w:r>
      <w:r w:rsidRPr="00CC1ADD">
        <w:t xml:space="preserve"> </w:t>
      </w:r>
    </w:p>
    <w:p w14:paraId="06F8179E" w14:textId="77777777" w:rsidR="001D5779" w:rsidRPr="00CC1ADD" w:rsidRDefault="001D5779" w:rsidP="000779B8">
      <w:pPr>
        <w:pStyle w:val="mpcNormal"/>
        <w:keepNext w:val="0"/>
      </w:pPr>
    </w:p>
    <w:p w14:paraId="76AEB640" w14:textId="5488B54B" w:rsidR="001D5779" w:rsidRPr="00CC1ADD" w:rsidRDefault="001D5779" w:rsidP="000779B8">
      <w:pPr>
        <w:pStyle w:val="mpcNormal"/>
        <w:keepNext w:val="0"/>
      </w:pPr>
      <w:r w:rsidRPr="00CC1ADD">
        <w:t xml:space="preserve">While international trade agreements are not a barrier to mandating the HSR System per se, the Review considers that if Australia and New Zealand were to continue the voluntary </w:t>
      </w:r>
      <w:r w:rsidR="00BF11EE">
        <w:t>approach</w:t>
      </w:r>
      <w:r w:rsidR="00BF11EE" w:rsidRPr="00CC1ADD">
        <w:t xml:space="preserve"> </w:t>
      </w:r>
      <w:r w:rsidRPr="00CC1ADD">
        <w:t xml:space="preserve">while monitoring its impact, this would </w:t>
      </w:r>
      <w:r w:rsidR="009E50B1" w:rsidRPr="00CC1ADD">
        <w:t xml:space="preserve">further </w:t>
      </w:r>
      <w:r w:rsidRPr="00CC1ADD">
        <w:t xml:space="preserve">support the international trade principles (of proportionality, evidence of effectiveness, </w:t>
      </w:r>
      <w:r w:rsidR="00B96215" w:rsidRPr="00CC1ADD">
        <w:t>non-discrimination and multisectoral collaboration</w:t>
      </w:r>
      <w:r w:rsidRPr="00CC1ADD">
        <w:t>) should Australia and/or New Zealand wish to mandate the System in the future.</w:t>
      </w:r>
    </w:p>
    <w:p w14:paraId="2792BBC0" w14:textId="77777777" w:rsidR="001D5779" w:rsidRPr="00CC1ADD" w:rsidRDefault="001D5779" w:rsidP="0017608D">
      <w:pPr>
        <w:pStyle w:val="mpcNormal"/>
        <w:keepNext w:val="0"/>
      </w:pPr>
    </w:p>
    <w:p w14:paraId="43396A06" w14:textId="02EA9999" w:rsidR="001D5779" w:rsidRPr="00CC1ADD" w:rsidRDefault="00957A19">
      <w:pPr>
        <w:pStyle w:val="mpcheading2"/>
        <w:rPr>
          <w:lang w:eastAsia="en-GB"/>
        </w:rPr>
      </w:pPr>
      <w:bookmarkStart w:id="141" w:name="Barriers"/>
      <w:bookmarkStart w:id="142" w:name="_Toc9955071"/>
      <w:bookmarkEnd w:id="141"/>
      <w:r>
        <w:rPr>
          <w:lang w:eastAsia="en-GB"/>
        </w:rPr>
        <w:t>B</w:t>
      </w:r>
      <w:r w:rsidR="001D5779" w:rsidRPr="00CC1ADD">
        <w:rPr>
          <w:lang w:eastAsia="en-GB"/>
        </w:rPr>
        <w:t xml:space="preserve">arriers to uptake </w:t>
      </w:r>
      <w:r w:rsidR="00FC782A">
        <w:rPr>
          <w:lang w:eastAsia="en-GB"/>
        </w:rPr>
        <w:t>of the HSR System</w:t>
      </w:r>
      <w:bookmarkEnd w:id="142"/>
    </w:p>
    <w:p w14:paraId="4E75ECE8" w14:textId="2FE5E756" w:rsidR="001D5779" w:rsidRPr="00CC1ADD" w:rsidRDefault="001D5779" w:rsidP="000779B8">
      <w:pPr>
        <w:pStyle w:val="mpcNormal"/>
        <w:keepNext w:val="0"/>
      </w:pPr>
      <w:r w:rsidRPr="00CC1ADD">
        <w:t xml:space="preserve">Over the course of the Review manufacturers gave a range of reasons for not adopting the HSR System on some or all of their products, including: </w:t>
      </w:r>
    </w:p>
    <w:p w14:paraId="1D0E5088" w14:textId="77777777" w:rsidR="001D5779" w:rsidRPr="00CC1ADD" w:rsidRDefault="001D5779" w:rsidP="000779B8">
      <w:pPr>
        <w:pStyle w:val="mpcNormal"/>
        <w:keepNext w:val="0"/>
      </w:pPr>
    </w:p>
    <w:p w14:paraId="4934397D" w14:textId="759EC0C6" w:rsidR="001D5779" w:rsidRPr="00CC1ADD" w:rsidRDefault="001D5779" w:rsidP="007E0D2C">
      <w:pPr>
        <w:pStyle w:val="mpcbullets1"/>
      </w:pPr>
      <w:r w:rsidRPr="00CC1ADD">
        <w:rPr>
          <w:b/>
        </w:rPr>
        <w:t>there are some products for which the HSR System does not give the expected result</w:t>
      </w:r>
      <w:r w:rsidR="00B634CB">
        <w:rPr>
          <w:b/>
        </w:rPr>
        <w:t>,</w:t>
      </w:r>
      <w:r w:rsidRPr="00CC1ADD">
        <w:t xml:space="preserve"> which has undermined confidence in the System. Such criticisms of the System have made some manufacturers reluctant to display the HSR on some or all of their products. For example:</w:t>
      </w:r>
    </w:p>
    <w:p w14:paraId="738E4035" w14:textId="77777777" w:rsidR="001D5779" w:rsidRPr="00CC1ADD" w:rsidRDefault="001D5779" w:rsidP="00173A82">
      <w:pPr>
        <w:pStyle w:val="mpcbullets2"/>
      </w:pPr>
      <w:r w:rsidRPr="00CC1ADD">
        <w:t>the ‘as prepared’ issue and resulting HSRs caused negative media, with some manufacturers publicly criticised despite their product displaying an accurate HSR at the time</w:t>
      </w:r>
      <w:r w:rsidRPr="00CC1ADD">
        <w:rPr>
          <w:rStyle w:val="FootnoteReference"/>
          <w:sz w:val="22"/>
        </w:rPr>
        <w:footnoteReference w:id="121"/>
      </w:r>
      <w:r w:rsidRPr="00CC1ADD">
        <w:t xml:space="preserve"> </w:t>
      </w:r>
    </w:p>
    <w:p w14:paraId="0A42ABC7" w14:textId="0A538855" w:rsidR="001D5779" w:rsidRPr="00376F44" w:rsidRDefault="001D5779" w:rsidP="00173A82">
      <w:pPr>
        <w:pStyle w:val="mpcbullets2"/>
      </w:pPr>
      <w:r w:rsidRPr="00CC1ADD">
        <w:t>there are a number of product outliers where the HSR does not align with consumer expectations (</w:t>
      </w:r>
      <w:r w:rsidR="00F101DD">
        <w:t>refer</w:t>
      </w:r>
      <w:r w:rsidRPr="00CC1ADD">
        <w:t xml:space="preserve"> Chapter 5)</w:t>
      </w:r>
      <w:r w:rsidR="00376F44">
        <w:t xml:space="preserve">. </w:t>
      </w:r>
    </w:p>
    <w:p w14:paraId="2399E844" w14:textId="77777777" w:rsidR="001D5779" w:rsidRPr="00CC1ADD" w:rsidRDefault="001D5779" w:rsidP="000779B8">
      <w:pPr>
        <w:pStyle w:val="mpcNormal"/>
        <w:keepNext w:val="0"/>
      </w:pPr>
    </w:p>
    <w:p w14:paraId="62703E29" w14:textId="77777777" w:rsidR="001D5779" w:rsidRPr="005F07CA" w:rsidRDefault="001D5779" w:rsidP="00901C53">
      <w:pPr>
        <w:pStyle w:val="mpcheading4"/>
        <w:keepNext w:val="0"/>
        <w:numPr>
          <w:ilvl w:val="0"/>
          <w:numId w:val="34"/>
        </w:numPr>
      </w:pPr>
      <w:r w:rsidRPr="005F07CA">
        <w:t xml:space="preserve">lack of commercial incentives and consumer demand for the HSR System </w:t>
      </w:r>
    </w:p>
    <w:p w14:paraId="070D9359" w14:textId="17141E7E" w:rsidR="001D5779" w:rsidRPr="00CC1ADD" w:rsidRDefault="001D5779" w:rsidP="00173A82">
      <w:pPr>
        <w:pStyle w:val="mpcbullets2"/>
      </w:pPr>
      <w:r w:rsidRPr="00CC1ADD">
        <w:t>Research undertaken by Colmar Brunton for the MPI</w:t>
      </w:r>
      <w:r w:rsidR="006C5FD8" w:rsidRPr="00CC1ADD">
        <w:rPr>
          <w:rStyle w:val="FootnoteReference"/>
          <w:sz w:val="22"/>
        </w:rPr>
        <w:footnoteReference w:id="122"/>
      </w:r>
      <w:r w:rsidRPr="00CC1ADD">
        <w:t xml:space="preserve"> </w:t>
      </w:r>
      <w:r w:rsidR="00A46252">
        <w:t xml:space="preserve">in 2016 </w:t>
      </w:r>
      <w:r w:rsidRPr="00CC1ADD">
        <w:t>highlighted a number of barriers to uptake identified by industry, which generally centred around a perceived lack of commercial incentive and consumer demand for HSR System uptake, with manufacturers citing barriers such as:</w:t>
      </w:r>
    </w:p>
    <w:p w14:paraId="2EDA78C0" w14:textId="77777777" w:rsidR="001D5779" w:rsidRPr="00CC1ADD" w:rsidRDefault="001D5779" w:rsidP="007E0D2C">
      <w:pPr>
        <w:pStyle w:val="mpcbullets3"/>
      </w:pPr>
      <w:r w:rsidRPr="00CC1ADD">
        <w:t>packaging logistics</w:t>
      </w:r>
    </w:p>
    <w:p w14:paraId="0E57392A" w14:textId="77777777" w:rsidR="001D5779" w:rsidRPr="00CC1ADD" w:rsidRDefault="001D5779" w:rsidP="007E0D2C">
      <w:pPr>
        <w:pStyle w:val="mpcbullets3"/>
      </w:pPr>
      <w:r w:rsidRPr="00CC1ADD">
        <w:t xml:space="preserve">the absence of a solid business case/value to the business </w:t>
      </w:r>
    </w:p>
    <w:p w14:paraId="4338CAD0" w14:textId="77777777" w:rsidR="001D5779" w:rsidRPr="00CC1ADD" w:rsidRDefault="001D5779" w:rsidP="007E0D2C">
      <w:pPr>
        <w:pStyle w:val="mpcbullets3"/>
      </w:pPr>
      <w:r w:rsidRPr="00CC1ADD">
        <w:t>no tangible benefit to their business</w:t>
      </w:r>
    </w:p>
    <w:p w14:paraId="74C95D22" w14:textId="77777777" w:rsidR="001D5779" w:rsidRPr="00CC1ADD" w:rsidRDefault="001D5779" w:rsidP="007E0D2C">
      <w:pPr>
        <w:pStyle w:val="mpcbullets3"/>
      </w:pPr>
      <w:r w:rsidRPr="00CC1ADD">
        <w:t>poor alignment of the HSR with organisational values or the brand</w:t>
      </w:r>
    </w:p>
    <w:p w14:paraId="6C06DDCE" w14:textId="77777777" w:rsidR="001D5779" w:rsidRPr="00CC1ADD" w:rsidRDefault="001D5779" w:rsidP="007E0D2C">
      <w:pPr>
        <w:pStyle w:val="mpcbullets3"/>
      </w:pPr>
      <w:r w:rsidRPr="00CC1ADD">
        <w:t>lack of momentum and visibility of HSR labelled products in stores</w:t>
      </w:r>
    </w:p>
    <w:p w14:paraId="5E781CCC" w14:textId="77777777" w:rsidR="001D5779" w:rsidRPr="00CC1ADD" w:rsidRDefault="001D5779" w:rsidP="007E0D2C">
      <w:pPr>
        <w:pStyle w:val="mpcbullets3"/>
      </w:pPr>
      <w:r w:rsidRPr="00CC1ADD">
        <w:t>potential for negative impact on product sales due to a perception of inherent flaws in the System</w:t>
      </w:r>
    </w:p>
    <w:p w14:paraId="40F5ACC7" w14:textId="77777777" w:rsidR="001D5779" w:rsidRPr="00CC1ADD" w:rsidRDefault="001D5779" w:rsidP="007E0D2C">
      <w:pPr>
        <w:pStyle w:val="mpcbullets3"/>
      </w:pPr>
      <w:r w:rsidRPr="00CC1ADD">
        <w:t>concerns that the HSR System is adding to consumer confusion</w:t>
      </w:r>
    </w:p>
    <w:p w14:paraId="2BF23300" w14:textId="1B9FDC0F" w:rsidR="001D5779" w:rsidRPr="00CC1ADD" w:rsidRDefault="001D5779" w:rsidP="007E0D2C">
      <w:pPr>
        <w:pStyle w:val="mpcbullets3"/>
      </w:pPr>
      <w:r w:rsidRPr="00CC1ADD">
        <w:t>low levels of knowledge/understanding of the System or where to find information.</w:t>
      </w:r>
    </w:p>
    <w:p w14:paraId="7586BCF5" w14:textId="77777777" w:rsidR="001D5779" w:rsidRPr="00CC1ADD" w:rsidRDefault="001D5779" w:rsidP="0017608D">
      <w:pPr>
        <w:pStyle w:val="mpcNormal"/>
        <w:keepNext w:val="0"/>
        <w:widowControl w:val="0"/>
      </w:pPr>
    </w:p>
    <w:p w14:paraId="4D0BF9EA" w14:textId="77777777" w:rsidR="001D5779" w:rsidRPr="005F07CA" w:rsidRDefault="001D5779" w:rsidP="00901C53">
      <w:pPr>
        <w:pStyle w:val="mpcheading4"/>
        <w:keepNext w:val="0"/>
        <w:widowControl w:val="0"/>
        <w:numPr>
          <w:ilvl w:val="0"/>
          <w:numId w:val="34"/>
        </w:numPr>
      </w:pPr>
      <w:r w:rsidRPr="005F07CA">
        <w:t>uncertainty about the likelihood of the HSR System continuing</w:t>
      </w:r>
    </w:p>
    <w:p w14:paraId="5F7F6A09" w14:textId="6CF9F03F" w:rsidR="001D5779" w:rsidRPr="00CC1ADD" w:rsidRDefault="001D5779" w:rsidP="00173A82">
      <w:pPr>
        <w:pStyle w:val="mpcbullets2"/>
      </w:pPr>
      <w:r w:rsidRPr="00CC1ADD">
        <w:t>Some manufacturers made the decision to await the outcome of the Review before implementing the HSR on their products, particularly given the packaging logistics to be resolved, including the cost in updating artwork which may subsequently require changes.</w:t>
      </w:r>
    </w:p>
    <w:p w14:paraId="4B829EEA" w14:textId="77777777" w:rsidR="00CD7880" w:rsidRPr="00CC1ADD" w:rsidRDefault="00CD7880" w:rsidP="000779B8">
      <w:pPr>
        <w:pStyle w:val="mpcNormal"/>
        <w:keepNext w:val="0"/>
        <w:widowControl w:val="0"/>
      </w:pPr>
    </w:p>
    <w:p w14:paraId="3613C7EB" w14:textId="05A1D319" w:rsidR="001D5779" w:rsidRPr="00CC1ADD" w:rsidRDefault="00957A19" w:rsidP="00711616">
      <w:pPr>
        <w:pStyle w:val="mpcheading2"/>
        <w:keepNext/>
        <w:widowControl w:val="0"/>
        <w:rPr>
          <w:lang w:eastAsia="en-GB"/>
        </w:rPr>
      </w:pPr>
      <w:bookmarkStart w:id="143" w:name="Increasing"/>
      <w:bookmarkStart w:id="144" w:name="_Toc9955072"/>
      <w:bookmarkEnd w:id="143"/>
      <w:r>
        <w:rPr>
          <w:lang w:eastAsia="en-GB"/>
        </w:rPr>
        <w:t>Incentivising uptake of the HSR System</w:t>
      </w:r>
      <w:bookmarkEnd w:id="144"/>
      <w:r>
        <w:rPr>
          <w:lang w:eastAsia="en-GB"/>
        </w:rPr>
        <w:t xml:space="preserve"> </w:t>
      </w:r>
    </w:p>
    <w:p w14:paraId="7500C53F" w14:textId="51137420" w:rsidR="00957A19" w:rsidRDefault="00957A19" w:rsidP="00711616">
      <w:pPr>
        <w:pStyle w:val="mpcNormal"/>
        <w:widowControl w:val="0"/>
      </w:pPr>
      <w:r>
        <w:t xml:space="preserve">In order to </w:t>
      </w:r>
      <w:r w:rsidRPr="00CC1ADD">
        <w:t>achieve consistent and widespread uptake of the HSR System</w:t>
      </w:r>
      <w:r>
        <w:t>,</w:t>
      </w:r>
      <w:r w:rsidRPr="00CC1ADD">
        <w:t xml:space="preserve"> </w:t>
      </w:r>
      <w:r>
        <w:t>the barriers to uptake need to be removed</w:t>
      </w:r>
      <w:r w:rsidR="0074450F">
        <w:t xml:space="preserve"> and incentives for uptake increased.</w:t>
      </w:r>
    </w:p>
    <w:p w14:paraId="7C68BF6D" w14:textId="5984BD38" w:rsidR="0074450F" w:rsidRDefault="0074450F" w:rsidP="000779B8">
      <w:pPr>
        <w:pStyle w:val="mpcNormal"/>
        <w:keepNext w:val="0"/>
        <w:widowControl w:val="0"/>
      </w:pPr>
    </w:p>
    <w:p w14:paraId="545BFAAA" w14:textId="24DE5465" w:rsidR="0074450F" w:rsidRDefault="0074450F" w:rsidP="000779B8">
      <w:pPr>
        <w:pStyle w:val="mpcNormal"/>
        <w:keepNext w:val="0"/>
        <w:widowControl w:val="0"/>
      </w:pPr>
      <w:r>
        <w:t>The Review considers that:</w:t>
      </w:r>
    </w:p>
    <w:p w14:paraId="7A885A9F" w14:textId="5C098404" w:rsidR="00376F44" w:rsidRDefault="00376F44" w:rsidP="000779B8">
      <w:pPr>
        <w:pStyle w:val="mpcNormal"/>
        <w:keepNext w:val="0"/>
        <w:widowControl w:val="0"/>
      </w:pPr>
    </w:p>
    <w:p w14:paraId="6679386D" w14:textId="1645E50A" w:rsidR="0074450F" w:rsidRDefault="00007650" w:rsidP="007E0D2C">
      <w:pPr>
        <w:pStyle w:val="mpcbullets1"/>
      </w:pPr>
      <w:r w:rsidRPr="00676537">
        <w:rPr>
          <w:b/>
          <w:bCs/>
        </w:rPr>
        <w:t>b</w:t>
      </w:r>
      <w:r w:rsidR="0074450F" w:rsidRPr="00676537">
        <w:rPr>
          <w:b/>
          <w:bCs/>
        </w:rPr>
        <w:t>y implementing the changes proposed in Chapter 5, alignment with D</w:t>
      </w:r>
      <w:r w:rsidR="00376F44" w:rsidRPr="00676537">
        <w:rPr>
          <w:b/>
          <w:bCs/>
        </w:rPr>
        <w:t xml:space="preserve">ietary Guidelines </w:t>
      </w:r>
      <w:r w:rsidR="0074450F" w:rsidRPr="00676537">
        <w:rPr>
          <w:b/>
          <w:bCs/>
        </w:rPr>
        <w:t>will be improved</w:t>
      </w:r>
      <w:r w:rsidR="0074450F">
        <w:t xml:space="preserve"> </w:t>
      </w:r>
      <w:r>
        <w:t xml:space="preserve">which will </w:t>
      </w:r>
      <w:r w:rsidR="00376F44" w:rsidRPr="00376F44">
        <w:t xml:space="preserve">result in HSRs that are more in line with consumer and industry expectations. </w:t>
      </w:r>
      <w:r>
        <w:t>Addressing the relatively small (but often highly visible) number of ‘problems’ with the System removes a barrier to uptake</w:t>
      </w:r>
    </w:p>
    <w:p w14:paraId="18C57ABF" w14:textId="77777777" w:rsidR="0074450F" w:rsidRDefault="0074450F" w:rsidP="007E0D2C">
      <w:pPr>
        <w:pStyle w:val="mpcbullets1"/>
        <w:numPr>
          <w:ilvl w:val="0"/>
          <w:numId w:val="0"/>
        </w:numPr>
        <w:ind w:left="360"/>
      </w:pPr>
    </w:p>
    <w:p w14:paraId="5B83AB55" w14:textId="3772A1D6" w:rsidR="00007650" w:rsidRDefault="00007650" w:rsidP="007E0D2C">
      <w:pPr>
        <w:pStyle w:val="mpcbullets1"/>
      </w:pPr>
      <w:r w:rsidRPr="00676537">
        <w:rPr>
          <w:b/>
          <w:bCs/>
        </w:rPr>
        <w:t>the most significant incentive for uptake is consumer demand.</w:t>
      </w:r>
      <w:r>
        <w:t xml:space="preserve"> If consumers demand the HSR on products, manufacturers will use it. As the System is improved and consumers become more aware of it, this will drive uptake.</w:t>
      </w:r>
    </w:p>
    <w:p w14:paraId="37F33E86" w14:textId="423558A7" w:rsidR="0074450F" w:rsidRPr="00CC1ADD" w:rsidRDefault="0074450F" w:rsidP="00173A82">
      <w:pPr>
        <w:pStyle w:val="mpcbullets2"/>
      </w:pPr>
      <w:r w:rsidRPr="00CC1ADD">
        <w:t>Research exploring the impact of FoPL on consumers’ willingness to pay highlighted that the HSR System was the only FoPL that resulted in greater willingness to pay for healthier versus less healthy products.</w:t>
      </w:r>
      <w:r w:rsidRPr="00007650">
        <w:rPr>
          <w:rFonts w:cs="Calibri (Body)"/>
          <w:vertAlign w:val="superscript"/>
        </w:rPr>
        <w:footnoteReference w:id="123"/>
      </w:r>
      <w:r w:rsidRPr="00CC1ADD">
        <w:t xml:space="preserve"> This demonstrates that, contrary to industry concerns, there may be a commercial advantage for manufacturers displaying the HSR on their products.</w:t>
      </w:r>
    </w:p>
    <w:p w14:paraId="42D6F5A5" w14:textId="3DA962C0" w:rsidR="00957A19" w:rsidRDefault="0074450F" w:rsidP="00173A82">
      <w:pPr>
        <w:pStyle w:val="mpcbullets2"/>
      </w:pPr>
      <w:r w:rsidRPr="00CC1ADD">
        <w:t xml:space="preserve">Attitudes within industry will continue to change as use of the HSR System becomes more widespread and more integrated with industry and government driven initiatives. </w:t>
      </w:r>
    </w:p>
    <w:p w14:paraId="6090BBAE" w14:textId="77777777" w:rsidR="00C004F2" w:rsidRPr="00CC1ADD" w:rsidRDefault="00C004F2" w:rsidP="0017608D">
      <w:pPr>
        <w:pStyle w:val="mpcNormal"/>
        <w:keepNext w:val="0"/>
        <w:widowControl w:val="0"/>
      </w:pPr>
    </w:p>
    <w:p w14:paraId="7D49FA5E" w14:textId="654D2CE6" w:rsidR="00007650" w:rsidRDefault="003B52FB" w:rsidP="007E0D2C">
      <w:pPr>
        <w:pStyle w:val="mpcbullets1"/>
      </w:pPr>
      <w:r w:rsidRPr="00676537">
        <w:rPr>
          <w:b/>
          <w:bCs/>
        </w:rPr>
        <w:t>i</w:t>
      </w:r>
      <w:r w:rsidR="00007650" w:rsidRPr="00676537">
        <w:rPr>
          <w:b/>
          <w:bCs/>
        </w:rPr>
        <w:t>ncreasingly manufacturers are promoting the HSR and using the HSR System to guide product range development and reformulation</w:t>
      </w:r>
      <w:r w:rsidR="00007650">
        <w:t xml:space="preserve"> (s</w:t>
      </w:r>
      <w:r w:rsidR="00007650" w:rsidRPr="00D34697">
        <w:t>ome examples of this are outlined in Chapter 3</w:t>
      </w:r>
      <w:r w:rsidR="00007650">
        <w:t>)</w:t>
      </w:r>
      <w:r w:rsidR="00007650" w:rsidRPr="00D34697">
        <w:t xml:space="preserve">. </w:t>
      </w:r>
      <w:r>
        <w:t>As more manufacturers come on board this will motivate others to do so. For example:</w:t>
      </w:r>
    </w:p>
    <w:p w14:paraId="5510FCBB" w14:textId="22EB0B08" w:rsidR="00007650" w:rsidRPr="00D34697" w:rsidRDefault="00007650" w:rsidP="00173A82">
      <w:pPr>
        <w:pStyle w:val="mpcbullets2"/>
      </w:pPr>
      <w:r w:rsidRPr="00D34697">
        <w:t>Lion committed to display the HSR on 100% of their retail portfolio by 2018.</w:t>
      </w:r>
      <w:r w:rsidRPr="003B52FB">
        <w:rPr>
          <w:rFonts w:cs="Calibri (Body)"/>
          <w:vertAlign w:val="superscript"/>
        </w:rPr>
        <w:footnoteReference w:id="124"/>
      </w:r>
    </w:p>
    <w:p w14:paraId="07BC6F5F" w14:textId="2843E1A3" w:rsidR="00007650" w:rsidRPr="00D34697" w:rsidRDefault="00007650" w:rsidP="00173A82">
      <w:pPr>
        <w:pStyle w:val="mpcbullets2"/>
      </w:pPr>
      <w:r w:rsidRPr="00D34697">
        <w:t>Simplot has a company policy to display the HSR on food products in Australian and New Zealand supermarkets. Simplot also declares the dietary fibre and FVNL content where these contribute to the product’s HSR.</w:t>
      </w:r>
    </w:p>
    <w:p w14:paraId="63095664" w14:textId="77777777" w:rsidR="00007650" w:rsidRPr="00D34697" w:rsidRDefault="00007650" w:rsidP="00173A82">
      <w:pPr>
        <w:pStyle w:val="mpcbullets2"/>
      </w:pPr>
      <w:r w:rsidRPr="00D34697">
        <w:t>Sanitarium has committed to feature the HSR on packaging across its product ranges and has already applied the HSR to over 90% of its products.</w:t>
      </w:r>
      <w:r w:rsidRPr="003B52FB">
        <w:rPr>
          <w:rFonts w:cs="Calibri (Body)"/>
          <w:vertAlign w:val="superscript"/>
        </w:rPr>
        <w:footnoteReference w:id="125"/>
      </w:r>
    </w:p>
    <w:p w14:paraId="78443415" w14:textId="68B92CF8" w:rsidR="00007650" w:rsidRPr="00D34697" w:rsidRDefault="00007650" w:rsidP="00173A82">
      <w:pPr>
        <w:pStyle w:val="mpcbullets2"/>
      </w:pPr>
      <w:r w:rsidRPr="003B52FB">
        <w:t>Nestlé committed to use the HSR, displaying it on more than 300 products in Australia and 180 in New Zealand in early 2018.</w:t>
      </w:r>
      <w:r w:rsidRPr="003B52FB">
        <w:rPr>
          <w:rFonts w:cs="Calibri (Body)"/>
          <w:vertAlign w:val="superscript"/>
        </w:rPr>
        <w:footnoteReference w:id="126"/>
      </w:r>
    </w:p>
    <w:p w14:paraId="78DD18E5" w14:textId="212516FB" w:rsidR="00007650" w:rsidRDefault="00007650" w:rsidP="00173A82">
      <w:pPr>
        <w:pStyle w:val="mpcbullets2"/>
      </w:pPr>
      <w:r w:rsidRPr="003B52FB">
        <w:t>Coca-Cola NZ and Frucor in New Zealand apply the HSR across the majority of their beverage products.</w:t>
      </w:r>
      <w:r w:rsidRPr="003B52FB">
        <w:rPr>
          <w:rFonts w:cs="Calibri (Body)"/>
          <w:vertAlign w:val="superscript"/>
        </w:rPr>
        <w:footnoteReference w:id="127"/>
      </w:r>
    </w:p>
    <w:p w14:paraId="580BDC6D" w14:textId="77777777" w:rsidR="0013787C" w:rsidRPr="00CC1ADD" w:rsidRDefault="0013787C" w:rsidP="0017608D">
      <w:pPr>
        <w:pStyle w:val="mpcNormal"/>
        <w:keepNext w:val="0"/>
        <w:widowControl w:val="0"/>
      </w:pPr>
    </w:p>
    <w:p w14:paraId="057C982E" w14:textId="3FF2F523" w:rsidR="001D5779" w:rsidRPr="00D8013B" w:rsidRDefault="00007650" w:rsidP="007E0D2C">
      <w:pPr>
        <w:pStyle w:val="mpcbullets1"/>
      </w:pPr>
      <w:r w:rsidRPr="00676537">
        <w:rPr>
          <w:b/>
          <w:bCs/>
        </w:rPr>
        <w:t>the behaviour of retailers will continue to drive uptake.</w:t>
      </w:r>
      <w:r>
        <w:t xml:space="preserve"> </w:t>
      </w:r>
      <w:r w:rsidR="001D5779" w:rsidRPr="00CC1ADD">
        <w:t xml:space="preserve">Major retailers have committed to display the HSR on 100% of their private label products and are </w:t>
      </w:r>
      <w:r w:rsidR="001D5779" w:rsidRPr="00D8013B">
        <w:t>encouraging their suppliers to display the HSR on their products. For example:</w:t>
      </w:r>
    </w:p>
    <w:p w14:paraId="0C1FFE02" w14:textId="73D300E3" w:rsidR="00A50093" w:rsidRDefault="009E50B1" w:rsidP="00173A82">
      <w:pPr>
        <w:pStyle w:val="mpcbullets2"/>
      </w:pPr>
      <w:r w:rsidRPr="00D8013B">
        <w:t xml:space="preserve">At </w:t>
      </w:r>
      <w:r w:rsidR="001D5779" w:rsidRPr="00D8013B">
        <w:t>October 2018, Woolworths</w:t>
      </w:r>
      <w:r w:rsidR="00A50093">
        <w:t xml:space="preserve"> </w:t>
      </w:r>
      <w:r w:rsidR="001D5779" w:rsidRPr="00D8013B">
        <w:t xml:space="preserve">displayed the HSR on 100% (2,345) of </w:t>
      </w:r>
      <w:r w:rsidR="00A46252">
        <w:t>eligible</w:t>
      </w:r>
      <w:r w:rsidR="001D5779" w:rsidRPr="00D8013B">
        <w:t xml:space="preserve"> products in Australia</w:t>
      </w:r>
      <w:r w:rsidR="00A50093">
        <w:t>.</w:t>
      </w:r>
      <w:r w:rsidR="00A50093" w:rsidRPr="00A50093">
        <w:t xml:space="preserve"> </w:t>
      </w:r>
      <w:r w:rsidR="00A50093">
        <w:t xml:space="preserve">At December 2018, Countdown displayed the HSR on 91% of their eligible products </w:t>
      </w:r>
      <w:r w:rsidR="00A46252">
        <w:t xml:space="preserve">in New Zealand </w:t>
      </w:r>
      <w:r w:rsidR="00A50093">
        <w:t xml:space="preserve">and are on track to reach 100% by 2020. </w:t>
      </w:r>
      <w:r w:rsidR="00A50093" w:rsidRPr="00D8013B">
        <w:t>This represents all private label brands including Macro, Woolworths, Countdown, Select, Essentials, Homebrand, Free From and Gold product lines.</w:t>
      </w:r>
    </w:p>
    <w:p w14:paraId="0BCADEC1" w14:textId="77777777" w:rsidR="001D5779" w:rsidRPr="00D8013B" w:rsidRDefault="001D5779" w:rsidP="00173A82">
      <w:pPr>
        <w:pStyle w:val="mpcbullets2"/>
      </w:pPr>
      <w:r w:rsidRPr="00D8013B">
        <w:t>Coles has displayed the HSR on over 1,550 products.</w:t>
      </w:r>
      <w:r w:rsidRPr="003B52FB">
        <w:rPr>
          <w:rFonts w:cs="Calibri (Body)"/>
          <w:vertAlign w:val="superscript"/>
        </w:rPr>
        <w:footnoteReference w:id="128"/>
      </w:r>
    </w:p>
    <w:p w14:paraId="00D03868" w14:textId="00B2681B" w:rsidR="001D5779" w:rsidRPr="00CC1ADD" w:rsidRDefault="001D5779" w:rsidP="00173A82">
      <w:pPr>
        <w:pStyle w:val="mpcbullets2"/>
      </w:pPr>
      <w:r w:rsidRPr="00D8013B">
        <w:t xml:space="preserve">Foodstuffs has displayed the HSR on more than 1,067 foods and committed to </w:t>
      </w:r>
      <w:r w:rsidR="00A50093">
        <w:t>reach 100% by mid</w:t>
      </w:r>
      <w:r w:rsidR="00A50093">
        <w:noBreakHyphen/>
        <w:t xml:space="preserve">2019. Foodstuffs has </w:t>
      </w:r>
      <w:r w:rsidR="000779B8">
        <w:t xml:space="preserve">committed </w:t>
      </w:r>
      <w:r w:rsidRPr="00D8013B">
        <w:t xml:space="preserve">to </w:t>
      </w:r>
      <w:r w:rsidR="00A50093">
        <w:t>‘</w:t>
      </w:r>
      <w:r w:rsidRPr="00D8013B">
        <w:t>champion the wide adoption of the HSR</w:t>
      </w:r>
      <w:r w:rsidR="00A50093">
        <w:t>’, s</w:t>
      </w:r>
      <w:r w:rsidRPr="00D8013B">
        <w:t xml:space="preserve">pecifically </w:t>
      </w:r>
      <w:r w:rsidR="00A50093">
        <w:t>committing</w:t>
      </w:r>
      <w:r w:rsidRPr="00CC1ADD">
        <w:t xml:space="preserve"> to </w:t>
      </w:r>
      <w:r w:rsidR="00A50093">
        <w:t>display the</w:t>
      </w:r>
      <w:r w:rsidRPr="00CC1ADD">
        <w:t xml:space="preserve"> HSR on all private label foods and ‘promote wider adopting of HSR among our supplier community by championing this cause whenever we formally engage with suppliers’.</w:t>
      </w:r>
      <w:r w:rsidRPr="003B52FB">
        <w:rPr>
          <w:rFonts w:cs="Calibri (Body)"/>
          <w:vertAlign w:val="superscript"/>
        </w:rPr>
        <w:footnoteReference w:id="129"/>
      </w:r>
    </w:p>
    <w:p w14:paraId="4F109A4A" w14:textId="3679B9E9" w:rsidR="001D5779" w:rsidRPr="00CC1ADD" w:rsidRDefault="001D5779" w:rsidP="00173A82">
      <w:pPr>
        <w:pStyle w:val="mpcbullets2"/>
      </w:pPr>
      <w:r w:rsidRPr="00CC1ADD">
        <w:t>IGA has implemented an EatWell campaign, including using the HSR to highlight healthier packaged products.</w:t>
      </w:r>
      <w:r w:rsidRPr="003B52FB">
        <w:rPr>
          <w:rFonts w:cs="Calibri (Body)"/>
          <w:vertAlign w:val="superscript"/>
        </w:rPr>
        <w:footnoteReference w:id="130"/>
      </w:r>
    </w:p>
    <w:p w14:paraId="065950C9" w14:textId="77777777" w:rsidR="001D5779" w:rsidRPr="00CC1ADD" w:rsidRDefault="001D5779" w:rsidP="0017608D">
      <w:pPr>
        <w:pStyle w:val="mpcNormal"/>
        <w:keepNext w:val="0"/>
      </w:pPr>
    </w:p>
    <w:p w14:paraId="686A22D1" w14:textId="1375A802" w:rsidR="003B52FB" w:rsidRDefault="003B52FB" w:rsidP="007E0D2C">
      <w:pPr>
        <w:pStyle w:val="mpcbullets1"/>
      </w:pPr>
      <w:r w:rsidRPr="00676537">
        <w:rPr>
          <w:b/>
          <w:bCs/>
        </w:rPr>
        <w:t>complementary government initiatives will continue to drive uptake.</w:t>
      </w:r>
      <w:r>
        <w:t xml:space="preserve"> For example:</w:t>
      </w:r>
    </w:p>
    <w:p w14:paraId="73293B5D" w14:textId="58B9C8C3" w:rsidR="001D5779" w:rsidRPr="00CC1ADD" w:rsidRDefault="001D5779" w:rsidP="00173A82">
      <w:pPr>
        <w:pStyle w:val="mpcbullets2"/>
      </w:pPr>
      <w:r w:rsidRPr="00CC1ADD">
        <w:t xml:space="preserve">The Australian Healthy Food Partnership Reformulation Working Group has used the HSR nutrient thresholds to inform the draft reformulation targets for sodium, sugars and saturated fat, such that products reformulated to meet the targets </w:t>
      </w:r>
      <w:r w:rsidR="00957A19">
        <w:t>may</w:t>
      </w:r>
      <w:r w:rsidRPr="00CC1ADD">
        <w:t xml:space="preserve"> also increase their HSR.</w:t>
      </w:r>
    </w:p>
    <w:p w14:paraId="0FD752ED" w14:textId="49E0D41C" w:rsidR="001D5779" w:rsidRPr="00CC1ADD" w:rsidRDefault="001D5779" w:rsidP="00173A82">
      <w:pPr>
        <w:pStyle w:val="mpcbullets2"/>
      </w:pPr>
      <w:r w:rsidRPr="00CC1ADD">
        <w:t>Government led initiatives such as the NSW Healthy School Canteen Strategy include a requirement for all ‘</w:t>
      </w:r>
      <w:r w:rsidR="00CF3274">
        <w:t>O</w:t>
      </w:r>
      <w:r w:rsidRPr="00CC1ADD">
        <w:t xml:space="preserve">ccasional’ (i.e. discretionary) foods and drinks </w:t>
      </w:r>
      <w:r w:rsidR="00CF3274">
        <w:t xml:space="preserve">(with the exception of diet drinks) </w:t>
      </w:r>
      <w:r w:rsidRPr="00CC1ADD">
        <w:t xml:space="preserve">sold in NSW Government school canteens to have an HSR of 3.5 or above. </w:t>
      </w:r>
    </w:p>
    <w:p w14:paraId="5295168D" w14:textId="77777777" w:rsidR="001D5779" w:rsidRPr="00CC1ADD" w:rsidRDefault="001D5779" w:rsidP="0017608D">
      <w:pPr>
        <w:pStyle w:val="mpcNormal"/>
        <w:keepNext w:val="0"/>
      </w:pPr>
    </w:p>
    <w:p w14:paraId="7773A2E6" w14:textId="7C7D4278" w:rsidR="003B52FB" w:rsidRDefault="003B52FB" w:rsidP="007E0D2C">
      <w:pPr>
        <w:pStyle w:val="mpcbullets1"/>
      </w:pPr>
      <w:r w:rsidRPr="00676537">
        <w:rPr>
          <w:b/>
          <w:bCs/>
        </w:rPr>
        <w:t>a</w:t>
      </w:r>
      <w:r w:rsidR="001D5779" w:rsidRPr="00676537">
        <w:rPr>
          <w:b/>
          <w:bCs/>
        </w:rPr>
        <w:t xml:space="preserve"> number of peak industry bodies have publicly stated their support for the HSR System</w:t>
      </w:r>
      <w:r w:rsidR="001D5779" w:rsidRPr="00CC1ADD">
        <w:t xml:space="preserve"> and </w:t>
      </w:r>
      <w:r>
        <w:t xml:space="preserve">have committed to </w:t>
      </w:r>
      <w:r w:rsidR="001D5779" w:rsidRPr="00CC1ADD">
        <w:t xml:space="preserve">actively work with their member organisations to address </w:t>
      </w:r>
      <w:r w:rsidR="005004E5">
        <w:t xml:space="preserve">HSR </w:t>
      </w:r>
      <w:r w:rsidR="001D5779" w:rsidRPr="00CC1ADD">
        <w:t>System queries</w:t>
      </w:r>
      <w:r>
        <w:t xml:space="preserve"> and drive </w:t>
      </w:r>
      <w:r w:rsidR="001D5779" w:rsidRPr="00CC1ADD">
        <w:t>uptake. This includes the Australian Food and Grocery Council</w:t>
      </w:r>
      <w:r w:rsidR="002E732B">
        <w:t xml:space="preserve"> (AFGC)</w:t>
      </w:r>
      <w:r w:rsidR="001D5779" w:rsidRPr="00CC1ADD">
        <w:t>, the New Zealand Food and Grocery Council, the Australian Beverages Council, the New Zealand Beverage Council, the Grains and Legumes Nutrition Council, the Australian Breakfast Cereals Manufacturers Forum</w:t>
      </w:r>
      <w:r w:rsidR="00A72405">
        <w:t xml:space="preserve">, </w:t>
      </w:r>
      <w:r w:rsidR="001D5779" w:rsidRPr="00CC1ADD">
        <w:t>Dairy Australia</w:t>
      </w:r>
      <w:r w:rsidR="00D34697">
        <w:t xml:space="preserve"> and</w:t>
      </w:r>
      <w:r w:rsidR="00614EF5">
        <w:t xml:space="preserve"> the Australian Industry Group</w:t>
      </w:r>
      <w:r w:rsidR="001D5779" w:rsidRPr="00CC1ADD">
        <w:t>.</w:t>
      </w:r>
    </w:p>
    <w:p w14:paraId="0E5C46E1" w14:textId="77777777" w:rsidR="003B52FB" w:rsidRDefault="003B52FB" w:rsidP="007E0D2C">
      <w:pPr>
        <w:pStyle w:val="mpcbullets1"/>
        <w:numPr>
          <w:ilvl w:val="0"/>
          <w:numId w:val="0"/>
        </w:numPr>
        <w:ind w:left="360"/>
      </w:pPr>
    </w:p>
    <w:p w14:paraId="6A95B76E" w14:textId="3B346D36" w:rsidR="001D5779" w:rsidRPr="00CC1ADD" w:rsidRDefault="003B52FB" w:rsidP="007E0D2C">
      <w:pPr>
        <w:pStyle w:val="mpcbullets1"/>
      </w:pPr>
      <w:r w:rsidRPr="00676537">
        <w:rPr>
          <w:b/>
          <w:bCs/>
        </w:rPr>
        <w:t>the HSR offers a range of benefits to manufacturers</w:t>
      </w:r>
      <w:r>
        <w:t xml:space="preserve"> because it i</w:t>
      </w:r>
      <w:r w:rsidR="001D5779" w:rsidRPr="00CC1ADD">
        <w:t>llustrates to consumers that the manufacturer is committed to nutrition</w:t>
      </w:r>
      <w:r>
        <w:t xml:space="preserve"> and </w:t>
      </w:r>
      <w:r w:rsidR="001D5779" w:rsidRPr="00CC1ADD">
        <w:t>is reflective of a socially responsible organisation</w:t>
      </w:r>
      <w:r>
        <w:t>.</w:t>
      </w:r>
      <w:r w:rsidR="001D5779" w:rsidRPr="00CC1ADD">
        <w:rPr>
          <w:rStyle w:val="FootnoteReference"/>
          <w:sz w:val="22"/>
        </w:rPr>
        <w:footnoteReference w:id="131"/>
      </w:r>
    </w:p>
    <w:p w14:paraId="0CAAE6AF" w14:textId="5109A511" w:rsidR="001D5779" w:rsidRDefault="001D5779" w:rsidP="0017608D">
      <w:pPr>
        <w:pStyle w:val="mpcNormal"/>
        <w:keepNext w:val="0"/>
        <w:rPr>
          <w:highlight w:val="cyan"/>
        </w:rPr>
      </w:pPr>
    </w:p>
    <w:tbl>
      <w:tblPr>
        <w:tblStyle w:val="TableGrid"/>
        <w:tblW w:w="0" w:type="auto"/>
        <w:tblLook w:val="04A0" w:firstRow="1" w:lastRow="0" w:firstColumn="1" w:lastColumn="0" w:noHBand="0" w:noVBand="1"/>
        <w:tblCaption w:val="Manufacturer quote"/>
        <w:tblDescription w:val="Quote re the value of the HSR System"/>
      </w:tblPr>
      <w:tblGrid>
        <w:gridCol w:w="9746"/>
      </w:tblGrid>
      <w:tr w:rsidR="00D34697" w:rsidRPr="00CC1ADD" w14:paraId="5FCE0617" w14:textId="77777777" w:rsidTr="00EA77C9">
        <w:trPr>
          <w:trHeight w:val="1483"/>
        </w:trPr>
        <w:tc>
          <w:tcPr>
            <w:tcW w:w="9746" w:type="dxa"/>
            <w:tcBorders>
              <w:top w:val="nil"/>
              <w:left w:val="nil"/>
              <w:bottom w:val="nil"/>
              <w:right w:val="nil"/>
            </w:tcBorders>
            <w:shd w:val="clear" w:color="auto" w:fill="D9E2F3" w:themeFill="accent1" w:themeFillTint="33"/>
            <w:vAlign w:val="center"/>
          </w:tcPr>
          <w:p w14:paraId="3AD38625" w14:textId="56B29AD9" w:rsidR="00D34697" w:rsidRPr="0017608D" w:rsidRDefault="00EA77C9" w:rsidP="00372E4A">
            <w:pPr>
              <w:pStyle w:val="mpcNormal"/>
              <w:keepNext w:val="0"/>
              <w:jc w:val="center"/>
              <w:rPr>
                <w:i/>
              </w:rPr>
            </w:pPr>
            <w:r>
              <w:rPr>
                <w:i/>
              </w:rPr>
              <w:t xml:space="preserve"> </w:t>
            </w:r>
            <w:r w:rsidR="00D34697">
              <w:rPr>
                <w:i/>
              </w:rPr>
              <w:t>‘</w:t>
            </w:r>
            <w:r w:rsidR="00D34697" w:rsidRPr="00EE0C9F">
              <w:rPr>
                <w:i/>
              </w:rPr>
              <w:t>This is a major preventative health initiative which offers an opportunity for the food and beverage industry to significantly contribute to improving the health of our nation. We know Australians trust our products and by providing transparent and easy to understand information through the Health Star Rating</w:t>
            </w:r>
            <w:r w:rsidR="005D5698">
              <w:rPr>
                <w:i/>
              </w:rPr>
              <w:t xml:space="preserve"> S</w:t>
            </w:r>
            <w:r w:rsidR="00D34697" w:rsidRPr="00EE0C9F">
              <w:rPr>
                <w:i/>
              </w:rPr>
              <w:t>ystem, we are continuing to deliver on the trust consumers place in us and our brands.</w:t>
            </w:r>
            <w:r w:rsidR="00D34697">
              <w:rPr>
                <w:i/>
              </w:rPr>
              <w:t xml:space="preserve">’ </w:t>
            </w:r>
            <w:r w:rsidR="00A72405">
              <w:rPr>
                <w:i/>
              </w:rPr>
              <w:br/>
            </w:r>
            <w:r w:rsidR="00D34697">
              <w:rPr>
                <w:i/>
              </w:rPr>
              <w:t xml:space="preserve">– </w:t>
            </w:r>
            <w:r w:rsidR="00A72405">
              <w:rPr>
                <w:i/>
              </w:rPr>
              <w:t>Australian f</w:t>
            </w:r>
            <w:r w:rsidR="00D34697">
              <w:rPr>
                <w:i/>
              </w:rPr>
              <w:t>ood manufacturer</w:t>
            </w:r>
            <w:r w:rsidR="005D5698">
              <w:rPr>
                <w:i/>
              </w:rPr>
              <w:t>, submission to the Five Year Review of the HSR System</w:t>
            </w:r>
          </w:p>
        </w:tc>
      </w:tr>
    </w:tbl>
    <w:p w14:paraId="4EAAE8FA" w14:textId="77777777" w:rsidR="00D34697" w:rsidRPr="00CC1ADD" w:rsidRDefault="00D34697" w:rsidP="0017608D">
      <w:pPr>
        <w:pStyle w:val="mpcNormal"/>
        <w:keepNext w:val="0"/>
        <w:rPr>
          <w:highlight w:val="cyan"/>
        </w:rPr>
      </w:pPr>
    </w:p>
    <w:tbl>
      <w:tblPr>
        <w:tblStyle w:val="TableGrid"/>
        <w:tblW w:w="0" w:type="auto"/>
        <w:tblLook w:val="04A0" w:firstRow="1" w:lastRow="0" w:firstColumn="1" w:lastColumn="0" w:noHBand="0" w:noVBand="1"/>
        <w:tblCaption w:val="Manufacturer quote 2"/>
        <w:tblDescription w:val="Quote re the value of the HSR System"/>
      </w:tblPr>
      <w:tblGrid>
        <w:gridCol w:w="9746"/>
      </w:tblGrid>
      <w:tr w:rsidR="003F0C98" w:rsidRPr="00CC1ADD" w14:paraId="387D0AFF" w14:textId="77777777" w:rsidTr="00EA77C9">
        <w:trPr>
          <w:trHeight w:val="1012"/>
        </w:trPr>
        <w:tc>
          <w:tcPr>
            <w:tcW w:w="9746" w:type="dxa"/>
            <w:tcBorders>
              <w:top w:val="nil"/>
              <w:left w:val="nil"/>
              <w:bottom w:val="nil"/>
              <w:right w:val="nil"/>
            </w:tcBorders>
            <w:shd w:val="clear" w:color="auto" w:fill="D9E2F3" w:themeFill="accent1" w:themeFillTint="33"/>
            <w:vAlign w:val="center"/>
          </w:tcPr>
          <w:p w14:paraId="32C7DD2E" w14:textId="070FA97B" w:rsidR="003F0C98" w:rsidRPr="0017608D" w:rsidRDefault="003F0C98" w:rsidP="0017608D">
            <w:pPr>
              <w:pStyle w:val="mpcNormal"/>
              <w:keepNext w:val="0"/>
              <w:jc w:val="center"/>
              <w:rPr>
                <w:i/>
              </w:rPr>
            </w:pPr>
            <w:r w:rsidRPr="0017608D">
              <w:rPr>
                <w:i/>
              </w:rPr>
              <w:t>‘At a product level it helps consumers make choices, which is why it’s there. At a brand level it reflects to a certain extent the company’s commitment to nutrition and their consumers. At an organisational level it creates a platform for us to have discussions with other business and have visibility with government’.</w:t>
            </w:r>
            <w:r w:rsidRPr="0017608D">
              <w:rPr>
                <w:rStyle w:val="FootnoteReference"/>
                <w:i/>
              </w:rPr>
              <w:footnoteReference w:id="132"/>
            </w:r>
          </w:p>
        </w:tc>
      </w:tr>
    </w:tbl>
    <w:p w14:paraId="309E9B23" w14:textId="2AD680A1" w:rsidR="00A50093" w:rsidRDefault="00A50093" w:rsidP="0017608D">
      <w:pPr>
        <w:pStyle w:val="mpcNormal"/>
        <w:keepNext w:val="0"/>
      </w:pPr>
    </w:p>
    <w:p w14:paraId="71AD37D2" w14:textId="73E2ED6F" w:rsidR="00EA77C9" w:rsidRDefault="003B52FB" w:rsidP="00EA77C9">
      <w:pPr>
        <w:pStyle w:val="mpcNormal"/>
        <w:keepNext w:val="0"/>
        <w:widowControl w:val="0"/>
      </w:pPr>
      <w:bookmarkStart w:id="145" w:name="Incentivising"/>
      <w:bookmarkEnd w:id="145"/>
      <w:r>
        <w:t xml:space="preserve">Continuing to drive uptake is the responsibility of </w:t>
      </w:r>
      <w:r w:rsidR="00EA77C9">
        <w:t>all stakeholders</w:t>
      </w:r>
      <w:r>
        <w:t>, with each contributing in different ways</w:t>
      </w:r>
      <w:r w:rsidR="00EA77C9">
        <w:t>.</w:t>
      </w:r>
    </w:p>
    <w:p w14:paraId="445FBBBE" w14:textId="71B97D1E" w:rsidR="005F0E30" w:rsidRDefault="005F0E30">
      <w:pPr>
        <w:pStyle w:val="mpcNormal"/>
        <w:keepNext w:val="0"/>
        <w:widowControl w:val="0"/>
      </w:pPr>
    </w:p>
    <w:p w14:paraId="3A37C755" w14:textId="7B870966" w:rsidR="00EA77C9" w:rsidRPr="00EE0C9F" w:rsidRDefault="00EA77C9" w:rsidP="007E0D2C">
      <w:pPr>
        <w:pStyle w:val="mpcbullets1"/>
      </w:pPr>
      <w:r w:rsidRPr="00676537">
        <w:rPr>
          <w:b/>
          <w:bCs/>
        </w:rPr>
        <w:t>Government</w:t>
      </w:r>
      <w:r w:rsidR="009620B0" w:rsidRPr="00676537">
        <w:rPr>
          <w:b/>
          <w:bCs/>
        </w:rPr>
        <w:t>s</w:t>
      </w:r>
      <w:r w:rsidRPr="007E551D">
        <w:t xml:space="preserve"> </w:t>
      </w:r>
      <w:r>
        <w:t>should</w:t>
      </w:r>
      <w:r w:rsidRPr="00EE0C9F">
        <w:t>:</w:t>
      </w:r>
    </w:p>
    <w:p w14:paraId="08E6D13D" w14:textId="0DE8E67C" w:rsidR="00EA77C9" w:rsidRPr="00EE0C9F" w:rsidRDefault="00EA77C9" w:rsidP="00173A82">
      <w:pPr>
        <w:pStyle w:val="mpcbullets2"/>
      </w:pPr>
      <w:r w:rsidRPr="00EE0C9F">
        <w:t xml:space="preserve">set </w:t>
      </w:r>
      <w:r>
        <w:t xml:space="preserve">a </w:t>
      </w:r>
      <w:r w:rsidRPr="00EE0C9F">
        <w:t>clear uptake target</w:t>
      </w:r>
      <w:r>
        <w:t xml:space="preserve"> and </w:t>
      </w:r>
      <w:r w:rsidRPr="00EE0C9F">
        <w:t xml:space="preserve">monitor </w:t>
      </w:r>
      <w:r>
        <w:t>against the target</w:t>
      </w:r>
    </w:p>
    <w:p w14:paraId="19F5BDF8" w14:textId="1E043336" w:rsidR="00EA77C9" w:rsidRDefault="00EA77C9" w:rsidP="00173A82">
      <w:pPr>
        <w:pStyle w:val="mpcbullets2"/>
      </w:pPr>
      <w:r>
        <w:t>contin</w:t>
      </w:r>
      <w:r w:rsidR="00A72405">
        <w:t>ue</w:t>
      </w:r>
      <w:r>
        <w:t xml:space="preserve"> to provide effective governance arrangements that support the HSR System and provide confidence in its administration</w:t>
      </w:r>
    </w:p>
    <w:p w14:paraId="03859E67" w14:textId="0EF15DB9" w:rsidR="00EA77C9" w:rsidRDefault="00EA77C9" w:rsidP="00173A82">
      <w:pPr>
        <w:pStyle w:val="mpcbullets2"/>
      </w:pPr>
      <w:r>
        <w:t>promot</w:t>
      </w:r>
      <w:r w:rsidR="00A72405">
        <w:t>e</w:t>
      </w:r>
      <w:r>
        <w:t xml:space="preserve"> the HSR</w:t>
      </w:r>
      <w:r w:rsidR="009620B0">
        <w:t xml:space="preserve"> System,</w:t>
      </w:r>
      <w:r>
        <w:t xml:space="preserve"> including as part of broader healthy eating messages</w:t>
      </w:r>
    </w:p>
    <w:p w14:paraId="5CA54258" w14:textId="782EE3E3" w:rsidR="009620B0" w:rsidRDefault="009620B0" w:rsidP="00173A82">
      <w:pPr>
        <w:pStyle w:val="mpcbullets2"/>
      </w:pPr>
      <w:r>
        <w:t>incorporate the HSR System into broader healthy eating initiatives and policies</w:t>
      </w:r>
    </w:p>
    <w:p w14:paraId="39E97958" w14:textId="1A077E1D" w:rsidR="009620B0" w:rsidRDefault="009620B0" w:rsidP="00CA03D9">
      <w:pPr>
        <w:pStyle w:val="mpcbullets3"/>
        <w:keepNext w:val="0"/>
      </w:pPr>
      <w:r>
        <w:t>State and Territory governments can incentivise uptake by integrating the HSR System as a tool to guide healthy food procurement in public settings</w:t>
      </w:r>
      <w:r w:rsidR="005D5698">
        <w:t>, as has been implemented in NSW</w:t>
      </w:r>
      <w:r>
        <w:t>.</w:t>
      </w:r>
    </w:p>
    <w:p w14:paraId="381A7796" w14:textId="34F6D997" w:rsidR="00EA77C9" w:rsidRPr="00EE0C9F" w:rsidRDefault="00EA77C9" w:rsidP="00173A82">
      <w:pPr>
        <w:pStyle w:val="mpcbullets2"/>
      </w:pPr>
      <w:r w:rsidRPr="00EE0C9F">
        <w:t>recognis</w:t>
      </w:r>
      <w:r w:rsidR="00A72405">
        <w:t>e</w:t>
      </w:r>
      <w:r w:rsidRPr="00EE0C9F">
        <w:t xml:space="preserve"> manufacturers that adopt the HSR System (particularly those that display the HSR on 100% of their eligible products).</w:t>
      </w:r>
    </w:p>
    <w:p w14:paraId="6A6A88BC" w14:textId="6F4698AE" w:rsidR="00EA77C9" w:rsidRPr="00EE0C9F" w:rsidRDefault="00EA77C9" w:rsidP="007E0D2C">
      <w:pPr>
        <w:pStyle w:val="mpcbullets3"/>
      </w:pPr>
      <w:r w:rsidRPr="00EE0C9F">
        <w:t xml:space="preserve">The HSR System website and social media should </w:t>
      </w:r>
      <w:r>
        <w:t xml:space="preserve">continue to </w:t>
      </w:r>
      <w:r w:rsidRPr="00EE0C9F">
        <w:t xml:space="preserve">identify companies that adopt the HSR System, recognising that </w:t>
      </w:r>
      <w:r>
        <w:t xml:space="preserve">they </w:t>
      </w:r>
      <w:r w:rsidRPr="00EE0C9F">
        <w:t xml:space="preserve">are </w:t>
      </w:r>
      <w:r>
        <w:t xml:space="preserve">supporting </w:t>
      </w:r>
      <w:r w:rsidRPr="00EE0C9F">
        <w:t>consumers</w:t>
      </w:r>
      <w:r>
        <w:t xml:space="preserve"> to make health</w:t>
      </w:r>
      <w:r w:rsidR="005D5698">
        <w:t>ier</w:t>
      </w:r>
      <w:r>
        <w:t xml:space="preserve"> choices. Promotion should highlight </w:t>
      </w:r>
      <w:r w:rsidRPr="00EE0C9F">
        <w:t>those companies that use the HSR across their entire range of products (i.e. those that are not preferentially displaying the HSR on high rating products).</w:t>
      </w:r>
    </w:p>
    <w:p w14:paraId="588738B2" w14:textId="77777777" w:rsidR="00A427DD" w:rsidRPr="00A427DD" w:rsidRDefault="00A427DD" w:rsidP="007E0D2C">
      <w:pPr>
        <w:pStyle w:val="mpcbullets1"/>
        <w:numPr>
          <w:ilvl w:val="0"/>
          <w:numId w:val="0"/>
        </w:numPr>
      </w:pPr>
    </w:p>
    <w:p w14:paraId="0C3A0B09" w14:textId="22AC459B" w:rsidR="00EA77C9" w:rsidRDefault="00EA77C9" w:rsidP="007E0D2C">
      <w:pPr>
        <w:pStyle w:val="mpcbullets1"/>
      </w:pPr>
      <w:r>
        <w:rPr>
          <w:b/>
        </w:rPr>
        <w:t>C</w:t>
      </w:r>
      <w:r w:rsidRPr="00EE0C9F">
        <w:rPr>
          <w:b/>
        </w:rPr>
        <w:t>onsumers</w:t>
      </w:r>
      <w:r w:rsidRPr="00EE0C9F">
        <w:t xml:space="preserve"> </w:t>
      </w:r>
      <w:r>
        <w:t xml:space="preserve">can contribute by </w:t>
      </w:r>
      <w:r w:rsidRPr="00EE0C9F">
        <w:t>us</w:t>
      </w:r>
      <w:r>
        <w:t>ing</w:t>
      </w:r>
      <w:r w:rsidRPr="00EE0C9F">
        <w:t xml:space="preserve"> the HSR and demand</w:t>
      </w:r>
      <w:r>
        <w:t>ing</w:t>
      </w:r>
      <w:r w:rsidRPr="00EE0C9F">
        <w:t xml:space="preserve"> that manufacturers display the HSR across their entire product range.</w:t>
      </w:r>
    </w:p>
    <w:p w14:paraId="4087713C" w14:textId="1EA1F974" w:rsidR="00EA77C9" w:rsidRPr="00EE0C9F" w:rsidRDefault="00EA77C9" w:rsidP="00173A82">
      <w:pPr>
        <w:pStyle w:val="mpcbullets2"/>
      </w:pPr>
      <w:r>
        <w:t xml:space="preserve">Consumers hold </w:t>
      </w:r>
      <w:r w:rsidR="00400AB0">
        <w:t xml:space="preserve">a powerful </w:t>
      </w:r>
      <w:r>
        <w:t xml:space="preserve">influence over retailers and manufacturers. If consumers are suspicious of products that do not display the HSR (and question this) or </w:t>
      </w:r>
      <w:r w:rsidRPr="00EE0C9F">
        <w:t xml:space="preserve">request that companies use the HSR to support </w:t>
      </w:r>
      <w:r w:rsidR="005D5698">
        <w:t>consumer</w:t>
      </w:r>
      <w:r w:rsidRPr="00EE0C9F">
        <w:t xml:space="preserve"> decision-making</w:t>
      </w:r>
      <w:r>
        <w:t xml:space="preserve">, this </w:t>
      </w:r>
      <w:r w:rsidR="005D5698">
        <w:t>w</w:t>
      </w:r>
      <w:r w:rsidR="00400AB0">
        <w:t xml:space="preserve">ill </w:t>
      </w:r>
      <w:r w:rsidR="005D5698">
        <w:t xml:space="preserve">be </w:t>
      </w:r>
      <w:r w:rsidR="00400AB0">
        <w:t>the</w:t>
      </w:r>
      <w:r w:rsidR="005D5698">
        <w:t xml:space="preserve"> strong</w:t>
      </w:r>
      <w:r w:rsidR="00400AB0">
        <w:t>est</w:t>
      </w:r>
      <w:r w:rsidR="005D5698">
        <w:t xml:space="preserve"> factor in d</w:t>
      </w:r>
      <w:r>
        <w:t>riv</w:t>
      </w:r>
      <w:r w:rsidR="005D5698">
        <w:t>ing</w:t>
      </w:r>
      <w:r>
        <w:t xml:space="preserve"> uptake of the HSR.</w:t>
      </w:r>
    </w:p>
    <w:p w14:paraId="270FDE6B" w14:textId="77777777" w:rsidR="00EA77C9" w:rsidRPr="00EE0C9F" w:rsidRDefault="00EA77C9" w:rsidP="00EA77C9">
      <w:pPr>
        <w:pStyle w:val="mpcNormal"/>
        <w:keepNext w:val="0"/>
        <w:widowControl w:val="0"/>
      </w:pPr>
    </w:p>
    <w:p w14:paraId="26D47D9F" w14:textId="33831BD5" w:rsidR="00EA77C9" w:rsidRPr="00EE0C9F" w:rsidRDefault="00EA77C9" w:rsidP="007E0D2C">
      <w:pPr>
        <w:pStyle w:val="mpcbullets1"/>
      </w:pPr>
      <w:r>
        <w:rPr>
          <w:b/>
        </w:rPr>
        <w:t>P</w:t>
      </w:r>
      <w:r w:rsidRPr="00EE0C9F">
        <w:rPr>
          <w:b/>
        </w:rPr>
        <w:t xml:space="preserve">ublic health bodies and nutritionists </w:t>
      </w:r>
      <w:r>
        <w:t xml:space="preserve">can educate </w:t>
      </w:r>
      <w:r w:rsidRPr="00EE0C9F">
        <w:t xml:space="preserve">consumers </w:t>
      </w:r>
      <w:r>
        <w:t xml:space="preserve">about </w:t>
      </w:r>
      <w:r w:rsidRPr="00EE0C9F">
        <w:t xml:space="preserve">the HSR </w:t>
      </w:r>
      <w:r>
        <w:t xml:space="preserve">System, how it </w:t>
      </w:r>
      <w:r w:rsidRPr="00EE0C9F">
        <w:t xml:space="preserve">can help them to make healthier choices when purchasing packaged foods and provide support to </w:t>
      </w:r>
      <w:r w:rsidR="005D5698">
        <w:t xml:space="preserve">consumers to </w:t>
      </w:r>
      <w:r w:rsidRPr="00EE0C9F">
        <w:t>use the HSR</w:t>
      </w:r>
      <w:r w:rsidR="005D5698">
        <w:t xml:space="preserve"> System</w:t>
      </w:r>
      <w:r w:rsidRPr="00EE0C9F">
        <w:t xml:space="preserve"> in the correct way.</w:t>
      </w:r>
    </w:p>
    <w:p w14:paraId="40E412EE" w14:textId="77777777" w:rsidR="00EA77C9" w:rsidRDefault="00EA77C9" w:rsidP="00EA77C9">
      <w:pPr>
        <w:pStyle w:val="mpcNormal"/>
        <w:keepNext w:val="0"/>
        <w:widowControl w:val="0"/>
      </w:pPr>
    </w:p>
    <w:p w14:paraId="3CDC52D3" w14:textId="5B53C424" w:rsidR="009620B0" w:rsidRDefault="009620B0" w:rsidP="007E0D2C">
      <w:pPr>
        <w:pStyle w:val="mpcbullets1"/>
      </w:pPr>
      <w:r w:rsidRPr="00620164">
        <w:rPr>
          <w:b/>
        </w:rPr>
        <w:t>Manufacturers</w:t>
      </w:r>
      <w:r>
        <w:t xml:space="preserve"> can be leaders in promoting public health and supporting their consumers by displaying the HSR across all products, not only those </w:t>
      </w:r>
      <w:r w:rsidR="00620164">
        <w:t>with</w:t>
      </w:r>
      <w:r>
        <w:t xml:space="preserve"> </w:t>
      </w:r>
      <w:r w:rsidR="00620164">
        <w:t>higher HSRs.</w:t>
      </w:r>
      <w:r>
        <w:t xml:space="preserve"> </w:t>
      </w:r>
    </w:p>
    <w:p w14:paraId="71FE4AB1" w14:textId="77777777" w:rsidR="00A427DD" w:rsidRDefault="00A427DD" w:rsidP="00A427DD">
      <w:pPr>
        <w:pStyle w:val="ListParagraph"/>
      </w:pPr>
    </w:p>
    <w:p w14:paraId="37988A4C" w14:textId="15765DC2" w:rsidR="00A427DD" w:rsidRPr="00A427DD" w:rsidRDefault="00A427DD" w:rsidP="007E0D2C">
      <w:pPr>
        <w:pStyle w:val="mpcbullets1"/>
      </w:pPr>
      <w:r>
        <w:rPr>
          <w:b/>
        </w:rPr>
        <w:t xml:space="preserve">Retailers </w:t>
      </w:r>
      <w:r w:rsidRPr="00A427DD">
        <w:t>can contribute by promoting the HSR System and HSR labelled foods in</w:t>
      </w:r>
      <w:r>
        <w:t xml:space="preserve"> </w:t>
      </w:r>
      <w:r w:rsidRPr="00A427DD">
        <w:t>store.</w:t>
      </w:r>
    </w:p>
    <w:p w14:paraId="6500EBC3" w14:textId="77777777" w:rsidR="00620164" w:rsidRPr="009620B0" w:rsidRDefault="00620164" w:rsidP="007E0D2C">
      <w:pPr>
        <w:pStyle w:val="mpcbullets1"/>
        <w:numPr>
          <w:ilvl w:val="0"/>
          <w:numId w:val="0"/>
        </w:numPr>
      </w:pPr>
    </w:p>
    <w:p w14:paraId="2628389C" w14:textId="4C99A1AD" w:rsidR="00EA77C9" w:rsidRDefault="00EA77C9" w:rsidP="007E0D2C">
      <w:pPr>
        <w:pStyle w:val="mpcbullets1"/>
      </w:pPr>
      <w:r>
        <w:rPr>
          <w:b/>
        </w:rPr>
        <w:t>I</w:t>
      </w:r>
      <w:r w:rsidRPr="00EE0C9F">
        <w:rPr>
          <w:b/>
        </w:rPr>
        <w:t>ndustry peak bodies</w:t>
      </w:r>
      <w:r w:rsidRPr="00EE0C9F">
        <w:t xml:space="preserve"> </w:t>
      </w:r>
      <w:r>
        <w:t xml:space="preserve">can </w:t>
      </w:r>
      <w:r w:rsidRPr="00EE0C9F">
        <w:t xml:space="preserve">encourage and support manufacturers to use the HSR System. </w:t>
      </w:r>
    </w:p>
    <w:p w14:paraId="08B709F5" w14:textId="21842CE3" w:rsidR="00EA77C9" w:rsidRPr="00EE0C9F" w:rsidRDefault="00EA77C9" w:rsidP="00173A82">
      <w:pPr>
        <w:pStyle w:val="mpcbullets2"/>
      </w:pPr>
      <w:r w:rsidRPr="00EE0C9F">
        <w:t xml:space="preserve">This may include organised </w:t>
      </w:r>
      <w:r>
        <w:t xml:space="preserve">campaigns </w:t>
      </w:r>
      <w:r w:rsidRPr="00EE0C9F">
        <w:t>to get manufacturers on board, providing support and guidance to help companies to use the System correctly and recognising companies that use the HSR across their entire product range.</w:t>
      </w:r>
    </w:p>
    <w:p w14:paraId="7105B925" w14:textId="77777777" w:rsidR="00EA77C9" w:rsidRPr="00EE0C9F" w:rsidRDefault="00EA77C9" w:rsidP="00EA77C9">
      <w:pPr>
        <w:pStyle w:val="mpcNormal"/>
        <w:keepNext w:val="0"/>
        <w:widowControl w:val="0"/>
      </w:pPr>
    </w:p>
    <w:p w14:paraId="039CA2AD" w14:textId="6C6BE4A3" w:rsidR="00EA77C9" w:rsidRPr="00CC1ADD" w:rsidRDefault="00EA77C9" w:rsidP="00EA77C9">
      <w:pPr>
        <w:pStyle w:val="mpcNormal"/>
        <w:keepNext w:val="0"/>
        <w:widowControl w:val="0"/>
      </w:pPr>
      <w:r>
        <w:t>A</w:t>
      </w:r>
      <w:r w:rsidRPr="00EE0C9F">
        <w:t xml:space="preserve">ll of these factors will support continued uptake </w:t>
      </w:r>
      <w:r>
        <w:t xml:space="preserve">of the HSR System </w:t>
      </w:r>
      <w:r w:rsidRPr="00EE0C9F">
        <w:t>over the coming years.</w:t>
      </w:r>
      <w:r w:rsidRPr="00CC1ADD">
        <w:t xml:space="preserve"> </w:t>
      </w:r>
    </w:p>
    <w:p w14:paraId="7401C9D4" w14:textId="03A8B372" w:rsidR="00EA77C9" w:rsidRDefault="00EA77C9">
      <w:pPr>
        <w:pStyle w:val="mpcNormal"/>
        <w:keepNext w:val="0"/>
        <w:widowControl w:val="0"/>
      </w:pPr>
    </w:p>
    <w:p w14:paraId="757E7AD9" w14:textId="77777777" w:rsidR="001D5779" w:rsidRPr="00EA77C9" w:rsidRDefault="001D5779" w:rsidP="005A3631">
      <w:pPr>
        <w:pStyle w:val="mpcheading2"/>
        <w:rPr>
          <w:lang w:eastAsia="en-GB"/>
        </w:rPr>
      </w:pPr>
      <w:bookmarkStart w:id="146" w:name="Targets"/>
      <w:bookmarkStart w:id="147" w:name="_Toc9955073"/>
      <w:bookmarkEnd w:id="146"/>
      <w:r w:rsidRPr="00EA77C9">
        <w:rPr>
          <w:lang w:eastAsia="en-GB"/>
        </w:rPr>
        <w:t>Rationale for uptake targets</w:t>
      </w:r>
      <w:bookmarkEnd w:id="147"/>
    </w:p>
    <w:p w14:paraId="78A0DEAF" w14:textId="4E0AC4D6" w:rsidR="004D4A55" w:rsidRDefault="004D4A55" w:rsidP="0017608D">
      <w:pPr>
        <w:pStyle w:val="mpcNormal"/>
        <w:keepNext w:val="0"/>
      </w:pPr>
      <w:r>
        <w:rPr>
          <w:sz w:val="23"/>
          <w:szCs w:val="23"/>
        </w:rPr>
        <w:t xml:space="preserve">The absence of an uptake target when the HSR System was first implemented has made it difficult to </w:t>
      </w:r>
      <w:r w:rsidR="00957A19">
        <w:rPr>
          <w:sz w:val="23"/>
          <w:szCs w:val="23"/>
        </w:rPr>
        <w:t xml:space="preserve">determine whether there has been </w:t>
      </w:r>
      <w:r w:rsidR="00400AB0">
        <w:rPr>
          <w:sz w:val="23"/>
          <w:szCs w:val="23"/>
        </w:rPr>
        <w:t>‘</w:t>
      </w:r>
      <w:r w:rsidR="00957A19">
        <w:rPr>
          <w:sz w:val="23"/>
          <w:szCs w:val="23"/>
        </w:rPr>
        <w:t>adequate</w:t>
      </w:r>
      <w:r w:rsidR="00400AB0">
        <w:rPr>
          <w:sz w:val="23"/>
          <w:szCs w:val="23"/>
        </w:rPr>
        <w:t>’</w:t>
      </w:r>
      <w:r w:rsidR="00957A19">
        <w:rPr>
          <w:sz w:val="23"/>
          <w:szCs w:val="23"/>
        </w:rPr>
        <w:t xml:space="preserve"> uptake.</w:t>
      </w:r>
    </w:p>
    <w:p w14:paraId="6737257C" w14:textId="77777777" w:rsidR="004D4A55" w:rsidRDefault="004D4A55" w:rsidP="0017608D">
      <w:pPr>
        <w:pStyle w:val="mpcNormal"/>
        <w:keepNext w:val="0"/>
      </w:pPr>
    </w:p>
    <w:p w14:paraId="63B23AA2" w14:textId="4E8BE0AD" w:rsidR="001D5779" w:rsidRPr="00EA77C9" w:rsidRDefault="001D5779" w:rsidP="0017608D">
      <w:pPr>
        <w:pStyle w:val="mpcNormal"/>
        <w:keepNext w:val="0"/>
      </w:pPr>
      <w:r w:rsidRPr="00EA77C9">
        <w:t xml:space="preserve">Identifying an appropriate uptake target and timeframe within which to achieve it is challenging. In considering targets, the Review has been guided by stakeholder feedback, what can be achieved through target setting and international experience. </w:t>
      </w:r>
    </w:p>
    <w:p w14:paraId="47804E30" w14:textId="77777777" w:rsidR="001D5779" w:rsidRPr="00EA77C9" w:rsidRDefault="001D5779" w:rsidP="0017608D">
      <w:pPr>
        <w:pStyle w:val="mpcNormal"/>
        <w:keepNext w:val="0"/>
      </w:pPr>
    </w:p>
    <w:p w14:paraId="6D6D6210" w14:textId="61ECB128" w:rsidR="008A3672" w:rsidRDefault="001D5779">
      <w:pPr>
        <w:pStyle w:val="mpcNormal"/>
        <w:keepNext w:val="0"/>
      </w:pPr>
      <w:r w:rsidRPr="00EA77C9">
        <w:t xml:space="preserve">The Review recommends an uptake target of 70% of </w:t>
      </w:r>
      <w:r w:rsidR="008A3672" w:rsidRPr="000C2CCD">
        <w:t xml:space="preserve">target </w:t>
      </w:r>
      <w:r w:rsidRPr="000C2CCD">
        <w:t xml:space="preserve">products </w:t>
      </w:r>
      <w:r w:rsidR="008756A0">
        <w:t xml:space="preserve">(based on SKUs) </w:t>
      </w:r>
      <w:r w:rsidRPr="000C2CCD">
        <w:t xml:space="preserve">displaying the HSR </w:t>
      </w:r>
      <w:r w:rsidR="000C2CCD" w:rsidRPr="000C2CCD">
        <w:t>within five years of a government decision on these recommendations</w:t>
      </w:r>
      <w:r w:rsidR="008A3672" w:rsidRPr="000C2CCD">
        <w:t xml:space="preserve">. </w:t>
      </w:r>
      <w:r w:rsidR="000C2CCD" w:rsidRPr="000C2CCD">
        <w:t xml:space="preserve">If the target </w:t>
      </w:r>
      <w:r w:rsidR="000C2CCD">
        <w:t>is not reached within this timeframe</w:t>
      </w:r>
      <w:r w:rsidR="00400AB0">
        <w:t xml:space="preserve"> (and the HSR is still performing well in guiding consumers to healthier choices)</w:t>
      </w:r>
      <w:r w:rsidR="000C2CCD" w:rsidRPr="000C2CCD">
        <w:t>, the HSR System should be mandated.</w:t>
      </w:r>
    </w:p>
    <w:p w14:paraId="2245BE6F" w14:textId="68A760AB" w:rsidR="00845E72" w:rsidRDefault="00845E72">
      <w:pPr>
        <w:pStyle w:val="mpcNormal"/>
        <w:keepNext w:val="0"/>
      </w:pPr>
    </w:p>
    <w:p w14:paraId="76E512FD" w14:textId="77777777" w:rsidR="00400AB0" w:rsidRDefault="008A3672">
      <w:pPr>
        <w:pStyle w:val="mpcNormal"/>
        <w:keepNext w:val="0"/>
      </w:pPr>
      <w:r w:rsidRPr="00EA77C9">
        <w:t>In this context, target products refer to the products for which the HSR System is intended, i.e. exclud</w:t>
      </w:r>
      <w:r w:rsidR="00091684" w:rsidRPr="00EA77C9">
        <w:t>ing</w:t>
      </w:r>
      <w:r w:rsidRPr="00EA77C9">
        <w:t xml:space="preserve"> products for which the HSR System is not intended to apply but </w:t>
      </w:r>
      <w:r w:rsidR="00091684" w:rsidRPr="00EA77C9">
        <w:t>that</w:t>
      </w:r>
      <w:r w:rsidRPr="00EA77C9">
        <w:t xml:space="preserve"> may display the HSR. </w:t>
      </w:r>
    </w:p>
    <w:p w14:paraId="70465BBB" w14:textId="77777777" w:rsidR="00400AB0" w:rsidRDefault="00400AB0">
      <w:pPr>
        <w:pStyle w:val="mpcNormal"/>
        <w:keepNext w:val="0"/>
      </w:pPr>
    </w:p>
    <w:p w14:paraId="35A9853E" w14:textId="1458AA39" w:rsidR="00CA03D9" w:rsidRPr="003C71F1" w:rsidRDefault="00400AB0" w:rsidP="00CA03D9">
      <w:pPr>
        <w:pStyle w:val="mpcNormal"/>
        <w:keepNext w:val="0"/>
      </w:pPr>
      <w:r w:rsidRPr="00400AB0">
        <w:t xml:space="preserve">Broadly speaking, target products are </w:t>
      </w:r>
      <w:r w:rsidR="00AA5CB8" w:rsidRPr="00400AB0">
        <w:t>all products carrying a NIP</w:t>
      </w:r>
      <w:r w:rsidR="00CA03D9" w:rsidRPr="003C71F1">
        <w:rPr>
          <w:rStyle w:val="FootnoteReference"/>
        </w:rPr>
        <w:footnoteReference w:id="133"/>
      </w:r>
      <w:r w:rsidR="00CA03D9" w:rsidRPr="003C71F1">
        <w:t xml:space="preserve"> </w:t>
      </w:r>
      <w:r w:rsidRPr="00400AB0">
        <w:t>other than</w:t>
      </w:r>
      <w:r w:rsidR="00AA5CB8" w:rsidRPr="00400AB0">
        <w:t>:</w:t>
      </w:r>
      <w:r w:rsidR="00CA03D9">
        <w:t xml:space="preserve"> </w:t>
      </w:r>
    </w:p>
    <w:p w14:paraId="1D512566" w14:textId="350D623A" w:rsidR="00CA03D9" w:rsidRPr="003C71F1" w:rsidRDefault="00CA03D9" w:rsidP="00CA03D9">
      <w:pPr>
        <w:pStyle w:val="mpcNormal"/>
      </w:pPr>
    </w:p>
    <w:p w14:paraId="4D148069" w14:textId="77777777" w:rsidR="00CA03D9" w:rsidRPr="003C71F1" w:rsidRDefault="00CA03D9" w:rsidP="00CA03D9">
      <w:pPr>
        <w:pStyle w:val="mpcbullets2"/>
        <w:numPr>
          <w:ilvl w:val="0"/>
          <w:numId w:val="4"/>
        </w:numPr>
        <w:rPr>
          <w:rFonts w:ascii="SymbolMT" w:hAnsi="SymbolMT"/>
        </w:rPr>
      </w:pPr>
      <w:r w:rsidRPr="003C71F1">
        <w:t xml:space="preserve">products included under the Code Standard </w:t>
      </w:r>
      <w:hyperlink r:id="rId96" w:history="1">
        <w:r w:rsidRPr="003C71F1">
          <w:rPr>
            <w:rStyle w:val="Hyperlink"/>
            <w:i/>
            <w:iCs/>
          </w:rPr>
          <w:t>Part 2.9 Special Purpose Foods</w:t>
        </w:r>
      </w:hyperlink>
      <w:r w:rsidRPr="003C71F1">
        <w:t xml:space="preserve"> </w:t>
      </w:r>
    </w:p>
    <w:p w14:paraId="016773B8" w14:textId="77777777" w:rsidR="00CA03D9" w:rsidRPr="003C71F1" w:rsidRDefault="00CA03D9" w:rsidP="00CA03D9">
      <w:pPr>
        <w:pStyle w:val="mpcbullets2"/>
        <w:numPr>
          <w:ilvl w:val="0"/>
          <w:numId w:val="4"/>
        </w:numPr>
        <w:rPr>
          <w:rFonts w:ascii="SymbolMT" w:hAnsi="SymbolMT"/>
        </w:rPr>
      </w:pPr>
      <w:r w:rsidRPr="003C71F1">
        <w:t xml:space="preserve">products ineligible to display nutrition content claims and health claims as outlined under 1.2.7-5 of the Code </w:t>
      </w:r>
      <w:hyperlink r:id="rId97" w:history="1">
        <w:r w:rsidRPr="003C71F1">
          <w:rPr>
            <w:rStyle w:val="Hyperlink"/>
            <w:i/>
            <w:iCs/>
          </w:rPr>
          <w:t>Standard 1.2.7 – Nutrition, Health and Related Claims</w:t>
        </w:r>
      </w:hyperlink>
      <w:r w:rsidRPr="003C71F1">
        <w:rPr>
          <w:i/>
          <w:iCs/>
        </w:rPr>
        <w:t xml:space="preserve">, </w:t>
      </w:r>
      <w:r w:rsidRPr="003C71F1">
        <w:t>including products intended for further processing or labelled prior to retail sale, delivered to a vulnerable person by a delivered meal organisation, or provided as an institutional meal.</w:t>
      </w:r>
    </w:p>
    <w:p w14:paraId="41961145" w14:textId="54E022F2" w:rsidR="00AA5CB8" w:rsidRDefault="00AA5CB8">
      <w:pPr>
        <w:pStyle w:val="mpcNormal"/>
        <w:keepNext w:val="0"/>
      </w:pPr>
    </w:p>
    <w:p w14:paraId="20447283" w14:textId="616E9E85" w:rsidR="001D5779" w:rsidRPr="00EA77C9" w:rsidRDefault="005D5698" w:rsidP="0017608D">
      <w:pPr>
        <w:pStyle w:val="mpcNormal"/>
        <w:keepNext w:val="0"/>
      </w:pPr>
      <w:r w:rsidRPr="00C92621">
        <w:t xml:space="preserve">In submissions to the Review, </w:t>
      </w:r>
      <w:r w:rsidR="00957A19" w:rsidRPr="00C92621">
        <w:t>some</w:t>
      </w:r>
      <w:r w:rsidRPr="00C92621">
        <w:t xml:space="preserve"> stakeholders </w:t>
      </w:r>
      <w:r w:rsidR="00957A19" w:rsidRPr="00C92621">
        <w:t>suggested</w:t>
      </w:r>
      <w:r w:rsidRPr="00C92621">
        <w:t xml:space="preserve"> this target </w:t>
      </w:r>
      <w:r w:rsidR="00957A19" w:rsidRPr="00C92621">
        <w:t>wa</w:t>
      </w:r>
      <w:r w:rsidRPr="00C92621">
        <w:t xml:space="preserve">s too low, while </w:t>
      </w:r>
      <w:r w:rsidR="00957A19" w:rsidRPr="00C92621">
        <w:t xml:space="preserve">others </w:t>
      </w:r>
      <w:r w:rsidR="00174E49" w:rsidRPr="00C92621">
        <w:t>believed that</w:t>
      </w:r>
      <w:r w:rsidRPr="00C92621">
        <w:t xml:space="preserve"> </w:t>
      </w:r>
      <w:r w:rsidR="00174E49" w:rsidRPr="00C92621">
        <w:t xml:space="preserve">achieving </w:t>
      </w:r>
      <w:r w:rsidRPr="00C92621">
        <w:t xml:space="preserve">this target was not feasible. </w:t>
      </w:r>
      <w:r w:rsidR="00957A19" w:rsidRPr="00C92621">
        <w:t>T</w:t>
      </w:r>
      <w:r w:rsidR="008A3672" w:rsidRPr="00C92621">
        <w:t>his target</w:t>
      </w:r>
      <w:r w:rsidR="008A3672" w:rsidRPr="00EA77C9">
        <w:t xml:space="preserve"> </w:t>
      </w:r>
      <w:r w:rsidR="00957A19">
        <w:t>has been selected</w:t>
      </w:r>
      <w:r w:rsidR="008A3672" w:rsidRPr="00EA77C9">
        <w:t xml:space="preserve"> because</w:t>
      </w:r>
      <w:r w:rsidR="00957A19">
        <w:t>, on balance</w:t>
      </w:r>
      <w:r w:rsidR="008A3672" w:rsidRPr="00EA77C9">
        <w:t>:</w:t>
      </w:r>
    </w:p>
    <w:p w14:paraId="7CE9D4B7" w14:textId="77777777" w:rsidR="001D5779" w:rsidRPr="00EA77C9" w:rsidRDefault="001D5779" w:rsidP="0017608D">
      <w:pPr>
        <w:pStyle w:val="mpcNormal"/>
        <w:keepNext w:val="0"/>
      </w:pPr>
    </w:p>
    <w:p w14:paraId="31927B79" w14:textId="77777777" w:rsidR="001D5779" w:rsidRPr="00EA77C9" w:rsidRDefault="001D5779" w:rsidP="007E0D2C">
      <w:pPr>
        <w:pStyle w:val="mpcbullets1"/>
      </w:pPr>
      <w:r w:rsidRPr="00EA77C9">
        <w:t>it is a specific and measurable target that supports the objectives of the HSR System and against which performance can be meaningfully assessed</w:t>
      </w:r>
    </w:p>
    <w:p w14:paraId="5B97A8B2" w14:textId="77777777" w:rsidR="001D5779" w:rsidRPr="00EA77C9" w:rsidRDefault="001D5779" w:rsidP="007E0D2C">
      <w:pPr>
        <w:pStyle w:val="mpcbullets1"/>
      </w:pPr>
      <w:r w:rsidRPr="00EA77C9">
        <w:t>data regarding participation in the HSR suggests that the uptake trajectory makes this an attainable target</w:t>
      </w:r>
    </w:p>
    <w:p w14:paraId="642FA967" w14:textId="586A2CE8" w:rsidR="001D5779" w:rsidRPr="00EA77C9" w:rsidRDefault="001D5779" w:rsidP="00173A82">
      <w:pPr>
        <w:pStyle w:val="mpcbullets2"/>
      </w:pPr>
      <w:r w:rsidRPr="00EA77C9">
        <w:t>From 2016-17 to 2018-19, uptake of the HSR System increased by 8%. Assuming this trend continues over the next five years, a 40% increase to achieve 70% uptake is reasonable.</w:t>
      </w:r>
    </w:p>
    <w:p w14:paraId="1382AE1C" w14:textId="77777777" w:rsidR="001D5779" w:rsidRPr="00EA77C9" w:rsidRDefault="001D5779" w:rsidP="007E0D2C">
      <w:pPr>
        <w:pStyle w:val="mpcbullets1"/>
      </w:pPr>
      <w:r w:rsidRPr="00EA77C9">
        <w:t>it is expected that recommendations to improve the HSR System will result in further increased uptake</w:t>
      </w:r>
    </w:p>
    <w:p w14:paraId="175E2BE9" w14:textId="77777777" w:rsidR="001D5779" w:rsidRPr="00EA77C9" w:rsidRDefault="001D5779" w:rsidP="007E0D2C">
      <w:pPr>
        <w:pStyle w:val="mpcbullets1"/>
      </w:pPr>
      <w:r w:rsidRPr="00EA77C9">
        <w:t>it is appropriately aspirational, reflecting industry’s investment in the HSR System to date and continued stakeholder motivation to promote and support the System as a public health intervention</w:t>
      </w:r>
    </w:p>
    <w:p w14:paraId="12C744EA" w14:textId="0FD75439" w:rsidR="001D5779" w:rsidRPr="00EA77C9" w:rsidRDefault="001D5779" w:rsidP="007E0D2C">
      <w:pPr>
        <w:pStyle w:val="mpcbullets1"/>
      </w:pPr>
      <w:r w:rsidRPr="00EA77C9">
        <w:t xml:space="preserve">looking to the UK experience, there is evidence that 70% uptake is a realistic target across all eligible products, with a particular focus on products of most interest </w:t>
      </w:r>
      <w:r w:rsidR="00CD7880" w:rsidRPr="00EA77C9">
        <w:t>to</w:t>
      </w:r>
      <w:r w:rsidRPr="00EA77C9">
        <w:t xml:space="preserve"> consumers</w:t>
      </w:r>
    </w:p>
    <w:p w14:paraId="01AB927D" w14:textId="137B395A" w:rsidR="001D5779" w:rsidRPr="00EA77C9" w:rsidRDefault="001D5779" w:rsidP="00173A82">
      <w:pPr>
        <w:pStyle w:val="mpcbullets2"/>
      </w:pPr>
      <w:r w:rsidRPr="00EA77C9">
        <w:t>In the UK, voluntary traffic light labelling was introduced in 2013, combining colour coding and percentage reference intakes. After five years, the scheme had been adopted by two-thirds of the packaged food and drink market in the UK.</w:t>
      </w:r>
      <w:r w:rsidR="00CD7880" w:rsidRPr="00EA77C9">
        <w:rPr>
          <w:rStyle w:val="FootnoteReference"/>
        </w:rPr>
        <w:footnoteReference w:id="134"/>
      </w:r>
    </w:p>
    <w:p w14:paraId="22E195A8" w14:textId="2E36D532" w:rsidR="00B77F7F" w:rsidRPr="00C92621" w:rsidRDefault="00B77F7F" w:rsidP="00B77F7F">
      <w:pPr>
        <w:pStyle w:val="mpcNormal"/>
        <w:keepNext w:val="0"/>
        <w:numPr>
          <w:ilvl w:val="0"/>
          <w:numId w:val="4"/>
        </w:numPr>
      </w:pPr>
      <w:r w:rsidRPr="00C92621">
        <w:t>the UK’s salt reduction program demonstrates that government and food manufacturers can work collaboratively to achieve a significant public health outcome. Between 2003 and 2011, sodium intake in the UK fell significantly as the result of a voluntary commitment to reduce the average adult salt intake to 6g per day.</w:t>
      </w:r>
      <w:r w:rsidRPr="00C92621">
        <w:rPr>
          <w:rStyle w:val="FootnoteReference"/>
        </w:rPr>
        <w:footnoteReference w:id="135"/>
      </w:r>
    </w:p>
    <w:p w14:paraId="50620B85" w14:textId="77777777" w:rsidR="008A3672" w:rsidRPr="00EA77C9" w:rsidRDefault="008A3672" w:rsidP="0017608D">
      <w:pPr>
        <w:pStyle w:val="mpcNormal"/>
        <w:keepNext w:val="0"/>
      </w:pPr>
    </w:p>
    <w:p w14:paraId="4377C0D2" w14:textId="52065953" w:rsidR="00861EC1" w:rsidRDefault="00EA77C9" w:rsidP="0017608D">
      <w:pPr>
        <w:pStyle w:val="mpcNormal"/>
        <w:keepNext w:val="0"/>
      </w:pPr>
      <w:r>
        <w:t>While the Review is not recommending different uptake targets for different product categories, monitoring will enable tracking of whether the HSR is being applied on all foods consistently and on foods on which consumers have indicated that they are most likely to use the HSR. For example:</w:t>
      </w:r>
    </w:p>
    <w:p w14:paraId="36742C9C" w14:textId="77777777" w:rsidR="00EA77C9" w:rsidRDefault="00EA77C9" w:rsidP="0017608D">
      <w:pPr>
        <w:pStyle w:val="mpcNormal"/>
        <w:keepNext w:val="0"/>
      </w:pPr>
    </w:p>
    <w:p w14:paraId="4F84B7E9" w14:textId="0A73AE52" w:rsidR="007F7247" w:rsidRPr="007F7247" w:rsidRDefault="007F7247" w:rsidP="007E0D2C">
      <w:pPr>
        <w:pStyle w:val="mpcbullets1"/>
        <w:rPr>
          <w:rFonts w:ascii="Times New Roman" w:hAnsi="Times New Roman"/>
        </w:rPr>
      </w:pPr>
      <w:r>
        <w:t>Australian consumers have indicated</w:t>
      </w:r>
      <w:r w:rsidRPr="007F7247">
        <w:t xml:space="preserve"> they are most likely to use </w:t>
      </w:r>
      <w:r w:rsidR="00AA5CB8">
        <w:t xml:space="preserve">the </w:t>
      </w:r>
      <w:r w:rsidRPr="007F7247">
        <w:t>HSR on processed foods: breakfast cereals</w:t>
      </w:r>
      <w:r w:rsidR="00174E49">
        <w:t xml:space="preserve">, </w:t>
      </w:r>
      <w:r w:rsidRPr="007F7247">
        <w:t>muesli bars</w:t>
      </w:r>
      <w:r w:rsidR="00174E49">
        <w:t xml:space="preserve">, </w:t>
      </w:r>
      <w:r w:rsidR="00602820">
        <w:t>pre-prepared meals, ready to eat foods, breads, snacks and yoghurts</w:t>
      </w:r>
      <w:r>
        <w:t>.</w:t>
      </w:r>
      <w:r>
        <w:rPr>
          <w:rStyle w:val="FootnoteReference"/>
        </w:rPr>
        <w:footnoteReference w:id="136"/>
      </w:r>
    </w:p>
    <w:p w14:paraId="19BCADA4" w14:textId="3AB37561" w:rsidR="00752513" w:rsidRDefault="00491FB9" w:rsidP="007E0D2C">
      <w:pPr>
        <w:pStyle w:val="mpcbullets1"/>
      </w:pPr>
      <w:r w:rsidRPr="00CC1ADD">
        <w:t>MPI monitoring of the System asked shoppers to consider what types of</w:t>
      </w:r>
      <w:r w:rsidR="00767B1E">
        <w:t xml:space="preserve"> products</w:t>
      </w:r>
      <w:r w:rsidRPr="00CC1ADD">
        <w:t xml:space="preserve"> they use the HSR for</w:t>
      </w:r>
      <w:r w:rsidR="00F851BC">
        <w:t>. T</w:t>
      </w:r>
      <w:r w:rsidRPr="00CC1ADD">
        <w:t>he HSR was most commonly reported to be used to choose breakfast cereals (22%), muesli bars (13%), snack foods (8%) and yoghurts (6%).</w:t>
      </w:r>
      <w:r w:rsidRPr="00CC1ADD">
        <w:rPr>
          <w:rStyle w:val="FootnoteReference"/>
        </w:rPr>
        <w:footnoteReference w:id="137"/>
      </w:r>
    </w:p>
    <w:p w14:paraId="5A12924D" w14:textId="64313F4D" w:rsidR="00491FB9" w:rsidRPr="00CC1ADD" w:rsidRDefault="00491FB9" w:rsidP="007E0D2C">
      <w:pPr>
        <w:pStyle w:val="mpcbullets1"/>
      </w:pPr>
      <w:r w:rsidRPr="00CC1ADD">
        <w:t>This is support</w:t>
      </w:r>
      <w:r w:rsidR="00954492" w:rsidRPr="00CC1ADD">
        <w:t>ed</w:t>
      </w:r>
      <w:r w:rsidRPr="00CC1ADD">
        <w:t xml:space="preserve"> by a study </w:t>
      </w:r>
      <w:r w:rsidR="00767B1E">
        <w:t>that</w:t>
      </w:r>
      <w:r w:rsidR="00767B1E" w:rsidRPr="00CC1ADD">
        <w:t xml:space="preserve"> </w:t>
      </w:r>
      <w:r w:rsidRPr="00CC1ADD">
        <w:t xml:space="preserve">found </w:t>
      </w:r>
      <w:r w:rsidR="00954492" w:rsidRPr="00CC1ADD">
        <w:t xml:space="preserve">UK </w:t>
      </w:r>
      <w:r w:rsidRPr="00CC1ADD">
        <w:t>shoppers looked for nutrition information predominantly for yoghurts (38%), breakfast cereals (34%), ready meals (28%), carbonated soft drinks (23%), salty snacks (22%) and confectionery (16%).</w:t>
      </w:r>
      <w:r w:rsidRPr="00CC1ADD">
        <w:rPr>
          <w:rFonts w:cs="Arial (Body CS)"/>
          <w:vertAlign w:val="superscript"/>
        </w:rPr>
        <w:footnoteReference w:id="138"/>
      </w:r>
    </w:p>
    <w:p w14:paraId="7A4A2224" w14:textId="77777777" w:rsidR="00861EC1" w:rsidRPr="00CC1ADD" w:rsidRDefault="00861EC1" w:rsidP="0017608D">
      <w:pPr>
        <w:pStyle w:val="mpcNormal"/>
        <w:keepNext w:val="0"/>
      </w:pPr>
    </w:p>
    <w:p w14:paraId="31696B64" w14:textId="146CAC46" w:rsidR="00C92621" w:rsidRDefault="00C92621">
      <w:pPr>
        <w:rPr>
          <w:rFonts w:cstheme="minorHAnsi"/>
          <w:sz w:val="22"/>
          <w:szCs w:val="22"/>
        </w:rPr>
      </w:pPr>
      <w:r w:rsidRPr="00190BE5">
        <w:rPr>
          <w:rFonts w:cstheme="minorHAnsi"/>
          <w:sz w:val="22"/>
          <w:szCs w:val="22"/>
        </w:rPr>
        <w:t>Regular monitoring against this target</w:t>
      </w:r>
      <w:r w:rsidR="00AA5CB8" w:rsidRPr="00190BE5">
        <w:rPr>
          <w:rFonts w:cstheme="minorHAnsi"/>
          <w:sz w:val="22"/>
          <w:szCs w:val="22"/>
        </w:rPr>
        <w:t xml:space="preserve"> should occur, particularly in the categories of highest interest to consumers, with results publicly reported to inform progress against the target.</w:t>
      </w:r>
    </w:p>
    <w:p w14:paraId="67C1F545" w14:textId="77777777" w:rsidR="001D5779" w:rsidRPr="00CC1ADD" w:rsidRDefault="001D5779">
      <w:pPr>
        <w:rPr>
          <w:sz w:val="22"/>
          <w:szCs w:val="22"/>
        </w:rPr>
      </w:pPr>
    </w:p>
    <w:p w14:paraId="16EB3CD9" w14:textId="63359C2F" w:rsidR="001D5779" w:rsidRPr="00CC1ADD" w:rsidRDefault="00C52B5B" w:rsidP="004A019F">
      <w:pPr>
        <w:pStyle w:val="mpcheading2"/>
        <w:keepNext/>
      </w:pPr>
      <w:bookmarkStart w:id="148" w:name="Guidance"/>
      <w:bookmarkStart w:id="149" w:name="_Toc9955074"/>
      <w:bookmarkEnd w:id="148"/>
      <w:r>
        <w:t xml:space="preserve">HSR System </w:t>
      </w:r>
      <w:r w:rsidR="001D5779" w:rsidRPr="00CC1ADD">
        <w:t>Industry guidance</w:t>
      </w:r>
      <w:bookmarkEnd w:id="149"/>
    </w:p>
    <w:p w14:paraId="20976812" w14:textId="6A88C774" w:rsidR="001D5779" w:rsidRPr="00CC1ADD" w:rsidRDefault="00A72405" w:rsidP="004A019F">
      <w:pPr>
        <w:keepNext/>
        <w:rPr>
          <w:rFonts w:cstheme="minorHAnsi"/>
          <w:sz w:val="22"/>
          <w:szCs w:val="22"/>
        </w:rPr>
      </w:pPr>
      <w:r>
        <w:rPr>
          <w:rFonts w:cstheme="minorHAnsi"/>
          <w:sz w:val="22"/>
          <w:szCs w:val="22"/>
        </w:rPr>
        <w:t>As a result of the Review</w:t>
      </w:r>
      <w:r w:rsidR="001D5779" w:rsidRPr="00CC1ADD">
        <w:rPr>
          <w:rFonts w:cstheme="minorHAnsi"/>
          <w:sz w:val="22"/>
          <w:szCs w:val="22"/>
        </w:rPr>
        <w:t xml:space="preserve">, changes will be needed to the Guide for Industry and the Style Guide. It is recommended that the opportunity be taken to combine, improve and strengthen these documents such that there is a single resource (similar to a Code of </w:t>
      </w:r>
      <w:r w:rsidR="00091684">
        <w:rPr>
          <w:rFonts w:cstheme="minorHAnsi"/>
          <w:sz w:val="22"/>
          <w:szCs w:val="22"/>
        </w:rPr>
        <w:t>Practice</w:t>
      </w:r>
      <w:r w:rsidR="001D5779" w:rsidRPr="00CC1ADD">
        <w:rPr>
          <w:rFonts w:cstheme="minorHAnsi"/>
          <w:sz w:val="22"/>
          <w:szCs w:val="22"/>
        </w:rPr>
        <w:t>) that describes the HSR System, its objectives and industry obligations.</w:t>
      </w:r>
    </w:p>
    <w:p w14:paraId="6B8032BC" w14:textId="77777777" w:rsidR="001D5779" w:rsidRPr="00CC1ADD" w:rsidRDefault="001D5779">
      <w:pPr>
        <w:rPr>
          <w:rFonts w:cstheme="minorHAnsi"/>
          <w:sz w:val="22"/>
          <w:szCs w:val="22"/>
        </w:rPr>
      </w:pPr>
    </w:p>
    <w:p w14:paraId="302738FB" w14:textId="77777777" w:rsidR="001D5779" w:rsidRPr="00CC1ADD" w:rsidRDefault="001D5779">
      <w:pPr>
        <w:rPr>
          <w:rFonts w:cstheme="minorHAnsi"/>
          <w:sz w:val="22"/>
          <w:szCs w:val="22"/>
        </w:rPr>
      </w:pPr>
      <w:r w:rsidRPr="00CC1ADD">
        <w:rPr>
          <w:rFonts w:cstheme="minorHAnsi"/>
          <w:sz w:val="22"/>
          <w:szCs w:val="22"/>
        </w:rPr>
        <w:t>The document should include:</w:t>
      </w:r>
    </w:p>
    <w:p w14:paraId="6BC1B133" w14:textId="77777777" w:rsidR="001D5779" w:rsidRPr="00CC1ADD" w:rsidRDefault="001D5779">
      <w:pPr>
        <w:rPr>
          <w:rFonts w:cstheme="minorHAnsi"/>
          <w:sz w:val="22"/>
          <w:szCs w:val="22"/>
        </w:rPr>
      </w:pPr>
    </w:p>
    <w:p w14:paraId="00B7DE54" w14:textId="77777777" w:rsidR="001D5779" w:rsidRPr="00CC1ADD" w:rsidRDefault="001D5779" w:rsidP="007E0D2C">
      <w:pPr>
        <w:pStyle w:val="mpcbullets1"/>
      </w:pPr>
      <w:r w:rsidRPr="00CC1ADD">
        <w:t xml:space="preserve">a clear statement of the objectives of the HSR System </w:t>
      </w:r>
    </w:p>
    <w:p w14:paraId="28D8E61A" w14:textId="764A676B" w:rsidR="001D5779" w:rsidRPr="00CC1ADD" w:rsidRDefault="001D5779" w:rsidP="007E0D2C">
      <w:pPr>
        <w:pStyle w:val="mpcbullets1"/>
      </w:pPr>
      <w:r w:rsidRPr="00CC1ADD">
        <w:t>uptake targets</w:t>
      </w:r>
      <w:r w:rsidR="00062022">
        <w:t xml:space="preserve"> and how these will be measured</w:t>
      </w:r>
    </w:p>
    <w:p w14:paraId="4B77468A" w14:textId="0C965029" w:rsidR="00A46252" w:rsidRDefault="00A46252" w:rsidP="007E0D2C">
      <w:pPr>
        <w:pStyle w:val="mpcbullets1"/>
      </w:pPr>
      <w:r>
        <w:t>descriptions and examples of the</w:t>
      </w:r>
      <w:r w:rsidR="001D5779" w:rsidRPr="00CC1ADD">
        <w:t xml:space="preserve"> products</w:t>
      </w:r>
      <w:r>
        <w:t>:</w:t>
      </w:r>
    </w:p>
    <w:p w14:paraId="60AF4A74" w14:textId="4ABEB7AA" w:rsidR="00A46252" w:rsidRDefault="00062022" w:rsidP="00173A82">
      <w:pPr>
        <w:pStyle w:val="mpcbullets2"/>
      </w:pPr>
      <w:r w:rsidRPr="00CC1ADD">
        <w:t>to which the HSR i</w:t>
      </w:r>
      <w:r>
        <w:t>s</w:t>
      </w:r>
      <w:r w:rsidRPr="00CC1ADD">
        <w:t xml:space="preserve"> </w:t>
      </w:r>
      <w:r w:rsidR="001D5779" w:rsidRPr="00CC1ADD">
        <w:t>intended to apply (</w:t>
      </w:r>
      <w:r w:rsidR="008A3672">
        <w:t>target</w:t>
      </w:r>
      <w:r w:rsidR="008A3672" w:rsidRPr="00CC1ADD">
        <w:t xml:space="preserve"> </w:t>
      </w:r>
      <w:r w:rsidR="001D5779" w:rsidRPr="00CC1ADD">
        <w:t>products)</w:t>
      </w:r>
    </w:p>
    <w:p w14:paraId="2D7A43E7" w14:textId="55E09C1F" w:rsidR="00A46252" w:rsidRDefault="00062022" w:rsidP="00173A82">
      <w:pPr>
        <w:pStyle w:val="mpcbullets2"/>
      </w:pPr>
      <w:r w:rsidRPr="00CC1ADD">
        <w:t>to which the HSR i</w:t>
      </w:r>
      <w:r>
        <w:t>s</w:t>
      </w:r>
      <w:r w:rsidRPr="00CC1ADD">
        <w:t xml:space="preserve"> </w:t>
      </w:r>
      <w:r w:rsidR="001D5779" w:rsidRPr="00CC1ADD">
        <w:t>not intended to apply</w:t>
      </w:r>
      <w:r w:rsidR="008A3672">
        <w:t xml:space="preserve"> but which may display the HSR (eligible products)</w:t>
      </w:r>
      <w:r w:rsidR="001D5779" w:rsidRPr="00CC1ADD">
        <w:t xml:space="preserve"> </w:t>
      </w:r>
    </w:p>
    <w:p w14:paraId="24004605" w14:textId="24D22748" w:rsidR="001D5779" w:rsidRPr="00CC1ADD" w:rsidRDefault="001D5779" w:rsidP="00173A82">
      <w:pPr>
        <w:pStyle w:val="mpcbullets2"/>
      </w:pPr>
      <w:r w:rsidRPr="00CC1ADD">
        <w:t>that must not display the HSR</w:t>
      </w:r>
      <w:r w:rsidR="00A46252">
        <w:t>.</w:t>
      </w:r>
    </w:p>
    <w:p w14:paraId="22A23CF2" w14:textId="77777777" w:rsidR="001D5779" w:rsidRPr="00CC1ADD" w:rsidRDefault="001D5779" w:rsidP="00173A82">
      <w:pPr>
        <w:pStyle w:val="mpcbullets2"/>
        <w:numPr>
          <w:ilvl w:val="0"/>
          <w:numId w:val="18"/>
        </w:numPr>
      </w:pPr>
      <w:r w:rsidRPr="00CC1ADD">
        <w:t>information about how to determine the HSR of a product</w:t>
      </w:r>
    </w:p>
    <w:p w14:paraId="4508E089" w14:textId="2D39BCB7" w:rsidR="001D5779" w:rsidRPr="00CC1ADD" w:rsidRDefault="001D5779" w:rsidP="00173A82">
      <w:pPr>
        <w:pStyle w:val="mpcbullets2"/>
      </w:pPr>
      <w:r w:rsidRPr="00CC1ADD">
        <w:t>As suggested by stakeholders</w:t>
      </w:r>
      <w:r w:rsidR="00062022">
        <w:t>,</w:t>
      </w:r>
      <w:r w:rsidRPr="00CC1ADD">
        <w:t xml:space="preserve"> it is proposed that the document would include:</w:t>
      </w:r>
    </w:p>
    <w:p w14:paraId="009AD2B2" w14:textId="77777777" w:rsidR="001D5779" w:rsidRPr="00CA03D9" w:rsidRDefault="001D5779" w:rsidP="00CA03D9">
      <w:pPr>
        <w:pStyle w:val="mpcbullets3"/>
      </w:pPr>
      <w:r w:rsidRPr="00CA03D9">
        <w:t>further examples demonstrating how to calculate the HSR</w:t>
      </w:r>
    </w:p>
    <w:p w14:paraId="4E91B1DB" w14:textId="77777777" w:rsidR="001D5779" w:rsidRPr="00CA03D9" w:rsidRDefault="001D5779" w:rsidP="00CA03D9">
      <w:pPr>
        <w:pStyle w:val="mpcbullets3"/>
      </w:pPr>
      <w:r w:rsidRPr="00CA03D9">
        <w:t xml:space="preserve">further detail about what is eligible to be considered FVNL and concentrated FVNL, including worked examples of how to calculate %FVNL </w:t>
      </w:r>
    </w:p>
    <w:p w14:paraId="46610B6E" w14:textId="33A88B03" w:rsidR="001D5779" w:rsidRPr="00CC1ADD" w:rsidRDefault="001D5779" w:rsidP="00CA03D9">
      <w:pPr>
        <w:pStyle w:val="mpcbullets3"/>
      </w:pPr>
      <w:r w:rsidRPr="00CA03D9">
        <w:t xml:space="preserve">which HSR </w:t>
      </w:r>
      <w:r w:rsidR="00153CBD" w:rsidRPr="00CA03D9">
        <w:t>c</w:t>
      </w:r>
      <w:r w:rsidRPr="00CA03D9">
        <w:t>ategory certain products should sit in, including by listing a range of examples under each</w:t>
      </w:r>
      <w:r w:rsidRPr="00CC1ADD">
        <w:t xml:space="preserve"> </w:t>
      </w:r>
      <w:r w:rsidR="00153CBD">
        <w:t>c</w:t>
      </w:r>
      <w:r w:rsidRPr="00CC1ADD">
        <w:t>ategory.</w:t>
      </w:r>
    </w:p>
    <w:p w14:paraId="14005D58" w14:textId="77777777" w:rsidR="001D5779" w:rsidRPr="00CC1ADD" w:rsidRDefault="001D5779" w:rsidP="007E0D2C">
      <w:pPr>
        <w:pStyle w:val="mpcbullets1"/>
      </w:pPr>
      <w:r w:rsidRPr="00CC1ADD">
        <w:t>information about how to present the HSR graphic</w:t>
      </w:r>
    </w:p>
    <w:p w14:paraId="6D09BF66" w14:textId="6830F1EF" w:rsidR="001D5779" w:rsidRPr="00CC1ADD" w:rsidRDefault="001D5779" w:rsidP="00173A82">
      <w:pPr>
        <w:pStyle w:val="mpcbullets2"/>
      </w:pPr>
      <w:r w:rsidRPr="00CC1ADD">
        <w:t xml:space="preserve">The document would reflect the expectation that Options 1-4 be used, and that only products displaying one of these options will be counted towards the uptake target. </w:t>
      </w:r>
    </w:p>
    <w:p w14:paraId="2A00A25E" w14:textId="77777777" w:rsidR="001D5779" w:rsidRPr="00CC1ADD" w:rsidRDefault="001D5779" w:rsidP="00173A82">
      <w:pPr>
        <w:pStyle w:val="mpcbullets2"/>
      </w:pPr>
      <w:r w:rsidRPr="00CC1ADD">
        <w:t>Artwork files (with HSR graphics) should continue to be available to industry.</w:t>
      </w:r>
    </w:p>
    <w:p w14:paraId="7561C2CB" w14:textId="34DD1D28" w:rsidR="001D5779" w:rsidRPr="00CC1ADD" w:rsidRDefault="001D5779" w:rsidP="007E0D2C">
      <w:pPr>
        <w:pStyle w:val="mpcbullets1"/>
      </w:pPr>
      <w:r w:rsidRPr="00CC1ADD">
        <w:t>complaints handling mechanisms</w:t>
      </w:r>
    </w:p>
    <w:p w14:paraId="427ACCFF" w14:textId="77777777" w:rsidR="001D5779" w:rsidRPr="00CC1ADD" w:rsidRDefault="001D5779" w:rsidP="007E0D2C">
      <w:pPr>
        <w:pStyle w:val="mpcbullets1"/>
      </w:pPr>
      <w:r w:rsidRPr="00CC1ADD">
        <w:t>how compliance with the HSR System will be monitored and reported</w:t>
      </w:r>
    </w:p>
    <w:p w14:paraId="34C2E2FD" w14:textId="77777777" w:rsidR="00CC6939" w:rsidRDefault="001D5779" w:rsidP="007E0D2C">
      <w:pPr>
        <w:pStyle w:val="mpcbullets1"/>
      </w:pPr>
      <w:r w:rsidRPr="00CC1ADD">
        <w:t>actions that may be taken in the event of non-compliance (including referral to the Australian Competition and Consumer Commission and the New Zealand Commerce Commission where an inaccurate HSR is displayed such that it is misleading for consumers)</w:t>
      </w:r>
    </w:p>
    <w:p w14:paraId="7C173829" w14:textId="16113FB2" w:rsidR="001D5779" w:rsidRPr="00CC1ADD" w:rsidRDefault="00CC6939" w:rsidP="007E0D2C">
      <w:pPr>
        <w:pStyle w:val="mpcbullets1"/>
      </w:pPr>
      <w:r>
        <w:t>the process for amending guidance materials</w:t>
      </w:r>
      <w:r w:rsidR="001D5779" w:rsidRPr="00CC1ADD">
        <w:t>.</w:t>
      </w:r>
    </w:p>
    <w:p w14:paraId="21D281D2" w14:textId="77777777" w:rsidR="001D5779" w:rsidRPr="00CC1ADD" w:rsidRDefault="001D5779">
      <w:pPr>
        <w:rPr>
          <w:sz w:val="22"/>
          <w:szCs w:val="22"/>
        </w:rPr>
      </w:pPr>
    </w:p>
    <w:p w14:paraId="2D841AB7" w14:textId="3A6239CB" w:rsidR="001D5779" w:rsidRDefault="001D5779" w:rsidP="0017608D">
      <w:pPr>
        <w:pStyle w:val="mpcNormal"/>
        <w:keepNext w:val="0"/>
      </w:pPr>
      <w:r w:rsidRPr="00CC1ADD">
        <w:rPr>
          <w:color w:val="000000" w:themeColor="text1"/>
        </w:rPr>
        <w:t>As suggested by stakeholders, it is also recommended that the</w:t>
      </w:r>
      <w:r w:rsidRPr="00CC1ADD">
        <w:t xml:space="preserve"> Online Calculator and Excel spreadsheet continue to be updated to improve their </w:t>
      </w:r>
      <w:r w:rsidR="00062022">
        <w:t xml:space="preserve">usability, </w:t>
      </w:r>
      <w:r w:rsidRPr="00CC1ADD">
        <w:t>stability and operational effectiveness for industry</w:t>
      </w:r>
      <w:r w:rsidR="00D962F6">
        <w:t>.</w:t>
      </w:r>
    </w:p>
    <w:p w14:paraId="6259E31B" w14:textId="77777777" w:rsidR="00174E49" w:rsidRDefault="00174E49" w:rsidP="0017608D">
      <w:pPr>
        <w:pStyle w:val="mpcNormal"/>
        <w:keepNext w:val="0"/>
      </w:pPr>
    </w:p>
    <w:p w14:paraId="608FDBBD" w14:textId="1D6811D2" w:rsidR="00174E49" w:rsidRPr="00CC1ADD" w:rsidRDefault="00174E49" w:rsidP="0017608D">
      <w:pPr>
        <w:pStyle w:val="mpcNormal"/>
        <w:keepNext w:val="0"/>
        <w:sectPr w:rsidR="00174E49" w:rsidRPr="00CC1ADD" w:rsidSect="00B36208">
          <w:footerReference w:type="default" r:id="rId98"/>
          <w:pgSz w:w="11900" w:h="16840"/>
          <w:pgMar w:top="1304" w:right="1077" w:bottom="1304" w:left="1077" w:header="709" w:footer="709" w:gutter="0"/>
          <w:cols w:space="708"/>
          <w:docGrid w:linePitch="360"/>
        </w:sectPr>
      </w:pPr>
      <w:r>
        <w:t xml:space="preserve">The review of guidance materials should be </w:t>
      </w:r>
      <w:r w:rsidR="00062022">
        <w:t xml:space="preserve">led by the government and </w:t>
      </w:r>
      <w:r>
        <w:t xml:space="preserve">undertaken </w:t>
      </w:r>
      <w:r w:rsidR="00062022">
        <w:t>by the HSR Secretariat, in consultation with the HSRAC as necessary</w:t>
      </w:r>
      <w:r w:rsidR="00677316">
        <w:t>.</w:t>
      </w:r>
    </w:p>
    <w:p w14:paraId="602A5CC1" w14:textId="2D8D3647" w:rsidR="00F43B13" w:rsidRPr="00CC1ADD" w:rsidRDefault="00F43B13">
      <w:pPr>
        <w:pStyle w:val="mpcheading1"/>
        <w:spacing w:after="0"/>
      </w:pPr>
      <w:bookmarkStart w:id="150" w:name="Chapter8"/>
      <w:bookmarkStart w:id="151" w:name="AppendixA"/>
      <w:bookmarkStart w:id="152" w:name="_Toc9955075"/>
      <w:bookmarkEnd w:id="150"/>
      <w:bookmarkEnd w:id="151"/>
      <w:r w:rsidRPr="00CC1ADD">
        <w:t xml:space="preserve">Appendix A: </w:t>
      </w:r>
      <w:r w:rsidR="00C82D90">
        <w:t>About</w:t>
      </w:r>
      <w:r w:rsidRPr="00CC1ADD">
        <w:t xml:space="preserve"> the </w:t>
      </w:r>
      <w:r w:rsidR="00B76A4B" w:rsidRPr="00CC1ADD">
        <w:t>Health Star Rating</w:t>
      </w:r>
      <w:r w:rsidRPr="00CC1ADD">
        <w:t xml:space="preserve"> Calculator</w:t>
      </w:r>
      <w:bookmarkEnd w:id="152"/>
      <w:r w:rsidRPr="00CC1ADD">
        <w:t xml:space="preserve"> </w:t>
      </w:r>
    </w:p>
    <w:p w14:paraId="54354941" w14:textId="77777777" w:rsidR="00F43B13" w:rsidRPr="00CC1ADD" w:rsidRDefault="00F43B13" w:rsidP="005D75D3">
      <w:pPr>
        <w:pStyle w:val="mpcNormal"/>
        <w:keepNext w:val="0"/>
      </w:pPr>
    </w:p>
    <w:p w14:paraId="1B482718" w14:textId="77777777" w:rsidR="00F43B13" w:rsidRPr="00CC1ADD" w:rsidRDefault="00F43B13" w:rsidP="005A3631">
      <w:pPr>
        <w:pStyle w:val="mpcheading2"/>
        <w:rPr>
          <w:szCs w:val="22"/>
        </w:rPr>
      </w:pPr>
      <w:bookmarkStart w:id="153" w:name="Overview"/>
      <w:bookmarkStart w:id="154" w:name="_Toc527112919"/>
      <w:bookmarkStart w:id="155" w:name="_Toc9955076"/>
      <w:bookmarkEnd w:id="153"/>
      <w:r w:rsidRPr="00CC1ADD">
        <w:rPr>
          <w:szCs w:val="22"/>
        </w:rPr>
        <w:t>Overview</w:t>
      </w:r>
      <w:bookmarkEnd w:id="154"/>
      <w:bookmarkEnd w:id="155"/>
    </w:p>
    <w:p w14:paraId="280F446E" w14:textId="0BFA383F" w:rsidR="00F43B13" w:rsidRPr="00CC1ADD" w:rsidRDefault="00F43B13" w:rsidP="005D75D3">
      <w:pPr>
        <w:pStyle w:val="mpcNormal"/>
        <w:keepNext w:val="0"/>
      </w:pPr>
      <w:r w:rsidRPr="00CC1ADD">
        <w:t>The Code requires most packaged foods to display a Nutrition Information Panel (NIP) providing mandatory information on the average quantity per 100g or 100mL of energy, protein, total fat, saturated fat, carbohydrate, sugars and sodium.</w:t>
      </w:r>
    </w:p>
    <w:p w14:paraId="6CC0E6A8" w14:textId="77777777" w:rsidR="00F43B13" w:rsidRPr="00CC1ADD" w:rsidRDefault="00F43B13" w:rsidP="005D75D3">
      <w:pPr>
        <w:pStyle w:val="mpcNormal"/>
        <w:keepNext w:val="0"/>
      </w:pPr>
    </w:p>
    <w:p w14:paraId="3F5DABCC" w14:textId="77777777" w:rsidR="00F43B13" w:rsidRPr="00CC1ADD" w:rsidRDefault="00F43B13" w:rsidP="005D75D3">
      <w:pPr>
        <w:pStyle w:val="mpcNormal"/>
        <w:keepNext w:val="0"/>
      </w:pPr>
      <w:r w:rsidRPr="00CC1ADD">
        <w:t xml:space="preserve">The HSR System complements the NIP by providing interpretive information on the front of packaged food products. The HSR Calculator awards a star rating based on the quantity of specific components within the product. These components are: </w:t>
      </w:r>
    </w:p>
    <w:p w14:paraId="07949930" w14:textId="77777777" w:rsidR="00F43B13" w:rsidRPr="00CC1ADD" w:rsidRDefault="00F43B13" w:rsidP="005D75D3">
      <w:pPr>
        <w:pStyle w:val="mpcNormal"/>
        <w:keepNext w:val="0"/>
      </w:pPr>
    </w:p>
    <w:p w14:paraId="6AC58560" w14:textId="77777777" w:rsidR="00F43B13" w:rsidRPr="00052B3F" w:rsidRDefault="00F43B13" w:rsidP="007E0D2C">
      <w:pPr>
        <w:pStyle w:val="mpcbullets1"/>
      </w:pPr>
      <w:r w:rsidRPr="00052B3F">
        <w:rPr>
          <w:b/>
        </w:rPr>
        <w:t>risk components:</w:t>
      </w:r>
      <w:r w:rsidRPr="00052B3F">
        <w:t xml:space="preserve"> energy, saturated fat, total sugars and sodium</w:t>
      </w:r>
    </w:p>
    <w:p w14:paraId="369AA3E5" w14:textId="77777777" w:rsidR="00F43B13" w:rsidRPr="00CC1ADD" w:rsidRDefault="00F43B13" w:rsidP="007E0D2C">
      <w:pPr>
        <w:pStyle w:val="mpcbullets1"/>
      </w:pPr>
      <w:r w:rsidRPr="00CC1ADD">
        <w:rPr>
          <w:b/>
        </w:rPr>
        <w:t>positive components:</w:t>
      </w:r>
      <w:r w:rsidRPr="00CC1ADD">
        <w:t xml:space="preserve"> protein, dietary fibre, and fruit, vegetable, nut and legume (FVNL) content.</w:t>
      </w:r>
    </w:p>
    <w:p w14:paraId="658E50F2" w14:textId="77777777" w:rsidR="00F43B13" w:rsidRPr="00CC1ADD" w:rsidRDefault="00F43B13" w:rsidP="005D75D3">
      <w:pPr>
        <w:pStyle w:val="mpcNormal"/>
        <w:keepNext w:val="0"/>
      </w:pPr>
    </w:p>
    <w:p w14:paraId="1FC43C11" w14:textId="77777777" w:rsidR="00F43B13" w:rsidRPr="00CC1ADD" w:rsidRDefault="00F43B13" w:rsidP="005D75D3">
      <w:pPr>
        <w:pStyle w:val="mpcNormal"/>
        <w:keepNext w:val="0"/>
      </w:pPr>
      <w:r w:rsidRPr="00CC1ADD">
        <w:t xml:space="preserve">The HSR System has been optimised for application to packaged food and beverage products presented for retail sale through supermarkets and similar retail outlets. </w:t>
      </w:r>
    </w:p>
    <w:p w14:paraId="46411E15" w14:textId="77777777" w:rsidR="00F43B13" w:rsidRPr="00CC1ADD" w:rsidRDefault="00F43B13" w:rsidP="005D75D3">
      <w:pPr>
        <w:pStyle w:val="mpcNormal"/>
        <w:keepNext w:val="0"/>
      </w:pPr>
    </w:p>
    <w:p w14:paraId="4B2BF786" w14:textId="3FD51034" w:rsidR="00F43B13" w:rsidRPr="00CC1ADD" w:rsidRDefault="00F43B13">
      <w:pPr>
        <w:pStyle w:val="mpcheading2"/>
        <w:rPr>
          <w:szCs w:val="22"/>
        </w:rPr>
      </w:pPr>
      <w:bookmarkStart w:id="156" w:name="How"/>
      <w:bookmarkStart w:id="157" w:name="_Toc527112920"/>
      <w:bookmarkStart w:id="158" w:name="_Toc9955077"/>
      <w:bookmarkEnd w:id="156"/>
      <w:r w:rsidRPr="00CC1ADD">
        <w:rPr>
          <w:szCs w:val="22"/>
        </w:rPr>
        <w:t>How the HSR Calculator works</w:t>
      </w:r>
      <w:bookmarkEnd w:id="157"/>
      <w:bookmarkEnd w:id="158"/>
    </w:p>
    <w:p w14:paraId="2086FFBF" w14:textId="4C744741" w:rsidR="00F43B13" w:rsidRPr="00CC1ADD" w:rsidRDefault="00F43B13" w:rsidP="005D75D3">
      <w:pPr>
        <w:pStyle w:val="mpcNormal"/>
        <w:keepNext w:val="0"/>
      </w:pPr>
      <w:r w:rsidRPr="00CC1ADD">
        <w:t xml:space="preserve">The HSR Calculator is used by industry to determine the HSR for products. The following is a simplified outline of how the HSR Calculator works. For a comprehensive description of the HSR Calculator, please refer to the </w:t>
      </w:r>
      <w:hyperlink r:id="rId99" w:history="1">
        <w:r w:rsidRPr="00CC1ADD">
          <w:rPr>
            <w:rStyle w:val="Hyperlink"/>
          </w:rPr>
          <w:t>G</w:t>
        </w:r>
        <w:r w:rsidR="006F3A46" w:rsidRPr="00CC1ADD">
          <w:rPr>
            <w:rStyle w:val="Hyperlink"/>
          </w:rPr>
          <w:t>uide for Industry</w:t>
        </w:r>
      </w:hyperlink>
      <w:r w:rsidRPr="00CC1ADD">
        <w:t xml:space="preserve"> on the HSR website.</w:t>
      </w:r>
    </w:p>
    <w:p w14:paraId="760DF7F5" w14:textId="77777777" w:rsidR="00F43B13" w:rsidRPr="00CC1ADD" w:rsidRDefault="00F43B13" w:rsidP="005D75D3">
      <w:pPr>
        <w:pStyle w:val="mpcNormal"/>
        <w:keepNext w:val="0"/>
      </w:pPr>
    </w:p>
    <w:p w14:paraId="10EE6D57" w14:textId="0FEA3D13" w:rsidR="00F43B13" w:rsidRPr="00CC1ADD" w:rsidRDefault="004F7D86" w:rsidP="005D75D3">
      <w:pPr>
        <w:pStyle w:val="mpcheading4"/>
        <w:keepNext w:val="0"/>
      </w:pPr>
      <w:r w:rsidRPr="00CC1ADD">
        <w:t xml:space="preserve">Step 1. </w:t>
      </w:r>
      <w:r w:rsidR="00F43B13" w:rsidRPr="00CC1ADD">
        <w:t>Determine the category of food</w:t>
      </w:r>
    </w:p>
    <w:p w14:paraId="25E5557C" w14:textId="77777777" w:rsidR="00F43B13" w:rsidRPr="00CC1ADD" w:rsidRDefault="00F43B13" w:rsidP="005D75D3">
      <w:pPr>
        <w:pStyle w:val="mpcNormal"/>
        <w:keepNext w:val="0"/>
      </w:pPr>
    </w:p>
    <w:p w14:paraId="6A0D3655" w14:textId="77777777" w:rsidR="00F43B13" w:rsidRPr="00CC1ADD" w:rsidRDefault="00F43B13" w:rsidP="005D75D3">
      <w:pPr>
        <w:pStyle w:val="mpcNormal"/>
        <w:keepNext w:val="0"/>
      </w:pPr>
      <w:r w:rsidRPr="00CC1ADD">
        <w:t xml:space="preserve">The six categories of foods in the HSR Calculator are: </w:t>
      </w:r>
    </w:p>
    <w:p w14:paraId="17EA553D" w14:textId="77777777" w:rsidR="00F43B13" w:rsidRPr="00CC1ADD" w:rsidRDefault="00F43B13" w:rsidP="005D75D3">
      <w:pPr>
        <w:pStyle w:val="mpcNormal"/>
        <w:keepNext w:val="0"/>
      </w:pPr>
    </w:p>
    <w:p w14:paraId="13D4D064" w14:textId="77777777" w:rsidR="00F43B13" w:rsidRPr="00CC1ADD" w:rsidRDefault="00F43B13" w:rsidP="007E0D2C">
      <w:pPr>
        <w:pStyle w:val="mpcbullets1"/>
        <w:rPr>
          <w:b/>
        </w:rPr>
      </w:pPr>
      <w:r w:rsidRPr="00CC1ADD">
        <w:rPr>
          <w:b/>
        </w:rPr>
        <w:t xml:space="preserve">Category 1 </w:t>
      </w:r>
      <w:r w:rsidRPr="00CC1ADD">
        <w:t>– Non-dairy beverages</w:t>
      </w:r>
    </w:p>
    <w:p w14:paraId="664B4DE3" w14:textId="77777777" w:rsidR="00F43B13" w:rsidRPr="00CC1ADD" w:rsidRDefault="00F43B13" w:rsidP="00173A82">
      <w:pPr>
        <w:pStyle w:val="mpcbullets2"/>
        <w:numPr>
          <w:ilvl w:val="0"/>
          <w:numId w:val="12"/>
        </w:numPr>
      </w:pPr>
      <w:r w:rsidRPr="00CC1ADD">
        <w:t>E.g. fruit and vegetables juices, cordials, flavoured waters, soft drinks</w:t>
      </w:r>
    </w:p>
    <w:p w14:paraId="71F7FB31" w14:textId="77777777" w:rsidR="00F43B13" w:rsidRPr="00CC1ADD" w:rsidRDefault="00F43B13" w:rsidP="007E0D2C">
      <w:pPr>
        <w:pStyle w:val="mpcbullets1"/>
      </w:pPr>
      <w:r w:rsidRPr="00CC1ADD">
        <w:rPr>
          <w:b/>
        </w:rPr>
        <w:t xml:space="preserve">Category 1D </w:t>
      </w:r>
      <w:r w:rsidRPr="00CC1ADD">
        <w:t xml:space="preserve">– Dairy beverages and alternatives with calcium content </w:t>
      </w:r>
      <w:r w:rsidRPr="00CC1ADD">
        <w:sym w:font="Symbol" w:char="F0B3"/>
      </w:r>
      <w:r w:rsidRPr="00CC1ADD">
        <w:t xml:space="preserve"> 80mg per 100g</w:t>
      </w:r>
    </w:p>
    <w:p w14:paraId="516C7F0F" w14:textId="74BFE200" w:rsidR="00F43B13" w:rsidRPr="00CC1ADD" w:rsidRDefault="00F43B13" w:rsidP="00173A82">
      <w:pPr>
        <w:pStyle w:val="mpcbullets2"/>
        <w:numPr>
          <w:ilvl w:val="0"/>
          <w:numId w:val="12"/>
        </w:numPr>
      </w:pPr>
      <w:r w:rsidRPr="00CC1ADD">
        <w:t xml:space="preserve">E.g. milk, flavoured milk, </w:t>
      </w:r>
      <w:r w:rsidR="00FD3F05">
        <w:t xml:space="preserve">fortified </w:t>
      </w:r>
      <w:r w:rsidRPr="00CC1ADD">
        <w:t xml:space="preserve">soy milk, </w:t>
      </w:r>
      <w:r w:rsidR="00FD3F05">
        <w:t xml:space="preserve">fortified </w:t>
      </w:r>
      <w:r w:rsidRPr="00CC1ADD">
        <w:t>nut milk</w:t>
      </w:r>
    </w:p>
    <w:p w14:paraId="4A5350D1" w14:textId="77777777" w:rsidR="00F43B13" w:rsidRPr="00CC1ADD" w:rsidRDefault="00F43B13" w:rsidP="007E0D2C">
      <w:pPr>
        <w:pStyle w:val="mpcbullets1"/>
        <w:rPr>
          <w:b/>
        </w:rPr>
      </w:pPr>
      <w:r w:rsidRPr="00CC1ADD">
        <w:rPr>
          <w:b/>
        </w:rPr>
        <w:t xml:space="preserve">Category 2 </w:t>
      </w:r>
      <w:r w:rsidRPr="00CC1ADD">
        <w:t>– All foods not included in Category 1, 1D, 2D, 3 or 3D</w:t>
      </w:r>
    </w:p>
    <w:p w14:paraId="7950511E" w14:textId="77777777" w:rsidR="00F43B13" w:rsidRPr="00CC1ADD" w:rsidRDefault="00F43B13" w:rsidP="00173A82">
      <w:pPr>
        <w:pStyle w:val="mpcbullets2"/>
        <w:numPr>
          <w:ilvl w:val="0"/>
          <w:numId w:val="12"/>
        </w:numPr>
      </w:pPr>
      <w:r w:rsidRPr="00CC1ADD">
        <w:t xml:space="preserve">E.g. packaged fruits and vegetables, rice, quinoa, breakfast cereals, muesli bars, ready to eat meals, biscuits, chips, confectionery, salty snacks, dairy desserts, ice confections and jellies </w:t>
      </w:r>
    </w:p>
    <w:p w14:paraId="1944DB05" w14:textId="77777777" w:rsidR="00F43B13" w:rsidRPr="00CC1ADD" w:rsidRDefault="00F43B13" w:rsidP="007E0D2C">
      <w:pPr>
        <w:pStyle w:val="mpcbullets1"/>
      </w:pPr>
      <w:r w:rsidRPr="00CC1ADD">
        <w:rPr>
          <w:b/>
        </w:rPr>
        <w:t xml:space="preserve">Category 2D </w:t>
      </w:r>
      <w:r w:rsidRPr="00CC1ADD">
        <w:t>– All dairy foods and alternatives not included in Category 1D or 3D</w:t>
      </w:r>
    </w:p>
    <w:p w14:paraId="019310AF" w14:textId="77777777" w:rsidR="00F43B13" w:rsidRPr="00CC1ADD" w:rsidRDefault="00F43B13" w:rsidP="00173A82">
      <w:pPr>
        <w:pStyle w:val="mpcbullets2"/>
        <w:numPr>
          <w:ilvl w:val="0"/>
          <w:numId w:val="12"/>
        </w:numPr>
      </w:pPr>
      <w:r w:rsidRPr="00CC1ADD">
        <w:t xml:space="preserve">E.g. yoghurts, cheese with calcium content </w:t>
      </w:r>
      <w:r w:rsidRPr="00CC1ADD">
        <w:sym w:font="Symbol" w:char="F0A3"/>
      </w:r>
      <w:r w:rsidRPr="00CC1ADD">
        <w:t xml:space="preserve"> 320mg per 100g</w:t>
      </w:r>
    </w:p>
    <w:p w14:paraId="01F3B017" w14:textId="77777777" w:rsidR="00F43B13" w:rsidRPr="00CC1ADD" w:rsidRDefault="00F43B13" w:rsidP="007E0D2C">
      <w:pPr>
        <w:pStyle w:val="mpcbullets1"/>
        <w:rPr>
          <w:b/>
        </w:rPr>
      </w:pPr>
      <w:r w:rsidRPr="00CC1ADD">
        <w:rPr>
          <w:b/>
        </w:rPr>
        <w:t xml:space="preserve">Category 3 </w:t>
      </w:r>
      <w:r w:rsidRPr="00CC1ADD">
        <w:t>– Oils and spreads</w:t>
      </w:r>
    </w:p>
    <w:p w14:paraId="7CB723C4" w14:textId="3534E07A" w:rsidR="00F43B13" w:rsidRPr="00CC1ADD" w:rsidRDefault="00F43B13" w:rsidP="00173A82">
      <w:pPr>
        <w:pStyle w:val="mpcbullets2"/>
        <w:numPr>
          <w:ilvl w:val="0"/>
          <w:numId w:val="12"/>
        </w:numPr>
      </w:pPr>
      <w:r w:rsidRPr="00CC1ADD">
        <w:t>E.g. olive oil, coconut oil, butter, margarine</w:t>
      </w:r>
    </w:p>
    <w:p w14:paraId="18E4117F" w14:textId="77777777" w:rsidR="00F43B13" w:rsidRPr="00CC1ADD" w:rsidRDefault="00F43B13" w:rsidP="007E0D2C">
      <w:pPr>
        <w:pStyle w:val="mpcbullets1"/>
      </w:pPr>
      <w:r w:rsidRPr="00CC1ADD">
        <w:rPr>
          <w:b/>
        </w:rPr>
        <w:t xml:space="preserve">Category 3D </w:t>
      </w:r>
      <w:r w:rsidRPr="00CC1ADD">
        <w:t xml:space="preserve">– Cheeses and alternatives </w:t>
      </w:r>
    </w:p>
    <w:p w14:paraId="0080070A" w14:textId="77777777" w:rsidR="00F43B13" w:rsidRPr="00CC1ADD" w:rsidRDefault="00F43B13" w:rsidP="00173A82">
      <w:pPr>
        <w:pStyle w:val="mpcbullets2"/>
        <w:numPr>
          <w:ilvl w:val="0"/>
          <w:numId w:val="12"/>
        </w:numPr>
      </w:pPr>
      <w:r w:rsidRPr="00CC1ADD">
        <w:t>E.g. cheese with calcium content more than 320mg per 100g</w:t>
      </w:r>
    </w:p>
    <w:p w14:paraId="4A9AAC33" w14:textId="77777777" w:rsidR="00F43B13" w:rsidRPr="00CC1ADD" w:rsidRDefault="00F43B13" w:rsidP="005D75D3">
      <w:pPr>
        <w:pStyle w:val="mpcNormal"/>
        <w:keepNext w:val="0"/>
      </w:pPr>
    </w:p>
    <w:p w14:paraId="2ACD08C1" w14:textId="27CA20BA" w:rsidR="00F43B13" w:rsidRPr="00CC1ADD" w:rsidRDefault="004F7D86" w:rsidP="005D75D3">
      <w:pPr>
        <w:pStyle w:val="mpcheading4"/>
        <w:keepNext w:val="0"/>
      </w:pPr>
      <w:r w:rsidRPr="00CC1ADD">
        <w:t xml:space="preserve">Step 2. </w:t>
      </w:r>
      <w:r w:rsidR="00F43B13" w:rsidRPr="00CC1ADD">
        <w:t>Determine the form of the food for the HSR</w:t>
      </w:r>
      <w:r w:rsidR="00F43B13" w:rsidRPr="00CC1ADD">
        <w:rPr>
          <w:rStyle w:val="FootnoteReference"/>
          <w:b w:val="0"/>
          <w:sz w:val="22"/>
          <w:u w:val="single"/>
        </w:rPr>
        <w:footnoteReference w:id="139"/>
      </w:r>
      <w:r w:rsidR="00F43B13" w:rsidRPr="00CC1ADD">
        <w:t xml:space="preserve"> </w:t>
      </w:r>
    </w:p>
    <w:p w14:paraId="16D5AC75" w14:textId="77777777" w:rsidR="00F43B13" w:rsidRPr="00CC1ADD" w:rsidRDefault="00F43B13" w:rsidP="005D75D3">
      <w:pPr>
        <w:pStyle w:val="mpcNormal"/>
        <w:keepNext w:val="0"/>
      </w:pPr>
    </w:p>
    <w:p w14:paraId="1E45BDE7" w14:textId="77777777" w:rsidR="00F43B13" w:rsidRPr="00CC1ADD" w:rsidRDefault="00F43B13" w:rsidP="005D75D3">
      <w:pPr>
        <w:pStyle w:val="mpcNormal"/>
        <w:keepNext w:val="0"/>
      </w:pPr>
      <w:r w:rsidRPr="00CC1ADD">
        <w:t xml:space="preserve">The HSR (and hence nutrient content values used to determine it) should apply to the form of the food as determined in accordance with the following: </w:t>
      </w:r>
    </w:p>
    <w:p w14:paraId="7492FFA3" w14:textId="77777777" w:rsidR="00F43B13" w:rsidRPr="00CC1ADD" w:rsidRDefault="00F43B13" w:rsidP="005D75D3">
      <w:pPr>
        <w:pStyle w:val="mpcNormal"/>
        <w:keepNext w:val="0"/>
      </w:pPr>
    </w:p>
    <w:p w14:paraId="4665FD4F" w14:textId="77777777" w:rsidR="00F43B13" w:rsidRPr="00CC1ADD" w:rsidRDefault="00F43B13" w:rsidP="007E0D2C">
      <w:pPr>
        <w:pStyle w:val="mpcbullets1"/>
      </w:pPr>
      <w:r w:rsidRPr="00CC1ADD">
        <w:t xml:space="preserve">the food as sold if the food can be either prepared with other foods or consumed as sold </w:t>
      </w:r>
    </w:p>
    <w:p w14:paraId="51B3AB85" w14:textId="77777777" w:rsidR="00F43B13" w:rsidRPr="00CC1ADD" w:rsidRDefault="00F43B13" w:rsidP="007E0D2C">
      <w:pPr>
        <w:pStyle w:val="mpcbullets1"/>
      </w:pPr>
      <w:r w:rsidRPr="00CC1ADD">
        <w:t xml:space="preserve">the food as prepared if the food is required to be prepared and consumed according to directions on the label </w:t>
      </w:r>
    </w:p>
    <w:p w14:paraId="74C7F5C3" w14:textId="77777777" w:rsidR="00F43B13" w:rsidRPr="00CC1ADD" w:rsidRDefault="00F43B13" w:rsidP="007E0D2C">
      <w:pPr>
        <w:pStyle w:val="mpcbullets1"/>
      </w:pPr>
      <w:r w:rsidRPr="00CC1ADD">
        <w:t>the food after it is reconstituted with water and ready for consumption if the food requires reconstituting with water, or</w:t>
      </w:r>
    </w:p>
    <w:p w14:paraId="362C41FC" w14:textId="77777777" w:rsidR="00F43B13" w:rsidRPr="00CC1ADD" w:rsidRDefault="00F43B13" w:rsidP="007E0D2C">
      <w:pPr>
        <w:pStyle w:val="mpcbullets1"/>
      </w:pPr>
      <w:r w:rsidRPr="00CC1ADD">
        <w:t xml:space="preserve">the food after it is drained and ready for consumption if the food requires draining before consuming. </w:t>
      </w:r>
    </w:p>
    <w:p w14:paraId="5AEC3C08" w14:textId="77777777" w:rsidR="00F43B13" w:rsidRPr="00CC1ADD" w:rsidRDefault="00F43B13" w:rsidP="005D75D3">
      <w:pPr>
        <w:pStyle w:val="mpcNormal"/>
        <w:keepNext w:val="0"/>
      </w:pPr>
    </w:p>
    <w:p w14:paraId="33C7F6CB" w14:textId="77777777" w:rsidR="00F43B13" w:rsidRPr="00CC1ADD" w:rsidRDefault="00F43B13" w:rsidP="005D75D3">
      <w:pPr>
        <w:pStyle w:val="mpcNormal"/>
        <w:keepNext w:val="0"/>
      </w:pPr>
      <w:r w:rsidRPr="00CC1ADD">
        <w:t xml:space="preserve">The HSR should be based on the form of food for which the NIP information has been displayed. </w:t>
      </w:r>
    </w:p>
    <w:p w14:paraId="19539534" w14:textId="77777777" w:rsidR="00F43B13" w:rsidRPr="00CC1ADD" w:rsidRDefault="00F43B13" w:rsidP="005D75D3">
      <w:pPr>
        <w:pStyle w:val="mpcNormal"/>
        <w:keepNext w:val="0"/>
      </w:pPr>
    </w:p>
    <w:p w14:paraId="368F9BFF" w14:textId="16070FB3" w:rsidR="00F43B13" w:rsidRPr="00CC1ADD" w:rsidRDefault="004F7D86" w:rsidP="005D75D3">
      <w:pPr>
        <w:pStyle w:val="mpcheading4"/>
        <w:keepNext w:val="0"/>
      </w:pPr>
      <w:r w:rsidRPr="00CC1ADD">
        <w:t xml:space="preserve">Step 3. </w:t>
      </w:r>
      <w:r w:rsidR="00F43B13" w:rsidRPr="00CC1ADD">
        <w:t xml:space="preserve">Calculate HSR baseline points </w:t>
      </w:r>
    </w:p>
    <w:p w14:paraId="3E6050A4" w14:textId="77777777" w:rsidR="00F43B13" w:rsidRPr="00CC1ADD" w:rsidRDefault="00F43B13" w:rsidP="005D75D3">
      <w:pPr>
        <w:pStyle w:val="mpcNormal"/>
        <w:keepNext w:val="0"/>
      </w:pPr>
    </w:p>
    <w:p w14:paraId="1002769A" w14:textId="11F0DE08" w:rsidR="00F43B13" w:rsidRPr="00CC1ADD" w:rsidRDefault="00F43B13" w:rsidP="005D75D3">
      <w:pPr>
        <w:pStyle w:val="mpcNormal"/>
        <w:keepNext w:val="0"/>
      </w:pPr>
      <w:r w:rsidRPr="00CC1ADD">
        <w:t xml:space="preserve">HSR baseline points are calculated for the average quantity </w:t>
      </w:r>
      <w:r w:rsidR="006F79F0">
        <w:t xml:space="preserve">of </w:t>
      </w:r>
      <w:r w:rsidRPr="00CC1ADD">
        <w:t>risk-associated components per 100 g or 100 mL of the product (based on the units used in the NIP):</w:t>
      </w:r>
    </w:p>
    <w:p w14:paraId="498CAF50" w14:textId="77777777" w:rsidR="00F43B13" w:rsidRPr="00CC1ADD" w:rsidRDefault="00F43B13" w:rsidP="005D75D3">
      <w:pPr>
        <w:pStyle w:val="mpcNormal"/>
        <w:keepNext w:val="0"/>
      </w:pPr>
    </w:p>
    <w:p w14:paraId="352E60D6" w14:textId="1956C8BD" w:rsidR="00F43B13" w:rsidRPr="00CC1ADD" w:rsidRDefault="00F43B13" w:rsidP="007E0D2C">
      <w:pPr>
        <w:pStyle w:val="mpcbullets1"/>
      </w:pPr>
      <w:r w:rsidRPr="00CC1ADD">
        <w:rPr>
          <w:b/>
        </w:rPr>
        <w:t>energy</w:t>
      </w:r>
      <w:r w:rsidRPr="00CC1ADD">
        <w:t xml:space="preserve"> up to a maximum of 11 points for more than 3685 kJ per 100 g/mL of a product for all </w:t>
      </w:r>
      <w:r w:rsidR="00153CBD">
        <w:t>c</w:t>
      </w:r>
      <w:r w:rsidRPr="00CC1ADD">
        <w:t>ategories</w:t>
      </w:r>
    </w:p>
    <w:p w14:paraId="4F45C43D" w14:textId="315FB209" w:rsidR="00F43B13" w:rsidRPr="00CC1ADD" w:rsidRDefault="00F43B13" w:rsidP="007E0D2C">
      <w:pPr>
        <w:pStyle w:val="mpcbullets1"/>
      </w:pPr>
      <w:r w:rsidRPr="00CC1ADD">
        <w:rPr>
          <w:b/>
        </w:rPr>
        <w:t>saturated fat</w:t>
      </w:r>
      <w:r w:rsidRPr="00CC1ADD">
        <w:t xml:space="preserve"> up to a maximum of 30 points for more than 90% saturated fat in a product for all </w:t>
      </w:r>
      <w:r w:rsidR="00153CBD">
        <w:t>c</w:t>
      </w:r>
      <w:r w:rsidRPr="00CC1ADD">
        <w:t xml:space="preserve">ategories </w:t>
      </w:r>
    </w:p>
    <w:p w14:paraId="4286317A" w14:textId="77777777" w:rsidR="00F43B13" w:rsidRPr="00CC1ADD" w:rsidRDefault="00F43B13" w:rsidP="007E0D2C">
      <w:pPr>
        <w:pStyle w:val="mpcbullets1"/>
      </w:pPr>
      <w:r w:rsidRPr="00CC1ADD">
        <w:rPr>
          <w:b/>
        </w:rPr>
        <w:t>total sugars</w:t>
      </w:r>
      <w:r w:rsidRPr="00CC1ADD">
        <w:t xml:space="preserve"> up to a maximum of 22 points for more than 99% total sugars in a product for Category 1, 1D, 2 and 2D, and up to a maximum of 10 points for more than 45% total sugars in a product for Category 3 and 3D</w:t>
      </w:r>
    </w:p>
    <w:p w14:paraId="3124DC94" w14:textId="3EC5A932" w:rsidR="00F43B13" w:rsidRPr="00CC1ADD" w:rsidRDefault="00F43B13" w:rsidP="007E0D2C">
      <w:pPr>
        <w:pStyle w:val="mpcbullets1"/>
      </w:pPr>
      <w:r w:rsidRPr="00CC1ADD">
        <w:rPr>
          <w:b/>
        </w:rPr>
        <w:t>sodium</w:t>
      </w:r>
      <w:r w:rsidRPr="00CC1ADD">
        <w:t xml:space="preserve"> up to a maximum of 30 points for more than 8.10% sodium in a product for Category 1, 1D, 2 and 2D, and up to a maximum of 30 points for more than 2.7% sodium in a product for Category 3 and 3D. </w:t>
      </w:r>
    </w:p>
    <w:p w14:paraId="6E2EE9A3" w14:textId="77777777" w:rsidR="00F43B13" w:rsidRPr="00CC1ADD" w:rsidRDefault="00F43B13" w:rsidP="005D75D3">
      <w:pPr>
        <w:pStyle w:val="mpcNormal"/>
        <w:keepNext w:val="0"/>
      </w:pPr>
    </w:p>
    <w:p w14:paraId="18C6042F" w14:textId="1610A457" w:rsidR="00F43B13" w:rsidRPr="00CC1ADD" w:rsidRDefault="00F43B13" w:rsidP="005D75D3">
      <w:pPr>
        <w:pStyle w:val="mpcNormal"/>
        <w:keepNext w:val="0"/>
      </w:pPr>
      <w:r w:rsidRPr="00CC1ADD">
        <w:t>Baseline points are calculated based on the points tables which can be found in the</w:t>
      </w:r>
      <w:r w:rsidR="000D5F6E">
        <w:t xml:space="preserve"> Guide for</w:t>
      </w:r>
      <w:r w:rsidRPr="00CC1ADD">
        <w:t xml:space="preserve"> Industry.</w:t>
      </w:r>
    </w:p>
    <w:p w14:paraId="7F9B3D30" w14:textId="77777777" w:rsidR="00F43B13" w:rsidRPr="00CC1ADD" w:rsidRDefault="00F43B13" w:rsidP="005D75D3">
      <w:pPr>
        <w:pStyle w:val="mpcNormal"/>
        <w:keepNext w:val="0"/>
      </w:pPr>
    </w:p>
    <w:p w14:paraId="01874A89" w14:textId="3A2A7C7A" w:rsidR="00F43B13" w:rsidRPr="00CC1ADD" w:rsidRDefault="004F7D86" w:rsidP="005D75D3">
      <w:pPr>
        <w:pStyle w:val="mpcheading4"/>
        <w:keepNext w:val="0"/>
      </w:pPr>
      <w:r w:rsidRPr="00CC1ADD">
        <w:t xml:space="preserve">Step 4. </w:t>
      </w:r>
      <w:r w:rsidR="00F43B13" w:rsidRPr="00CC1ADD">
        <w:t xml:space="preserve">Calculate HSR modifying points </w:t>
      </w:r>
    </w:p>
    <w:p w14:paraId="3E43130E" w14:textId="77777777" w:rsidR="00F43B13" w:rsidRPr="00CC1ADD" w:rsidRDefault="00F43B13" w:rsidP="005D75D3">
      <w:pPr>
        <w:pStyle w:val="mpcNormal"/>
        <w:keepNext w:val="0"/>
      </w:pPr>
    </w:p>
    <w:p w14:paraId="2E3EDD26" w14:textId="77777777" w:rsidR="00F43B13" w:rsidRPr="00CC1ADD" w:rsidRDefault="00F43B13" w:rsidP="005D75D3">
      <w:pPr>
        <w:pStyle w:val="mpcNormal"/>
        <w:keepNext w:val="0"/>
      </w:pPr>
      <w:r w:rsidRPr="00CC1ADD">
        <w:t>HSR modifying points may be scored for the positive components in a product:</w:t>
      </w:r>
    </w:p>
    <w:p w14:paraId="3CB6D0AC" w14:textId="77777777" w:rsidR="00F43B13" w:rsidRPr="00CC1ADD" w:rsidRDefault="00F43B13" w:rsidP="005D75D3">
      <w:pPr>
        <w:pStyle w:val="mpcNormal"/>
        <w:keepNext w:val="0"/>
      </w:pPr>
    </w:p>
    <w:p w14:paraId="4C703678" w14:textId="3F3DBFAA" w:rsidR="00F43B13" w:rsidRPr="00CC1ADD" w:rsidRDefault="00F43B13" w:rsidP="007E0D2C">
      <w:pPr>
        <w:pStyle w:val="mpcbullets1"/>
      </w:pPr>
      <w:r w:rsidRPr="00CC1ADD">
        <w:rPr>
          <w:b/>
        </w:rPr>
        <w:t>V points</w:t>
      </w:r>
      <w:r w:rsidRPr="00CC1ADD">
        <w:t xml:space="preserve"> can be scored for the amount of fruits, nuts, vegetables and legumes (FVNL) or concentrated fruit and vegetable content in a food – from 1 point (for &gt; 40% FVNL or </w:t>
      </w:r>
      <w:r w:rsidR="003A148F">
        <w:sym w:font="Symbol" w:char="F0B3"/>
      </w:r>
      <w:r w:rsidRPr="00CC1ADD">
        <w:t xml:space="preserve"> 25% concentrated fruit and vegetable content) to a maximum of 8 points (for 100% FVNL/concentrated fruit and vegetable content)</w:t>
      </w:r>
    </w:p>
    <w:p w14:paraId="07E66739" w14:textId="77777777" w:rsidR="00F43B13" w:rsidRPr="00CC1ADD" w:rsidRDefault="00F43B13" w:rsidP="007E0D2C">
      <w:pPr>
        <w:pStyle w:val="mpcbullets1"/>
      </w:pPr>
      <w:r w:rsidRPr="00CC1ADD">
        <w:rPr>
          <w:b/>
        </w:rPr>
        <w:t>P points</w:t>
      </w:r>
      <w:r w:rsidRPr="00CC1ADD">
        <w:t xml:space="preserve"> can be scored for the amount of protein in a product, only if the product scores 13 or less baseline points, or scores more than 13 baseline points but also scores 5 or more V points – from 1 up to a maximum of 15 points for more than 50% protein</w:t>
      </w:r>
    </w:p>
    <w:p w14:paraId="2D12B014" w14:textId="77777777" w:rsidR="00F43B13" w:rsidRPr="00CC1ADD" w:rsidRDefault="00F43B13" w:rsidP="007E0D2C">
      <w:pPr>
        <w:pStyle w:val="mpcbullets1"/>
      </w:pPr>
      <w:r w:rsidRPr="00CC1ADD">
        <w:rPr>
          <w:b/>
        </w:rPr>
        <w:t>F points</w:t>
      </w:r>
      <w:r w:rsidRPr="00CC1ADD">
        <w:t xml:space="preserve"> can be scored for the amount of dietary fibre in a product for Category 2, 2D, 3 and 3D foods only (i.e. beverages cannot score F points) – from 1 up to a maximum of 15 points for more than 20% fibre.</w:t>
      </w:r>
    </w:p>
    <w:p w14:paraId="40F9B5D9" w14:textId="77777777" w:rsidR="00F43B13" w:rsidRPr="00CC1ADD" w:rsidRDefault="00F43B13" w:rsidP="005D75D3">
      <w:pPr>
        <w:pStyle w:val="mpcNormal"/>
        <w:keepNext w:val="0"/>
      </w:pPr>
    </w:p>
    <w:p w14:paraId="46C223B8" w14:textId="3F562C1E" w:rsidR="00F43B13" w:rsidRPr="00CC1ADD" w:rsidRDefault="004F7D86" w:rsidP="005D75D3">
      <w:pPr>
        <w:pStyle w:val="mpcheading4"/>
        <w:keepNext w:val="0"/>
      </w:pPr>
      <w:r w:rsidRPr="00CC1ADD">
        <w:t xml:space="preserve">Step 5. </w:t>
      </w:r>
      <w:r w:rsidR="00F43B13" w:rsidRPr="00CC1ADD">
        <w:t>Calculate the final HSR score</w:t>
      </w:r>
    </w:p>
    <w:p w14:paraId="20E1142D" w14:textId="77777777" w:rsidR="00F43B13" w:rsidRPr="00CC1ADD" w:rsidRDefault="00F43B13" w:rsidP="005D75D3">
      <w:pPr>
        <w:pStyle w:val="mpcNormal"/>
        <w:keepNext w:val="0"/>
      </w:pPr>
    </w:p>
    <w:p w14:paraId="75CFBD03" w14:textId="0EC2EC94" w:rsidR="00F43B13" w:rsidRPr="00CC1ADD" w:rsidRDefault="00F43B13" w:rsidP="005D75D3">
      <w:pPr>
        <w:pStyle w:val="mpcNormal"/>
        <w:keepNext w:val="0"/>
      </w:pPr>
      <w:r w:rsidRPr="00CC1ADD">
        <w:t xml:space="preserve">The </w:t>
      </w:r>
      <w:r w:rsidR="006F79F0">
        <w:t>f</w:t>
      </w:r>
      <w:r w:rsidRPr="00CC1ADD">
        <w:t>inal HSR Score is calculated by subtracting the modifying points (V, P and/or F points) from the HSR baseline points, using the below formula:</w:t>
      </w:r>
    </w:p>
    <w:p w14:paraId="3D9324E9" w14:textId="77777777" w:rsidR="00F43B13" w:rsidRPr="00CC1ADD" w:rsidRDefault="00F43B13" w:rsidP="005D75D3">
      <w:pPr>
        <w:pStyle w:val="mpcNormal"/>
        <w:keepNext w:val="0"/>
      </w:pPr>
    </w:p>
    <w:p w14:paraId="50FBCC32" w14:textId="77777777" w:rsidR="00F43B13" w:rsidRPr="00CC1ADD" w:rsidRDefault="00F43B13" w:rsidP="007E0D2C">
      <w:pPr>
        <w:pStyle w:val="mpcbullets1"/>
      </w:pPr>
      <w:r w:rsidRPr="00CC1ADD">
        <w:t>Final HSR Score = baseline points – (V points) – (P points) – (F points)</w:t>
      </w:r>
    </w:p>
    <w:p w14:paraId="66D573ED" w14:textId="77777777" w:rsidR="00F43B13" w:rsidRPr="00CC1ADD" w:rsidRDefault="00F43B13" w:rsidP="005D75D3">
      <w:pPr>
        <w:pStyle w:val="mpcNormal"/>
        <w:keepNext w:val="0"/>
      </w:pPr>
    </w:p>
    <w:p w14:paraId="25CD3C2B" w14:textId="0101161E" w:rsidR="00F43B13" w:rsidRPr="00CC1ADD" w:rsidRDefault="004F7D86" w:rsidP="00D82678">
      <w:pPr>
        <w:pStyle w:val="mpcheading4"/>
      </w:pPr>
      <w:r w:rsidRPr="00CC1ADD">
        <w:t xml:space="preserve">Step 6. </w:t>
      </w:r>
      <w:r w:rsidR="00F43B13" w:rsidRPr="00CC1ADD">
        <w:t>Assig</w:t>
      </w:r>
      <w:r w:rsidR="006F3A46" w:rsidRPr="00CC1ADD">
        <w:t xml:space="preserve">n </w:t>
      </w:r>
      <w:r w:rsidR="00F43B13" w:rsidRPr="00CC1ADD">
        <w:t xml:space="preserve">a rating to </w:t>
      </w:r>
      <w:r w:rsidR="006F3A46" w:rsidRPr="00CC1ADD">
        <w:t xml:space="preserve">the </w:t>
      </w:r>
      <w:r w:rsidR="00F43B13" w:rsidRPr="00CC1ADD">
        <w:t xml:space="preserve">food based on the final HSR score </w:t>
      </w:r>
    </w:p>
    <w:p w14:paraId="4D89F4C5" w14:textId="77777777" w:rsidR="00F43B13" w:rsidRPr="00CC1ADD" w:rsidRDefault="00F43B13" w:rsidP="00D82678">
      <w:pPr>
        <w:pStyle w:val="mpcNormal"/>
      </w:pPr>
    </w:p>
    <w:p w14:paraId="407FF76B" w14:textId="3EEE9FAB" w:rsidR="00F43B13" w:rsidRPr="00CC1ADD" w:rsidRDefault="00F43B13" w:rsidP="00D82678">
      <w:pPr>
        <w:pStyle w:val="mpcNormal"/>
      </w:pPr>
      <w:r w:rsidRPr="00CC1ADD">
        <w:t xml:space="preserve">The HSR score is determined based on the final HSR Score and the HSR </w:t>
      </w:r>
      <w:r w:rsidR="00153CBD">
        <w:t>c</w:t>
      </w:r>
      <w:r w:rsidRPr="00CC1ADD">
        <w:t xml:space="preserve">ategory the product is in based on the below table (found on page </w:t>
      </w:r>
      <w:r w:rsidR="000D5F6E">
        <w:t>14</w:t>
      </w:r>
      <w:r w:rsidRPr="00CC1ADD">
        <w:t xml:space="preserve"> of the Guide for Industry). Products can score from half a star (least healthy) to five stars (most healthy) in half-star increments (i.e. on a 10-point scale).</w:t>
      </w:r>
    </w:p>
    <w:p w14:paraId="08439326" w14:textId="3621B433" w:rsidR="00F43B13" w:rsidRDefault="00F43B13" w:rsidP="005D75D3">
      <w:pPr>
        <w:pStyle w:val="mpcNormal"/>
        <w:keepNext w:val="0"/>
      </w:pPr>
    </w:p>
    <w:p w14:paraId="460ACD3D" w14:textId="313DD86B" w:rsidR="006F79F0" w:rsidRPr="006F79F0" w:rsidRDefault="006F79F0" w:rsidP="005D75D3">
      <w:pPr>
        <w:pStyle w:val="mpcNormal"/>
        <w:keepNext w:val="0"/>
        <w:rPr>
          <w:b/>
        </w:rPr>
      </w:pPr>
      <w:r w:rsidRPr="00CA03D9">
        <w:rPr>
          <w:b/>
        </w:rPr>
        <w:t xml:space="preserve">Table </w:t>
      </w:r>
      <w:r w:rsidR="00CA03D9" w:rsidRPr="00CA03D9">
        <w:rPr>
          <w:b/>
        </w:rPr>
        <w:t>A.1</w:t>
      </w:r>
      <w:r w:rsidRPr="00CA03D9">
        <w:rPr>
          <w:b/>
        </w:rPr>
        <w:t>: final scores</w:t>
      </w:r>
      <w:r w:rsidRPr="006F79F0">
        <w:rPr>
          <w:b/>
        </w:rPr>
        <w:t xml:space="preserve"> used to assign HSRs (page 14 of the Guide for Industry)</w:t>
      </w:r>
    </w:p>
    <w:p w14:paraId="6C05FF8A" w14:textId="77777777" w:rsidR="006F79F0" w:rsidRPr="00CC1ADD" w:rsidRDefault="006F79F0" w:rsidP="005D75D3">
      <w:pPr>
        <w:pStyle w:val="mpcNormal"/>
        <w:keepNext w:val="0"/>
      </w:pPr>
    </w:p>
    <w:tbl>
      <w:tblPr>
        <w:tblW w:w="0" w:type="auto"/>
        <w:jc w:val="center"/>
        <w:tblCellMar>
          <w:top w:w="15" w:type="dxa"/>
          <w:left w:w="15" w:type="dxa"/>
          <w:bottom w:w="15" w:type="dxa"/>
          <w:right w:w="15" w:type="dxa"/>
        </w:tblCellMar>
        <w:tblLook w:val="04A0" w:firstRow="1" w:lastRow="0" w:firstColumn="1" w:lastColumn="0" w:noHBand="0" w:noVBand="1"/>
        <w:tblCaption w:val="Table A.1"/>
        <w:tblDescription w:val="This table shows how the HSR score is determined based on the final HSR Score and the HSR category the product is in."/>
      </w:tblPr>
      <w:tblGrid>
        <w:gridCol w:w="1262"/>
        <w:gridCol w:w="1524"/>
        <w:gridCol w:w="1337"/>
        <w:gridCol w:w="1301"/>
        <w:gridCol w:w="1375"/>
        <w:gridCol w:w="1276"/>
        <w:gridCol w:w="1661"/>
      </w:tblGrid>
      <w:tr w:rsidR="00F43B13" w:rsidRPr="00CC1ADD" w14:paraId="5BF524A5" w14:textId="77777777" w:rsidTr="00F43B13">
        <w:trPr>
          <w:jc w:val="center"/>
        </w:trPr>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2370D307" w14:textId="77777777" w:rsidR="00F43B13" w:rsidRPr="00CC1ADD" w:rsidRDefault="00F43B13">
            <w:pPr>
              <w:jc w:val="center"/>
              <w:rPr>
                <w:rFonts w:cstheme="minorHAnsi"/>
                <w:b/>
                <w:bCs/>
                <w:color w:val="FFFFFF" w:themeColor="background1"/>
                <w:sz w:val="20"/>
                <w:szCs w:val="20"/>
              </w:rPr>
            </w:pPr>
            <w:bookmarkStart w:id="159" w:name="Categories"/>
            <w:bookmarkEnd w:id="159"/>
            <w:r w:rsidRPr="00CC1ADD">
              <w:rPr>
                <w:rFonts w:cstheme="minorHAnsi"/>
                <w:b/>
                <w:bCs/>
                <w:color w:val="FFFFFF" w:themeColor="background1"/>
                <w:sz w:val="20"/>
                <w:szCs w:val="20"/>
              </w:rPr>
              <w:t>Health Star Rating</w:t>
            </w:r>
          </w:p>
        </w:tc>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3A5C6C30"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06AF5392"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1 Non-dairy beverage</w:t>
            </w:r>
          </w:p>
        </w:tc>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0F25AB42"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3327C4B1"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1D Dairy beverage</w:t>
            </w:r>
          </w:p>
        </w:tc>
        <w:tc>
          <w:tcPr>
            <w:tcW w:w="0" w:type="auto"/>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17B1793E"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0E85092E"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2 Non-dairy foods</w:t>
            </w:r>
          </w:p>
        </w:tc>
        <w:tc>
          <w:tcPr>
            <w:tcW w:w="1375" w:type="dxa"/>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20BDF265" w14:textId="02C20EAA"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fldChar w:fldCharType="begin"/>
            </w:r>
            <w:r w:rsidR="00655A22">
              <w:rPr>
                <w:rFonts w:cstheme="minorHAnsi"/>
                <w:b/>
                <w:bCs/>
                <w:color w:val="FFFFFF" w:themeColor="background1"/>
                <w:sz w:val="20"/>
                <w:szCs w:val="20"/>
              </w:rPr>
              <w:instrText xml:space="preserve"> INCLUDEPICTURE "\\\\central.health\\var\\folders\\rt\\6pfp937x77z6cxr3p71d8d180000gn\\T\\com.microsoft.Word\\WebArchiveCopyPasteTempFiles\\page20image646746976" \* MERGEFORMAT </w:instrText>
            </w:r>
            <w:r w:rsidRPr="00CC1ADD">
              <w:rPr>
                <w:rFonts w:cstheme="minorHAnsi"/>
                <w:b/>
                <w:bCs/>
                <w:color w:val="FFFFFF" w:themeColor="background1"/>
                <w:sz w:val="20"/>
                <w:szCs w:val="20"/>
              </w:rPr>
              <w:fldChar w:fldCharType="separate"/>
            </w:r>
            <w:r w:rsidRPr="00CC1ADD">
              <w:rPr>
                <w:rFonts w:cstheme="minorHAnsi"/>
                <w:b/>
                <w:bCs/>
                <w:noProof/>
                <w:color w:val="FFFFFF" w:themeColor="background1"/>
                <w:sz w:val="20"/>
                <w:szCs w:val="20"/>
                <w:lang w:eastAsia="en-AU"/>
              </w:rPr>
              <w:drawing>
                <wp:inline distT="0" distB="0" distL="0" distR="0" wp14:anchorId="5381B1A6" wp14:editId="3189215F">
                  <wp:extent cx="18415" cy="18415"/>
                  <wp:effectExtent l="0" t="0" r="0" b="0"/>
                  <wp:docPr id="34" name="Picture 34" descr="page20image64674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0image6467469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cstheme="minorHAnsi"/>
                <w:b/>
                <w:bCs/>
                <w:color w:val="FFFFFF" w:themeColor="background1"/>
                <w:sz w:val="20"/>
                <w:szCs w:val="20"/>
              </w:rPr>
              <w:fldChar w:fldCharType="end"/>
            </w:r>
            <w:r w:rsidRPr="00CC1ADD">
              <w:rPr>
                <w:rFonts w:cstheme="minorHAnsi"/>
                <w:b/>
                <w:bCs/>
                <w:color w:val="FFFFFF" w:themeColor="background1"/>
                <w:sz w:val="20"/>
                <w:szCs w:val="20"/>
              </w:rPr>
              <w:t>Food Category</w:t>
            </w:r>
          </w:p>
          <w:p w14:paraId="3208C783"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2D Dairy foods</w:t>
            </w:r>
          </w:p>
        </w:tc>
        <w:tc>
          <w:tcPr>
            <w:tcW w:w="1276" w:type="dxa"/>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15DAB69F" w14:textId="35E500FD"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fldChar w:fldCharType="begin"/>
            </w:r>
            <w:r w:rsidR="00655A22">
              <w:rPr>
                <w:rFonts w:cstheme="minorHAnsi"/>
                <w:b/>
                <w:bCs/>
                <w:color w:val="FFFFFF" w:themeColor="background1"/>
                <w:sz w:val="20"/>
                <w:szCs w:val="20"/>
              </w:rPr>
              <w:instrText xml:space="preserve"> INCLUDEPICTURE "\\\\central.health\\var\\folders\\rt\\6pfp937x77z6cxr3p71d8d180000gn\\T\\com.microsoft.Word\\WebArchiveCopyPasteTempFiles\\page20image646752160" \* MERGEFORMAT </w:instrText>
            </w:r>
            <w:r w:rsidRPr="00CC1ADD">
              <w:rPr>
                <w:rFonts w:cstheme="minorHAnsi"/>
                <w:b/>
                <w:bCs/>
                <w:color w:val="FFFFFF" w:themeColor="background1"/>
                <w:sz w:val="20"/>
                <w:szCs w:val="20"/>
              </w:rPr>
              <w:fldChar w:fldCharType="separate"/>
            </w:r>
            <w:r w:rsidRPr="00CC1ADD">
              <w:rPr>
                <w:rFonts w:cstheme="minorHAnsi"/>
                <w:b/>
                <w:bCs/>
                <w:noProof/>
                <w:color w:val="FFFFFF" w:themeColor="background1"/>
                <w:sz w:val="20"/>
                <w:szCs w:val="20"/>
                <w:lang w:eastAsia="en-AU"/>
              </w:rPr>
              <w:drawing>
                <wp:inline distT="0" distB="0" distL="0" distR="0" wp14:anchorId="74D1FAD9" wp14:editId="36913FA8">
                  <wp:extent cx="18415" cy="18415"/>
                  <wp:effectExtent l="0" t="0" r="0" b="0"/>
                  <wp:docPr id="33" name="Picture 33" descr="page20image64675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20image6467521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15" cy="18415"/>
                          </a:xfrm>
                          <a:prstGeom prst="rect">
                            <a:avLst/>
                          </a:prstGeom>
                          <a:noFill/>
                          <a:ln>
                            <a:noFill/>
                          </a:ln>
                        </pic:spPr>
                      </pic:pic>
                    </a:graphicData>
                  </a:graphic>
                </wp:inline>
              </w:drawing>
            </w:r>
            <w:r w:rsidRPr="00CC1ADD">
              <w:rPr>
                <w:rFonts w:cstheme="minorHAnsi"/>
                <w:b/>
                <w:bCs/>
                <w:color w:val="FFFFFF" w:themeColor="background1"/>
                <w:sz w:val="20"/>
                <w:szCs w:val="20"/>
              </w:rPr>
              <w:fldChar w:fldCharType="end"/>
            </w:r>
            <w:r w:rsidRPr="00CC1ADD">
              <w:rPr>
                <w:rFonts w:cstheme="minorHAnsi"/>
                <w:b/>
                <w:bCs/>
                <w:color w:val="FFFFFF" w:themeColor="background1"/>
                <w:sz w:val="20"/>
                <w:szCs w:val="20"/>
              </w:rPr>
              <w:t>Food Category</w:t>
            </w:r>
          </w:p>
          <w:p w14:paraId="029CB6ED"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3 Oils and spreads</w:t>
            </w:r>
          </w:p>
        </w:tc>
        <w:tc>
          <w:tcPr>
            <w:tcW w:w="1661" w:type="dxa"/>
            <w:tcBorders>
              <w:top w:val="single" w:sz="4" w:space="0" w:color="000000"/>
              <w:left w:val="single" w:sz="4" w:space="0" w:color="000000"/>
              <w:bottom w:val="single" w:sz="4" w:space="0" w:color="auto"/>
              <w:right w:val="single" w:sz="4" w:space="0" w:color="000000"/>
            </w:tcBorders>
            <w:shd w:val="clear" w:color="auto" w:fill="516A8E"/>
            <w:vAlign w:val="center"/>
            <w:hideMark/>
          </w:tcPr>
          <w:p w14:paraId="5122484F"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Food Category</w:t>
            </w:r>
          </w:p>
          <w:p w14:paraId="2B3CF0F8" w14:textId="77777777" w:rsidR="00F43B13" w:rsidRPr="00CC1ADD" w:rsidRDefault="00F43B13">
            <w:pPr>
              <w:jc w:val="center"/>
              <w:rPr>
                <w:rFonts w:cstheme="minorHAnsi"/>
                <w:b/>
                <w:bCs/>
                <w:color w:val="FFFFFF" w:themeColor="background1"/>
                <w:sz w:val="20"/>
                <w:szCs w:val="20"/>
              </w:rPr>
            </w:pPr>
            <w:r w:rsidRPr="00CC1ADD">
              <w:rPr>
                <w:rFonts w:cstheme="minorHAnsi"/>
                <w:b/>
                <w:bCs/>
                <w:color w:val="FFFFFF" w:themeColor="background1"/>
                <w:sz w:val="20"/>
                <w:szCs w:val="20"/>
              </w:rPr>
              <w:t>3D Cheese &gt;320 mg Ca/100g</w:t>
            </w:r>
          </w:p>
        </w:tc>
      </w:tr>
      <w:tr w:rsidR="00F43B13" w:rsidRPr="00CC1ADD" w14:paraId="04A547E0" w14:textId="77777777" w:rsidTr="00F43B13">
        <w:trPr>
          <w:trHeight w:val="44"/>
          <w:jc w:val="center"/>
        </w:trPr>
        <w:tc>
          <w:tcPr>
            <w:tcW w:w="0" w:type="auto"/>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center"/>
            <w:hideMark/>
          </w:tcPr>
          <w:p w14:paraId="668BC3E0" w14:textId="77777777" w:rsidR="00F43B13" w:rsidRPr="00CC1ADD" w:rsidRDefault="00F43B13" w:rsidP="005A3631">
            <w:pPr>
              <w:jc w:val="center"/>
              <w:rPr>
                <w:rFonts w:cstheme="minorHAnsi"/>
                <w:b/>
                <w:sz w:val="20"/>
                <w:szCs w:val="20"/>
              </w:rPr>
            </w:pPr>
            <w:r w:rsidRPr="00CC1ADD">
              <w:rPr>
                <w:rFonts w:cstheme="minorHAnsi"/>
                <w:b/>
                <w:sz w:val="20"/>
                <w:szCs w:val="20"/>
              </w:rPr>
              <w:t>5</w:t>
            </w:r>
          </w:p>
        </w:tc>
        <w:tc>
          <w:tcPr>
            <w:tcW w:w="0" w:type="auto"/>
            <w:tcBorders>
              <w:top w:val="single" w:sz="4" w:space="0" w:color="auto"/>
              <w:left w:val="single" w:sz="4" w:space="0" w:color="000000"/>
              <w:bottom w:val="single" w:sz="4" w:space="0" w:color="000000"/>
              <w:right w:val="single" w:sz="4" w:space="0" w:color="000000"/>
            </w:tcBorders>
            <w:vAlign w:val="center"/>
            <w:hideMark/>
          </w:tcPr>
          <w:p w14:paraId="1AE664D5" w14:textId="77777777" w:rsidR="00F43B13" w:rsidRPr="00CC1ADD" w:rsidRDefault="00F43B13">
            <w:pPr>
              <w:jc w:val="center"/>
              <w:rPr>
                <w:rFonts w:cstheme="minorHAnsi"/>
                <w:sz w:val="20"/>
                <w:szCs w:val="20"/>
              </w:rPr>
            </w:pPr>
            <w:r w:rsidRPr="00CC1ADD">
              <w:rPr>
                <w:rFonts w:cstheme="minorHAnsi"/>
                <w:sz w:val="20"/>
                <w:szCs w:val="20"/>
              </w:rPr>
              <w:t>≤ -6</w:t>
            </w:r>
          </w:p>
        </w:tc>
        <w:tc>
          <w:tcPr>
            <w:tcW w:w="0" w:type="auto"/>
            <w:tcBorders>
              <w:top w:val="single" w:sz="4" w:space="0" w:color="auto"/>
              <w:left w:val="single" w:sz="4" w:space="0" w:color="000000"/>
              <w:bottom w:val="single" w:sz="4" w:space="0" w:color="000000"/>
              <w:right w:val="single" w:sz="4" w:space="0" w:color="000000"/>
            </w:tcBorders>
            <w:vAlign w:val="center"/>
            <w:hideMark/>
          </w:tcPr>
          <w:p w14:paraId="13B70DE8" w14:textId="77777777" w:rsidR="00F43B13" w:rsidRPr="00CC1ADD" w:rsidRDefault="00F43B13">
            <w:pPr>
              <w:jc w:val="center"/>
              <w:rPr>
                <w:rFonts w:cstheme="minorHAnsi"/>
                <w:sz w:val="20"/>
                <w:szCs w:val="20"/>
              </w:rPr>
            </w:pPr>
            <w:r w:rsidRPr="00CC1ADD">
              <w:rPr>
                <w:rFonts w:cstheme="minorHAnsi"/>
                <w:sz w:val="20"/>
                <w:szCs w:val="20"/>
              </w:rPr>
              <w:t>≤ -2</w:t>
            </w:r>
          </w:p>
        </w:tc>
        <w:tc>
          <w:tcPr>
            <w:tcW w:w="0" w:type="auto"/>
            <w:tcBorders>
              <w:top w:val="single" w:sz="4" w:space="0" w:color="auto"/>
              <w:left w:val="single" w:sz="4" w:space="0" w:color="000000"/>
              <w:bottom w:val="single" w:sz="4" w:space="0" w:color="000000"/>
              <w:right w:val="single" w:sz="4" w:space="0" w:color="000000"/>
            </w:tcBorders>
            <w:vAlign w:val="center"/>
            <w:hideMark/>
          </w:tcPr>
          <w:p w14:paraId="709D3E8B" w14:textId="77777777" w:rsidR="00F43B13" w:rsidRPr="00CC1ADD" w:rsidRDefault="00F43B13">
            <w:pPr>
              <w:jc w:val="center"/>
              <w:rPr>
                <w:rFonts w:cstheme="minorHAnsi"/>
                <w:sz w:val="20"/>
                <w:szCs w:val="20"/>
              </w:rPr>
            </w:pPr>
            <w:r w:rsidRPr="00CC1ADD">
              <w:rPr>
                <w:rFonts w:cstheme="minorHAnsi"/>
                <w:sz w:val="20"/>
                <w:szCs w:val="20"/>
              </w:rPr>
              <w:t>≤ -11</w:t>
            </w:r>
          </w:p>
        </w:tc>
        <w:tc>
          <w:tcPr>
            <w:tcW w:w="1375" w:type="dxa"/>
            <w:tcBorders>
              <w:top w:val="single" w:sz="4" w:space="0" w:color="auto"/>
              <w:left w:val="single" w:sz="4" w:space="0" w:color="000000"/>
              <w:bottom w:val="single" w:sz="4" w:space="0" w:color="000000"/>
              <w:right w:val="single" w:sz="4" w:space="0" w:color="000000"/>
            </w:tcBorders>
            <w:vAlign w:val="center"/>
            <w:hideMark/>
          </w:tcPr>
          <w:p w14:paraId="5B753C5A" w14:textId="77777777" w:rsidR="00F43B13" w:rsidRPr="00CC1ADD" w:rsidRDefault="00F43B13">
            <w:pPr>
              <w:jc w:val="center"/>
              <w:rPr>
                <w:rFonts w:cstheme="minorHAnsi"/>
                <w:sz w:val="20"/>
                <w:szCs w:val="20"/>
              </w:rPr>
            </w:pPr>
            <w:r w:rsidRPr="00CC1ADD">
              <w:rPr>
                <w:rFonts w:cstheme="minorHAnsi"/>
                <w:sz w:val="20"/>
                <w:szCs w:val="20"/>
              </w:rPr>
              <w:t>≤ -2</w:t>
            </w:r>
          </w:p>
          <w:p w14:paraId="3B992B3A" w14:textId="77777777" w:rsidR="00F43B13" w:rsidRPr="00CC1ADD" w:rsidRDefault="00F43B13">
            <w:pPr>
              <w:jc w:val="center"/>
              <w:rPr>
                <w:rFonts w:cstheme="minorHAnsi"/>
                <w:sz w:val="20"/>
                <w:szCs w:val="20"/>
              </w:rPr>
            </w:pPr>
          </w:p>
        </w:tc>
        <w:tc>
          <w:tcPr>
            <w:tcW w:w="1276" w:type="dxa"/>
            <w:tcBorders>
              <w:top w:val="single" w:sz="4" w:space="0" w:color="auto"/>
              <w:left w:val="single" w:sz="4" w:space="0" w:color="000000"/>
              <w:bottom w:val="single" w:sz="4" w:space="0" w:color="000000"/>
              <w:right w:val="single" w:sz="4" w:space="0" w:color="000000"/>
            </w:tcBorders>
            <w:vAlign w:val="center"/>
            <w:hideMark/>
          </w:tcPr>
          <w:p w14:paraId="7E1C2470" w14:textId="77777777" w:rsidR="00F43B13" w:rsidRPr="00CC1ADD" w:rsidRDefault="00F43B13">
            <w:pPr>
              <w:jc w:val="center"/>
              <w:rPr>
                <w:rFonts w:cstheme="minorHAnsi"/>
                <w:sz w:val="20"/>
                <w:szCs w:val="20"/>
              </w:rPr>
            </w:pPr>
            <w:r w:rsidRPr="00CC1ADD">
              <w:rPr>
                <w:rFonts w:cstheme="minorHAnsi"/>
                <w:sz w:val="20"/>
                <w:szCs w:val="20"/>
              </w:rPr>
              <w:t>≤ 13</w:t>
            </w:r>
          </w:p>
        </w:tc>
        <w:tc>
          <w:tcPr>
            <w:tcW w:w="1661" w:type="dxa"/>
            <w:tcBorders>
              <w:top w:val="single" w:sz="4" w:space="0" w:color="auto"/>
              <w:left w:val="single" w:sz="4" w:space="0" w:color="000000"/>
              <w:bottom w:val="single" w:sz="4" w:space="0" w:color="000000"/>
              <w:right w:val="single" w:sz="4" w:space="0" w:color="000000"/>
            </w:tcBorders>
            <w:vAlign w:val="center"/>
            <w:hideMark/>
          </w:tcPr>
          <w:p w14:paraId="18AECAC3" w14:textId="77777777" w:rsidR="00F43B13" w:rsidRPr="00CC1ADD" w:rsidRDefault="00F43B13">
            <w:pPr>
              <w:jc w:val="center"/>
              <w:rPr>
                <w:rFonts w:cstheme="minorHAnsi"/>
                <w:sz w:val="20"/>
                <w:szCs w:val="20"/>
              </w:rPr>
            </w:pPr>
            <w:r w:rsidRPr="00CC1ADD">
              <w:rPr>
                <w:rFonts w:cstheme="minorHAnsi"/>
                <w:sz w:val="20"/>
                <w:szCs w:val="20"/>
              </w:rPr>
              <w:t>≤ 22</w:t>
            </w:r>
          </w:p>
        </w:tc>
      </w:tr>
      <w:tr w:rsidR="00F43B13" w:rsidRPr="00CC1ADD" w14:paraId="3B4AD97E"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3C31638" w14:textId="705F7AB0" w:rsidR="00F43B13" w:rsidRPr="00CC1ADD" w:rsidRDefault="00F43B13" w:rsidP="005A3631">
            <w:pPr>
              <w:jc w:val="center"/>
              <w:rPr>
                <w:rFonts w:cstheme="minorHAnsi"/>
                <w:b/>
                <w:sz w:val="20"/>
                <w:szCs w:val="20"/>
              </w:rPr>
            </w:pPr>
            <w:r w:rsidRPr="00CC1ADD">
              <w:rPr>
                <w:rFonts w:cstheme="minorHAnsi"/>
                <w:b/>
                <w:sz w:val="20"/>
                <w:szCs w:val="20"/>
              </w:rPr>
              <w:t>4.5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3844DF" w14:textId="77777777" w:rsidR="00F43B13" w:rsidRPr="00CC1ADD" w:rsidRDefault="00F43B13">
            <w:pPr>
              <w:jc w:val="center"/>
              <w:rPr>
                <w:rFonts w:cstheme="minorHAnsi"/>
                <w:sz w:val="20"/>
                <w:szCs w:val="20"/>
              </w:rPr>
            </w:pPr>
            <w:r w:rsidRPr="00CC1ADD">
              <w:rPr>
                <w:rFonts w:cstheme="minorHAnsi"/>
                <w:sz w:val="20"/>
                <w:szCs w:val="20"/>
              </w:rPr>
              <w:t>-5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FB719BE"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E637C3E" w14:textId="77777777" w:rsidR="00F43B13" w:rsidRPr="00CC1ADD" w:rsidRDefault="00F43B13">
            <w:pPr>
              <w:jc w:val="center"/>
              <w:rPr>
                <w:rFonts w:cstheme="minorHAnsi"/>
                <w:sz w:val="20"/>
                <w:szCs w:val="20"/>
              </w:rPr>
            </w:pPr>
            <w:r w:rsidRPr="00CC1ADD">
              <w:rPr>
                <w:rFonts w:cstheme="minorHAnsi"/>
                <w:sz w:val="20"/>
                <w:szCs w:val="20"/>
              </w:rPr>
              <w:t>-10 to -7</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09A237C9" w14:textId="77777777" w:rsidR="00F43B13" w:rsidRPr="00CC1ADD" w:rsidRDefault="00F43B13">
            <w:pPr>
              <w:jc w:val="center"/>
              <w:rPr>
                <w:rFonts w:cstheme="minorHAnsi"/>
                <w:sz w:val="20"/>
                <w:szCs w:val="20"/>
              </w:rPr>
            </w:pPr>
            <w:r w:rsidRPr="00CC1ADD">
              <w:rPr>
                <w:rFonts w:cstheme="minorHAnsi"/>
                <w:sz w:val="20"/>
                <w:szCs w:val="20"/>
              </w:rPr>
              <w:t>-1</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F42C4A8" w14:textId="77777777" w:rsidR="00F43B13" w:rsidRPr="00CC1ADD" w:rsidRDefault="00F43B13">
            <w:pPr>
              <w:jc w:val="center"/>
              <w:rPr>
                <w:rFonts w:cstheme="minorHAnsi"/>
                <w:sz w:val="20"/>
                <w:szCs w:val="20"/>
              </w:rPr>
            </w:pPr>
            <w:r w:rsidRPr="00CC1ADD">
              <w:rPr>
                <w:rFonts w:cstheme="minorHAnsi"/>
                <w:sz w:val="20"/>
                <w:szCs w:val="20"/>
              </w:rPr>
              <w:t>14 to 16</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2F7F2212" w14:textId="77777777" w:rsidR="00F43B13" w:rsidRPr="00CC1ADD" w:rsidRDefault="00F43B13">
            <w:pPr>
              <w:jc w:val="center"/>
              <w:rPr>
                <w:rFonts w:cstheme="minorHAnsi"/>
                <w:sz w:val="20"/>
                <w:szCs w:val="20"/>
              </w:rPr>
            </w:pPr>
            <w:r w:rsidRPr="00CC1ADD">
              <w:rPr>
                <w:rFonts w:cstheme="minorHAnsi"/>
                <w:sz w:val="20"/>
                <w:szCs w:val="20"/>
              </w:rPr>
              <w:t>23 to 24</w:t>
            </w:r>
          </w:p>
        </w:tc>
      </w:tr>
      <w:tr w:rsidR="00F43B13" w:rsidRPr="00CC1ADD" w14:paraId="62D61A33" w14:textId="77777777" w:rsidTr="00B36208">
        <w:trPr>
          <w:trHeight w:val="44"/>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1867F28" w14:textId="77777777" w:rsidR="00F43B13" w:rsidRPr="00CC1ADD" w:rsidRDefault="00F43B13" w:rsidP="005A3631">
            <w:pPr>
              <w:jc w:val="center"/>
              <w:rPr>
                <w:rFonts w:cstheme="minorHAnsi"/>
                <w:b/>
                <w:sz w:val="20"/>
                <w:szCs w:val="20"/>
              </w:rPr>
            </w:pPr>
            <w:r w:rsidRPr="00CC1ADD">
              <w:rPr>
                <w:rFonts w:cstheme="minorHAnsi"/>
                <w:b/>
                <w:sz w:val="20"/>
                <w:szCs w:val="20"/>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FC8E6D7" w14:textId="77777777" w:rsidR="00F43B13" w:rsidRPr="00CC1ADD" w:rsidRDefault="00F43B13">
            <w:pPr>
              <w:jc w:val="center"/>
              <w:rPr>
                <w:rFonts w:cstheme="minorHAnsi"/>
                <w:sz w:val="20"/>
                <w:szCs w:val="20"/>
              </w:rPr>
            </w:pPr>
            <w:r w:rsidRPr="00CC1ADD">
              <w:rPr>
                <w:rFonts w:cstheme="minorHAnsi"/>
                <w:sz w:val="20"/>
                <w:szCs w:val="20"/>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94CA09F" w14:textId="77777777" w:rsidR="00F43B13" w:rsidRPr="00CC1ADD" w:rsidRDefault="00F43B13">
            <w:pPr>
              <w:jc w:val="center"/>
              <w:rPr>
                <w:rFonts w:cstheme="minorHAnsi"/>
                <w:sz w:val="20"/>
                <w:szCs w:val="20"/>
              </w:rPr>
            </w:pPr>
            <w:r w:rsidRPr="00CC1ADD">
              <w:rPr>
                <w:rFonts w:cstheme="minorHAnsi"/>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BBAB76C" w14:textId="77777777" w:rsidR="00F43B13" w:rsidRPr="00CC1ADD" w:rsidRDefault="00F43B13">
            <w:pPr>
              <w:jc w:val="center"/>
              <w:rPr>
                <w:rFonts w:cstheme="minorHAnsi"/>
                <w:sz w:val="20"/>
                <w:szCs w:val="20"/>
              </w:rPr>
            </w:pPr>
            <w:r w:rsidRPr="00CC1ADD">
              <w:rPr>
                <w:rFonts w:cstheme="minorHAnsi"/>
                <w:sz w:val="20"/>
                <w:szCs w:val="20"/>
              </w:rPr>
              <w:t>-6 to -2</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551B84E6" w14:textId="77777777" w:rsidR="00F43B13" w:rsidRPr="00CC1ADD" w:rsidRDefault="00F43B13">
            <w:pPr>
              <w:jc w:val="center"/>
              <w:rPr>
                <w:rFonts w:cstheme="minorHAnsi"/>
                <w:sz w:val="20"/>
                <w:szCs w:val="20"/>
              </w:rPr>
            </w:pPr>
            <w:r w:rsidRPr="00CC1ADD">
              <w:rPr>
                <w:rFonts w:cstheme="minorHAnsi"/>
                <w:sz w:val="20"/>
                <w:szCs w:val="20"/>
              </w:rPr>
              <w:t>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BC63D27" w14:textId="77777777" w:rsidR="00F43B13" w:rsidRPr="00CC1ADD" w:rsidRDefault="00F43B13">
            <w:pPr>
              <w:jc w:val="center"/>
              <w:rPr>
                <w:rFonts w:cstheme="minorHAnsi"/>
                <w:sz w:val="20"/>
                <w:szCs w:val="20"/>
              </w:rPr>
            </w:pPr>
            <w:r w:rsidRPr="00CC1ADD">
              <w:rPr>
                <w:rFonts w:cstheme="minorHAnsi"/>
                <w:sz w:val="20"/>
                <w:szCs w:val="20"/>
              </w:rPr>
              <w:t>17 to 20</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1F24D397" w14:textId="77777777" w:rsidR="00F43B13" w:rsidRPr="00CC1ADD" w:rsidRDefault="00F43B13">
            <w:pPr>
              <w:jc w:val="center"/>
              <w:rPr>
                <w:rFonts w:cstheme="minorHAnsi"/>
                <w:sz w:val="20"/>
                <w:szCs w:val="20"/>
              </w:rPr>
            </w:pPr>
            <w:r w:rsidRPr="00CC1ADD">
              <w:rPr>
                <w:rFonts w:cstheme="minorHAnsi"/>
                <w:sz w:val="20"/>
                <w:szCs w:val="20"/>
              </w:rPr>
              <w:t>25 to 26</w:t>
            </w:r>
          </w:p>
        </w:tc>
      </w:tr>
      <w:tr w:rsidR="00F43B13" w:rsidRPr="00CC1ADD" w14:paraId="03BF4176"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AB80845" w14:textId="3184ACC4" w:rsidR="00F43B13" w:rsidRPr="00CC1ADD" w:rsidRDefault="00F43B13" w:rsidP="005A3631">
            <w:pPr>
              <w:jc w:val="center"/>
              <w:rPr>
                <w:rFonts w:cstheme="minorHAnsi"/>
                <w:b/>
                <w:sz w:val="20"/>
                <w:szCs w:val="20"/>
              </w:rPr>
            </w:pPr>
            <w:r w:rsidRPr="00CC1ADD">
              <w:rPr>
                <w:rFonts w:cstheme="minorHAnsi"/>
                <w:b/>
                <w:sz w:val="20"/>
                <w:szCs w:val="20"/>
              </w:rPr>
              <w:t>3.5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1220E92" w14:textId="77777777" w:rsidR="00F43B13" w:rsidRPr="00CC1ADD" w:rsidRDefault="00F43B13">
            <w:pPr>
              <w:jc w:val="center"/>
              <w:rPr>
                <w:rFonts w:cstheme="minorHAnsi"/>
                <w:sz w:val="20"/>
                <w:szCs w:val="20"/>
              </w:rPr>
            </w:pPr>
            <w:r w:rsidRPr="00CC1ADD">
              <w:rPr>
                <w:rFonts w:cstheme="minorHAnsi"/>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2959FCC"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1204E1F" w14:textId="77777777" w:rsidR="00F43B13" w:rsidRPr="00CC1ADD" w:rsidRDefault="00F43B13">
            <w:pPr>
              <w:jc w:val="center"/>
              <w:rPr>
                <w:rFonts w:cstheme="minorHAnsi"/>
                <w:sz w:val="20"/>
                <w:szCs w:val="20"/>
              </w:rPr>
            </w:pPr>
            <w:r w:rsidRPr="00CC1ADD">
              <w:rPr>
                <w:rFonts w:cstheme="minorHAnsi"/>
                <w:sz w:val="20"/>
                <w:szCs w:val="20"/>
              </w:rPr>
              <w:t>-1 to 2</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6F61BC26" w14:textId="77777777" w:rsidR="00F43B13" w:rsidRPr="00CC1ADD" w:rsidRDefault="00F43B13">
            <w:pPr>
              <w:jc w:val="center"/>
              <w:rPr>
                <w:rFonts w:cstheme="minorHAnsi"/>
                <w:sz w:val="20"/>
                <w:szCs w:val="20"/>
              </w:rPr>
            </w:pPr>
            <w:r w:rsidRPr="00CC1ADD">
              <w:rPr>
                <w:rFonts w:cstheme="minorHAnsi"/>
                <w:sz w:val="20"/>
                <w:szCs w:val="20"/>
              </w:rPr>
              <w:t>1</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37BE330" w14:textId="77777777" w:rsidR="00F43B13" w:rsidRPr="00CC1ADD" w:rsidRDefault="00F43B13">
            <w:pPr>
              <w:jc w:val="center"/>
              <w:rPr>
                <w:rFonts w:cstheme="minorHAnsi"/>
                <w:sz w:val="20"/>
                <w:szCs w:val="20"/>
              </w:rPr>
            </w:pPr>
            <w:r w:rsidRPr="00CC1ADD">
              <w:rPr>
                <w:rFonts w:cstheme="minorHAnsi"/>
                <w:sz w:val="20"/>
                <w:szCs w:val="20"/>
              </w:rPr>
              <w:t>21 to 23</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12C752C6" w14:textId="77777777" w:rsidR="00F43B13" w:rsidRPr="00CC1ADD" w:rsidRDefault="00F43B13">
            <w:pPr>
              <w:jc w:val="center"/>
              <w:rPr>
                <w:rFonts w:cstheme="minorHAnsi"/>
                <w:sz w:val="20"/>
                <w:szCs w:val="20"/>
              </w:rPr>
            </w:pPr>
            <w:r w:rsidRPr="00CC1ADD">
              <w:rPr>
                <w:rFonts w:cstheme="minorHAnsi"/>
                <w:sz w:val="20"/>
                <w:szCs w:val="20"/>
              </w:rPr>
              <w:t>27 to 28</w:t>
            </w:r>
          </w:p>
        </w:tc>
      </w:tr>
      <w:tr w:rsidR="00F43B13" w:rsidRPr="00CC1ADD" w14:paraId="1DD7B3F0"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B3F02F0" w14:textId="77777777" w:rsidR="00F43B13" w:rsidRPr="00CC1ADD" w:rsidRDefault="00F43B13" w:rsidP="005A3631">
            <w:pPr>
              <w:jc w:val="center"/>
              <w:rPr>
                <w:rFonts w:cstheme="minorHAnsi"/>
                <w:b/>
                <w:sz w:val="20"/>
                <w:szCs w:val="20"/>
              </w:rPr>
            </w:pPr>
            <w:r w:rsidRPr="00CC1ADD">
              <w:rPr>
                <w:rFonts w:cstheme="minorHAnsi"/>
                <w:b/>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B609E6F" w14:textId="77777777" w:rsidR="00F43B13" w:rsidRPr="00CC1ADD" w:rsidRDefault="00F43B13">
            <w:pPr>
              <w:jc w:val="center"/>
              <w:rPr>
                <w:rFonts w:cstheme="minorHAnsi"/>
                <w:sz w:val="20"/>
                <w:szCs w:val="20"/>
              </w:rPr>
            </w:pPr>
            <w:r w:rsidRPr="00CC1ADD">
              <w:rPr>
                <w:rFonts w:cstheme="minorHAnsi"/>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4AADBB8" w14:textId="77777777" w:rsidR="00F43B13" w:rsidRPr="00CC1ADD" w:rsidRDefault="00F43B13">
            <w:pPr>
              <w:jc w:val="center"/>
              <w:rPr>
                <w:rFonts w:cstheme="minorHAnsi"/>
                <w:sz w:val="20"/>
                <w:szCs w:val="20"/>
              </w:rPr>
            </w:pPr>
            <w:r w:rsidRPr="00CC1ADD">
              <w:rPr>
                <w:rFonts w:cstheme="minorHAnsi"/>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9BC020E" w14:textId="77777777" w:rsidR="00F43B13" w:rsidRPr="00CC1ADD" w:rsidRDefault="00F43B13">
            <w:pPr>
              <w:jc w:val="center"/>
              <w:rPr>
                <w:rFonts w:cstheme="minorHAnsi"/>
                <w:sz w:val="20"/>
                <w:szCs w:val="20"/>
              </w:rPr>
            </w:pPr>
            <w:r w:rsidRPr="00CC1ADD">
              <w:rPr>
                <w:rFonts w:cstheme="minorHAnsi"/>
                <w:sz w:val="20"/>
                <w:szCs w:val="20"/>
              </w:rPr>
              <w:t>3 to 6</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0CA78F42" w14:textId="77777777" w:rsidR="00F43B13" w:rsidRPr="00CC1ADD" w:rsidRDefault="00F43B13">
            <w:pPr>
              <w:jc w:val="center"/>
              <w:rPr>
                <w:rFonts w:cstheme="minorHAnsi"/>
                <w:sz w:val="20"/>
                <w:szCs w:val="20"/>
              </w:rPr>
            </w:pPr>
            <w:r w:rsidRPr="00CC1ADD">
              <w:rPr>
                <w:rFonts w:cstheme="minorHAnsi"/>
                <w:sz w:val="20"/>
                <w:szCs w:val="20"/>
              </w:rPr>
              <w:t>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32F84FC" w14:textId="77777777" w:rsidR="00F43B13" w:rsidRPr="00CC1ADD" w:rsidRDefault="00F43B13">
            <w:pPr>
              <w:jc w:val="center"/>
              <w:rPr>
                <w:rFonts w:cstheme="minorHAnsi"/>
                <w:sz w:val="20"/>
                <w:szCs w:val="20"/>
              </w:rPr>
            </w:pPr>
            <w:r w:rsidRPr="00CC1ADD">
              <w:rPr>
                <w:rFonts w:cstheme="minorHAnsi"/>
                <w:sz w:val="20"/>
                <w:szCs w:val="20"/>
              </w:rPr>
              <w:t>24 to 27</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210D7F41" w14:textId="77777777" w:rsidR="00F43B13" w:rsidRPr="00CC1ADD" w:rsidRDefault="00F43B13">
            <w:pPr>
              <w:jc w:val="center"/>
              <w:rPr>
                <w:rFonts w:cstheme="minorHAnsi"/>
                <w:sz w:val="20"/>
                <w:szCs w:val="20"/>
              </w:rPr>
            </w:pPr>
            <w:r w:rsidRPr="00CC1ADD">
              <w:rPr>
                <w:rFonts w:cstheme="minorHAnsi"/>
                <w:sz w:val="20"/>
                <w:szCs w:val="20"/>
              </w:rPr>
              <w:t>29 to 30</w:t>
            </w:r>
          </w:p>
        </w:tc>
      </w:tr>
      <w:tr w:rsidR="00F43B13" w:rsidRPr="00CC1ADD" w14:paraId="1DEFACBF"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771EB110" w14:textId="5EB287BF" w:rsidR="00F43B13" w:rsidRPr="00CC1ADD" w:rsidRDefault="00F43B13" w:rsidP="005A3631">
            <w:pPr>
              <w:jc w:val="center"/>
              <w:rPr>
                <w:rFonts w:cstheme="minorHAnsi"/>
                <w:b/>
                <w:sz w:val="20"/>
                <w:szCs w:val="20"/>
              </w:rPr>
            </w:pPr>
            <w:r w:rsidRPr="00CC1ADD">
              <w:rPr>
                <w:rFonts w:cstheme="minorHAnsi"/>
                <w:b/>
                <w:sz w:val="20"/>
                <w:szCs w:val="20"/>
              </w:rPr>
              <w:t>2.5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F7B9976"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3BB3E5F" w14:textId="77777777" w:rsidR="00F43B13" w:rsidRPr="00CC1ADD" w:rsidRDefault="00F43B13">
            <w:pPr>
              <w:jc w:val="center"/>
              <w:rPr>
                <w:rFonts w:cstheme="minorHAnsi"/>
                <w:sz w:val="20"/>
                <w:szCs w:val="20"/>
              </w:rPr>
            </w:pPr>
            <w:r w:rsidRPr="00CC1ADD">
              <w:rPr>
                <w:rFonts w:cstheme="minorHAnsi"/>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154C21D" w14:textId="77777777" w:rsidR="00F43B13" w:rsidRPr="00CC1ADD" w:rsidRDefault="00F43B13">
            <w:pPr>
              <w:jc w:val="center"/>
              <w:rPr>
                <w:rFonts w:cstheme="minorHAnsi"/>
                <w:sz w:val="20"/>
                <w:szCs w:val="20"/>
              </w:rPr>
            </w:pPr>
            <w:r w:rsidRPr="00CC1ADD">
              <w:rPr>
                <w:rFonts w:cstheme="minorHAnsi"/>
                <w:sz w:val="20"/>
                <w:szCs w:val="20"/>
              </w:rPr>
              <w:t>7 to 11</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5BA7B943" w14:textId="77777777" w:rsidR="00F43B13" w:rsidRPr="00CC1ADD" w:rsidRDefault="00F43B13">
            <w:pPr>
              <w:jc w:val="center"/>
              <w:rPr>
                <w:rFonts w:cstheme="minorHAnsi"/>
                <w:sz w:val="20"/>
                <w:szCs w:val="20"/>
              </w:rPr>
            </w:pPr>
            <w:r w:rsidRPr="00CC1ADD">
              <w:rPr>
                <w:rFonts w:cstheme="minorHAnsi"/>
                <w:sz w:val="20"/>
                <w:szCs w:val="20"/>
              </w:rPr>
              <w:t>3</w:t>
            </w:r>
          </w:p>
          <w:p w14:paraId="4C7B1A61" w14:textId="77777777" w:rsidR="00F43B13" w:rsidRPr="00CC1ADD" w:rsidRDefault="00F43B13">
            <w:pPr>
              <w:jc w:val="center"/>
              <w:rPr>
                <w:rFonts w:cstheme="minorHAnsi"/>
                <w:sz w:val="20"/>
                <w:szCs w:val="20"/>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9AFC951" w14:textId="77777777" w:rsidR="00F43B13" w:rsidRPr="00CC1ADD" w:rsidRDefault="00F43B13">
            <w:pPr>
              <w:jc w:val="center"/>
              <w:rPr>
                <w:rFonts w:cstheme="minorHAnsi"/>
                <w:sz w:val="20"/>
                <w:szCs w:val="20"/>
              </w:rPr>
            </w:pPr>
            <w:r w:rsidRPr="00CC1ADD">
              <w:rPr>
                <w:rFonts w:cstheme="minorHAnsi"/>
                <w:sz w:val="20"/>
                <w:szCs w:val="20"/>
              </w:rPr>
              <w:t>28 to 30</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57CAE63E" w14:textId="77777777" w:rsidR="00F43B13" w:rsidRPr="00CC1ADD" w:rsidRDefault="00F43B13">
            <w:pPr>
              <w:jc w:val="center"/>
              <w:rPr>
                <w:rFonts w:cstheme="minorHAnsi"/>
                <w:sz w:val="20"/>
                <w:szCs w:val="20"/>
              </w:rPr>
            </w:pPr>
            <w:r w:rsidRPr="00CC1ADD">
              <w:rPr>
                <w:rFonts w:cstheme="minorHAnsi"/>
                <w:sz w:val="20"/>
                <w:szCs w:val="20"/>
              </w:rPr>
              <w:t>31 to 32</w:t>
            </w:r>
          </w:p>
        </w:tc>
      </w:tr>
      <w:tr w:rsidR="00F43B13" w:rsidRPr="00CC1ADD" w14:paraId="22661614"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0EC2D529" w14:textId="77777777" w:rsidR="00F43B13" w:rsidRPr="00CC1ADD" w:rsidRDefault="00F43B13" w:rsidP="005A3631">
            <w:pPr>
              <w:jc w:val="center"/>
              <w:rPr>
                <w:rFonts w:cstheme="minorHAnsi"/>
                <w:b/>
                <w:sz w:val="20"/>
                <w:szCs w:val="20"/>
              </w:rPr>
            </w:pPr>
            <w:r w:rsidRPr="00CC1ADD">
              <w:rPr>
                <w:rFonts w:cstheme="minorHAnsi"/>
                <w:b/>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3783B17" w14:textId="77777777" w:rsidR="00F43B13" w:rsidRPr="00CC1ADD" w:rsidRDefault="00F43B13">
            <w:pPr>
              <w:jc w:val="center"/>
              <w:rPr>
                <w:rFonts w:cstheme="minorHAnsi"/>
                <w:sz w:val="20"/>
                <w:szCs w:val="20"/>
              </w:rPr>
            </w:pPr>
            <w:r w:rsidRPr="00CC1ADD">
              <w:rPr>
                <w:rFonts w:cstheme="minorHAnsi"/>
                <w:sz w:val="20"/>
                <w:szCs w:val="20"/>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67FE036" w14:textId="77777777" w:rsidR="00F43B13" w:rsidRPr="00CC1ADD" w:rsidRDefault="00F43B13">
            <w:pPr>
              <w:jc w:val="center"/>
              <w:rPr>
                <w:rFonts w:cstheme="minorHAnsi"/>
                <w:sz w:val="20"/>
                <w:szCs w:val="20"/>
              </w:rPr>
            </w:pPr>
            <w:r w:rsidRPr="00CC1ADD">
              <w:rPr>
                <w:rFonts w:cstheme="minorHAnsi"/>
                <w:sz w:val="20"/>
                <w:szCs w:val="20"/>
              </w:rPr>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2C93EF3" w14:textId="77777777" w:rsidR="00F43B13" w:rsidRPr="00CC1ADD" w:rsidRDefault="00F43B13">
            <w:pPr>
              <w:jc w:val="center"/>
              <w:rPr>
                <w:rFonts w:cstheme="minorHAnsi"/>
                <w:sz w:val="20"/>
                <w:szCs w:val="20"/>
              </w:rPr>
            </w:pPr>
            <w:r w:rsidRPr="00CC1ADD">
              <w:rPr>
                <w:rFonts w:cstheme="minorHAnsi"/>
                <w:sz w:val="20"/>
                <w:szCs w:val="20"/>
              </w:rPr>
              <w:t>12 to 15</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3D80C71F" w14:textId="77777777" w:rsidR="00F43B13" w:rsidRPr="00CC1ADD" w:rsidRDefault="00F43B13">
            <w:pPr>
              <w:jc w:val="center"/>
              <w:rPr>
                <w:rFonts w:cstheme="minorHAnsi"/>
                <w:sz w:val="20"/>
                <w:szCs w:val="20"/>
              </w:rPr>
            </w:pPr>
            <w:r w:rsidRPr="00CC1ADD">
              <w:rPr>
                <w:rFonts w:cstheme="minorHAnsi"/>
                <w:sz w:val="20"/>
                <w:szCs w:val="20"/>
              </w:rPr>
              <w:t>4</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063B7BF" w14:textId="77777777" w:rsidR="00F43B13" w:rsidRPr="00CC1ADD" w:rsidRDefault="00F43B13">
            <w:pPr>
              <w:jc w:val="center"/>
              <w:rPr>
                <w:rFonts w:cstheme="minorHAnsi"/>
                <w:sz w:val="20"/>
                <w:szCs w:val="20"/>
              </w:rPr>
            </w:pPr>
            <w:r w:rsidRPr="00CC1ADD">
              <w:rPr>
                <w:rFonts w:cstheme="minorHAnsi"/>
                <w:sz w:val="20"/>
                <w:szCs w:val="20"/>
              </w:rPr>
              <w:t>31 to 34</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5C8CD8CD" w14:textId="77777777" w:rsidR="00F43B13" w:rsidRPr="00CC1ADD" w:rsidRDefault="00F43B13">
            <w:pPr>
              <w:jc w:val="center"/>
              <w:rPr>
                <w:rFonts w:cstheme="minorHAnsi"/>
                <w:sz w:val="20"/>
                <w:szCs w:val="20"/>
              </w:rPr>
            </w:pPr>
            <w:r w:rsidRPr="00CC1ADD">
              <w:rPr>
                <w:rFonts w:cstheme="minorHAnsi"/>
                <w:sz w:val="20"/>
                <w:szCs w:val="20"/>
              </w:rPr>
              <w:t>33 to 34</w:t>
            </w:r>
          </w:p>
        </w:tc>
      </w:tr>
      <w:tr w:rsidR="00F43B13" w:rsidRPr="00CC1ADD" w14:paraId="5FB3AEFF" w14:textId="77777777" w:rsidTr="00B36208">
        <w:trPr>
          <w:trHeight w:val="174"/>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4169BC6E" w14:textId="7189A03A" w:rsidR="00F43B13" w:rsidRPr="00CC1ADD" w:rsidRDefault="00F43B13" w:rsidP="005A3631">
            <w:pPr>
              <w:jc w:val="center"/>
              <w:rPr>
                <w:rFonts w:cstheme="minorHAnsi"/>
                <w:b/>
                <w:sz w:val="20"/>
                <w:szCs w:val="20"/>
              </w:rPr>
            </w:pPr>
            <w:r w:rsidRPr="00CC1ADD">
              <w:rPr>
                <w:rFonts w:cstheme="minorHAnsi"/>
                <w:b/>
                <w:sz w:val="20"/>
                <w:szCs w:val="20"/>
              </w:rPr>
              <w:t>1.5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06EA686" w14:textId="77777777" w:rsidR="00F43B13" w:rsidRPr="00CC1ADD" w:rsidRDefault="00F43B13">
            <w:pPr>
              <w:jc w:val="center"/>
              <w:rPr>
                <w:rFonts w:cstheme="minorHAnsi"/>
                <w:sz w:val="20"/>
                <w:szCs w:val="20"/>
              </w:rPr>
            </w:pPr>
            <w:r w:rsidRPr="00CC1ADD">
              <w:rPr>
                <w:rFonts w:cstheme="minorHAnsi"/>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FF71EFE" w14:textId="77777777" w:rsidR="00F43B13" w:rsidRPr="00CC1ADD" w:rsidRDefault="00F43B13">
            <w:pPr>
              <w:jc w:val="center"/>
              <w:rPr>
                <w:rFonts w:cstheme="minorHAnsi"/>
                <w:sz w:val="20"/>
                <w:szCs w:val="20"/>
              </w:rPr>
            </w:pPr>
            <w:r w:rsidRPr="00CC1ADD">
              <w:rPr>
                <w:rFonts w:cstheme="minorHAnsi"/>
                <w:sz w:val="20"/>
                <w:szCs w:val="20"/>
              </w:rPr>
              <w:t>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66CFEF1" w14:textId="77777777" w:rsidR="00F43B13" w:rsidRPr="00CC1ADD" w:rsidRDefault="00F43B13">
            <w:pPr>
              <w:jc w:val="center"/>
              <w:rPr>
                <w:rFonts w:cstheme="minorHAnsi"/>
                <w:sz w:val="20"/>
                <w:szCs w:val="20"/>
              </w:rPr>
            </w:pPr>
            <w:r w:rsidRPr="00CC1ADD">
              <w:rPr>
                <w:rFonts w:cstheme="minorHAnsi"/>
                <w:sz w:val="20"/>
                <w:szCs w:val="20"/>
              </w:rPr>
              <w:t>16 to 20</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5E7D4960" w14:textId="77777777" w:rsidR="00F43B13" w:rsidRPr="00CC1ADD" w:rsidRDefault="00F43B13">
            <w:pPr>
              <w:jc w:val="center"/>
              <w:rPr>
                <w:rFonts w:cstheme="minorHAnsi"/>
                <w:sz w:val="20"/>
                <w:szCs w:val="20"/>
              </w:rPr>
            </w:pPr>
            <w:r w:rsidRPr="00CC1ADD">
              <w:rPr>
                <w:rFonts w:cstheme="minorHAnsi"/>
                <w:sz w:val="20"/>
                <w:szCs w:val="20"/>
              </w:rPr>
              <w:t>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774E250" w14:textId="77777777" w:rsidR="00F43B13" w:rsidRPr="00CC1ADD" w:rsidRDefault="00F43B13">
            <w:pPr>
              <w:jc w:val="center"/>
              <w:rPr>
                <w:rFonts w:cstheme="minorHAnsi"/>
                <w:sz w:val="20"/>
                <w:szCs w:val="20"/>
              </w:rPr>
            </w:pPr>
            <w:r w:rsidRPr="00CC1ADD">
              <w:rPr>
                <w:rFonts w:cstheme="minorHAnsi"/>
                <w:sz w:val="20"/>
                <w:szCs w:val="20"/>
              </w:rPr>
              <w:t>35 to 37</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2A1AC2E6" w14:textId="77777777" w:rsidR="00F43B13" w:rsidRPr="00CC1ADD" w:rsidRDefault="00F43B13">
            <w:pPr>
              <w:jc w:val="center"/>
              <w:rPr>
                <w:rFonts w:cstheme="minorHAnsi"/>
                <w:sz w:val="20"/>
                <w:szCs w:val="20"/>
              </w:rPr>
            </w:pPr>
            <w:r w:rsidRPr="00CC1ADD">
              <w:rPr>
                <w:rFonts w:cstheme="minorHAnsi"/>
                <w:sz w:val="20"/>
                <w:szCs w:val="20"/>
              </w:rPr>
              <w:t>35 to 36</w:t>
            </w:r>
          </w:p>
        </w:tc>
      </w:tr>
      <w:tr w:rsidR="00F43B13" w:rsidRPr="00CC1ADD" w14:paraId="314FB191" w14:textId="77777777" w:rsidTr="005D75D3">
        <w:trPr>
          <w:trHeight w:val="35"/>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0B4D4462" w14:textId="77777777" w:rsidR="00F43B13" w:rsidRPr="00CC1ADD" w:rsidRDefault="00F43B13" w:rsidP="005A3631">
            <w:pPr>
              <w:jc w:val="center"/>
              <w:rPr>
                <w:rFonts w:cstheme="minorHAnsi"/>
                <w:b/>
                <w:sz w:val="20"/>
                <w:szCs w:val="20"/>
              </w:rPr>
            </w:pPr>
            <w:r w:rsidRPr="00CC1ADD">
              <w:rPr>
                <w:rFonts w:cstheme="minorHAnsi"/>
                <w:b/>
                <w:sz w:val="20"/>
                <w:szCs w:val="20"/>
              </w:rPr>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E450B9D" w14:textId="77777777" w:rsidR="00F43B13" w:rsidRPr="00CC1ADD" w:rsidRDefault="00F43B13">
            <w:pPr>
              <w:jc w:val="center"/>
              <w:rPr>
                <w:rFonts w:cstheme="minorHAnsi"/>
                <w:sz w:val="20"/>
                <w:szCs w:val="20"/>
              </w:rPr>
            </w:pPr>
            <w:r w:rsidRPr="00CC1ADD">
              <w:rPr>
                <w:rFonts w:cstheme="minorHAnsi"/>
                <w:sz w:val="20"/>
                <w:szCs w:val="20"/>
              </w:rPr>
              <w:t>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9DB5FBA" w14:textId="77777777" w:rsidR="00F43B13" w:rsidRPr="00CC1ADD" w:rsidRDefault="00F43B13">
            <w:pPr>
              <w:jc w:val="center"/>
              <w:rPr>
                <w:rFonts w:cstheme="minorHAnsi"/>
                <w:sz w:val="20"/>
                <w:szCs w:val="20"/>
              </w:rPr>
            </w:pPr>
            <w:r w:rsidRPr="00CC1ADD">
              <w:rPr>
                <w:rFonts w:cstheme="minorHAnsi"/>
                <w:sz w:val="20"/>
                <w:szCs w:val="20"/>
              </w:rPr>
              <w:t>6</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FF4264E" w14:textId="77777777" w:rsidR="00F43B13" w:rsidRPr="00CC1ADD" w:rsidRDefault="00F43B13">
            <w:pPr>
              <w:jc w:val="center"/>
              <w:rPr>
                <w:rFonts w:cstheme="minorHAnsi"/>
                <w:sz w:val="20"/>
                <w:szCs w:val="20"/>
              </w:rPr>
            </w:pPr>
            <w:r w:rsidRPr="00CC1ADD">
              <w:rPr>
                <w:rFonts w:cstheme="minorHAnsi"/>
                <w:sz w:val="20"/>
                <w:szCs w:val="20"/>
              </w:rPr>
              <w:t>21 to 24</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346E5FF8" w14:textId="77777777" w:rsidR="00F43B13" w:rsidRPr="00CC1ADD" w:rsidRDefault="00F43B13">
            <w:pPr>
              <w:jc w:val="center"/>
              <w:rPr>
                <w:rFonts w:cstheme="minorHAnsi"/>
                <w:sz w:val="20"/>
                <w:szCs w:val="20"/>
              </w:rPr>
            </w:pPr>
            <w:r w:rsidRPr="00CC1ADD">
              <w:rPr>
                <w:rFonts w:cstheme="minorHAnsi"/>
                <w:sz w:val="20"/>
                <w:szCs w:val="20"/>
              </w:rPr>
              <w:t>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9647A93" w14:textId="77777777" w:rsidR="00F43B13" w:rsidRPr="00CC1ADD" w:rsidRDefault="00F43B13">
            <w:pPr>
              <w:jc w:val="center"/>
              <w:rPr>
                <w:rFonts w:cstheme="minorHAnsi"/>
                <w:sz w:val="20"/>
                <w:szCs w:val="20"/>
              </w:rPr>
            </w:pPr>
            <w:r w:rsidRPr="00CC1ADD">
              <w:rPr>
                <w:rFonts w:cstheme="minorHAnsi"/>
                <w:sz w:val="20"/>
                <w:szCs w:val="20"/>
              </w:rPr>
              <w:t>38 to 41</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6EBF05D5" w14:textId="77777777" w:rsidR="00F43B13" w:rsidRPr="00CC1ADD" w:rsidRDefault="00F43B13">
            <w:pPr>
              <w:jc w:val="center"/>
              <w:rPr>
                <w:rFonts w:cstheme="minorHAnsi"/>
                <w:sz w:val="20"/>
                <w:szCs w:val="20"/>
              </w:rPr>
            </w:pPr>
            <w:r w:rsidRPr="00CC1ADD">
              <w:rPr>
                <w:rFonts w:cstheme="minorHAnsi"/>
                <w:sz w:val="20"/>
                <w:szCs w:val="20"/>
              </w:rPr>
              <w:t>37 to 38</w:t>
            </w:r>
          </w:p>
        </w:tc>
      </w:tr>
      <w:tr w:rsidR="00F43B13" w:rsidRPr="00CC1ADD" w14:paraId="4409A2BF" w14:textId="77777777" w:rsidTr="00B36208">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95BE4CF" w14:textId="07EDD916" w:rsidR="00F43B13" w:rsidRPr="00CC1ADD" w:rsidRDefault="00F43B13" w:rsidP="005A3631">
            <w:pPr>
              <w:jc w:val="center"/>
              <w:rPr>
                <w:rFonts w:cstheme="minorHAnsi"/>
                <w:b/>
                <w:sz w:val="20"/>
                <w:szCs w:val="20"/>
              </w:rPr>
            </w:pPr>
            <w:r w:rsidRPr="00CC1ADD">
              <w:rPr>
                <w:rFonts w:cstheme="minorHAnsi"/>
                <w:b/>
                <w:sz w:val="20"/>
                <w:szCs w:val="20"/>
              </w:rPr>
              <w:t>0.5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565D0F0" w14:textId="77777777" w:rsidR="00F43B13" w:rsidRPr="00CC1ADD" w:rsidRDefault="00F43B13">
            <w:pPr>
              <w:jc w:val="center"/>
              <w:rPr>
                <w:rFonts w:cstheme="minorHAnsi"/>
                <w:sz w:val="20"/>
                <w:szCs w:val="20"/>
              </w:rPr>
            </w:pPr>
            <w:r w:rsidRPr="00CC1ADD">
              <w:rPr>
                <w:rFonts w:cstheme="minorHAnsi"/>
                <w:sz w:val="20"/>
                <w:szCs w:val="20"/>
              </w:rPr>
              <w:t>≥3</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E0D44B5" w14:textId="77777777" w:rsidR="00F43B13" w:rsidRPr="00CC1ADD" w:rsidRDefault="00F43B13">
            <w:pPr>
              <w:jc w:val="center"/>
              <w:rPr>
                <w:rFonts w:cstheme="minorHAnsi"/>
                <w:sz w:val="20"/>
                <w:szCs w:val="20"/>
              </w:rPr>
            </w:pPr>
            <w:r w:rsidRPr="00CC1ADD">
              <w:rPr>
                <w:rFonts w:cstheme="minorHAnsi"/>
                <w:sz w:val="20"/>
                <w:szCs w:val="20"/>
              </w:rPr>
              <w:t>≥7</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E118C19" w14:textId="77777777" w:rsidR="00F43B13" w:rsidRPr="00CC1ADD" w:rsidRDefault="00F43B13">
            <w:pPr>
              <w:jc w:val="center"/>
              <w:rPr>
                <w:rFonts w:cstheme="minorHAnsi"/>
                <w:sz w:val="20"/>
                <w:szCs w:val="20"/>
              </w:rPr>
            </w:pPr>
            <w:r w:rsidRPr="00CC1ADD">
              <w:rPr>
                <w:rFonts w:cstheme="minorHAnsi"/>
                <w:sz w:val="20"/>
                <w:szCs w:val="20"/>
              </w:rPr>
              <w:t>≥25</w:t>
            </w:r>
          </w:p>
        </w:tc>
        <w:tc>
          <w:tcPr>
            <w:tcW w:w="1375" w:type="dxa"/>
            <w:tcBorders>
              <w:top w:val="single" w:sz="4" w:space="0" w:color="000000"/>
              <w:left w:val="single" w:sz="4" w:space="0" w:color="000000"/>
              <w:bottom w:val="single" w:sz="4" w:space="0" w:color="000000"/>
              <w:right w:val="single" w:sz="4" w:space="0" w:color="000000"/>
            </w:tcBorders>
            <w:vAlign w:val="center"/>
            <w:hideMark/>
          </w:tcPr>
          <w:p w14:paraId="02388BB4" w14:textId="77777777" w:rsidR="00F43B13" w:rsidRPr="00CC1ADD" w:rsidRDefault="00F43B13">
            <w:pPr>
              <w:jc w:val="center"/>
              <w:rPr>
                <w:rFonts w:cstheme="minorHAnsi"/>
                <w:sz w:val="20"/>
                <w:szCs w:val="20"/>
              </w:rPr>
            </w:pPr>
            <w:r w:rsidRPr="00CC1ADD">
              <w:rPr>
                <w:rFonts w:cstheme="minorHAnsi"/>
                <w:sz w:val="20"/>
                <w:szCs w:val="20"/>
              </w:rPr>
              <w:t>≥7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E542C2A" w14:textId="77777777" w:rsidR="00F43B13" w:rsidRPr="00CC1ADD" w:rsidRDefault="00F43B13">
            <w:pPr>
              <w:jc w:val="center"/>
              <w:rPr>
                <w:rFonts w:cstheme="minorHAnsi"/>
                <w:sz w:val="20"/>
                <w:szCs w:val="20"/>
              </w:rPr>
            </w:pPr>
            <w:r w:rsidRPr="00CC1ADD">
              <w:rPr>
                <w:rFonts w:cstheme="minorHAnsi"/>
                <w:sz w:val="20"/>
                <w:szCs w:val="20"/>
              </w:rPr>
              <w:t>≥42</w:t>
            </w:r>
          </w:p>
        </w:tc>
        <w:tc>
          <w:tcPr>
            <w:tcW w:w="1661" w:type="dxa"/>
            <w:tcBorders>
              <w:top w:val="single" w:sz="4" w:space="0" w:color="000000"/>
              <w:left w:val="single" w:sz="4" w:space="0" w:color="000000"/>
              <w:bottom w:val="single" w:sz="4" w:space="0" w:color="000000"/>
              <w:right w:val="single" w:sz="4" w:space="0" w:color="000000"/>
            </w:tcBorders>
            <w:vAlign w:val="center"/>
            <w:hideMark/>
          </w:tcPr>
          <w:p w14:paraId="0E2F34CF" w14:textId="77777777" w:rsidR="00F43B13" w:rsidRPr="00CC1ADD" w:rsidRDefault="00F43B13">
            <w:pPr>
              <w:jc w:val="center"/>
              <w:rPr>
                <w:rFonts w:cstheme="minorHAnsi"/>
                <w:sz w:val="20"/>
                <w:szCs w:val="20"/>
              </w:rPr>
            </w:pPr>
            <w:r w:rsidRPr="00CC1ADD">
              <w:rPr>
                <w:rFonts w:cstheme="minorHAnsi"/>
                <w:sz w:val="20"/>
                <w:szCs w:val="20"/>
              </w:rPr>
              <w:t>≥39</w:t>
            </w:r>
          </w:p>
        </w:tc>
      </w:tr>
    </w:tbl>
    <w:p w14:paraId="40B5400B" w14:textId="77777777" w:rsidR="00F43B13" w:rsidRPr="00CC1ADD" w:rsidRDefault="00F43B13" w:rsidP="005D75D3">
      <w:pPr>
        <w:pStyle w:val="mpcNormal"/>
        <w:keepNext w:val="0"/>
      </w:pPr>
    </w:p>
    <w:p w14:paraId="0466CADB" w14:textId="77777777" w:rsidR="00F43B13" w:rsidRPr="00CC1ADD" w:rsidRDefault="00F43B13" w:rsidP="005D75D3">
      <w:pPr>
        <w:pStyle w:val="mpcNormal"/>
        <w:keepNext w:val="0"/>
      </w:pPr>
    </w:p>
    <w:p w14:paraId="7680D366" w14:textId="77777777" w:rsidR="00F43B13" w:rsidRPr="00CC1ADD" w:rsidRDefault="00F43B13" w:rsidP="005A3631">
      <w:pPr>
        <w:rPr>
          <w:sz w:val="22"/>
          <w:szCs w:val="22"/>
        </w:rPr>
      </w:pPr>
    </w:p>
    <w:p w14:paraId="473AF7D3" w14:textId="77777777" w:rsidR="00F43B13" w:rsidRPr="00CC1ADD" w:rsidRDefault="00F43B13">
      <w:pPr>
        <w:rPr>
          <w:sz w:val="22"/>
          <w:szCs w:val="22"/>
        </w:rPr>
      </w:pPr>
    </w:p>
    <w:p w14:paraId="3C423896" w14:textId="77777777" w:rsidR="00F43B13" w:rsidRPr="00CC1ADD" w:rsidRDefault="00F43B13">
      <w:pPr>
        <w:rPr>
          <w:sz w:val="22"/>
          <w:szCs w:val="22"/>
        </w:rPr>
      </w:pPr>
    </w:p>
    <w:p w14:paraId="5EF03A6A" w14:textId="299163E0" w:rsidR="009A5449" w:rsidRPr="00CC1ADD" w:rsidRDefault="003918E8">
      <w:pPr>
        <w:pStyle w:val="mpcheading1"/>
        <w:spacing w:after="0"/>
      </w:pPr>
      <w:r w:rsidRPr="00CC1ADD">
        <w:br w:type="column"/>
      </w:r>
      <w:bookmarkStart w:id="160" w:name="AppendixB"/>
      <w:bookmarkStart w:id="161" w:name="_Toc9955078"/>
      <w:bookmarkEnd w:id="160"/>
      <w:r w:rsidR="009A5449" w:rsidRPr="00CC1ADD">
        <w:t xml:space="preserve">Appendix B: Impact of the </w:t>
      </w:r>
      <w:r w:rsidR="00C82D90">
        <w:t>Health Star Rating</w:t>
      </w:r>
      <w:r w:rsidR="009A5449" w:rsidRPr="00CC1ADD">
        <w:t xml:space="preserve"> System</w:t>
      </w:r>
      <w:bookmarkEnd w:id="161"/>
    </w:p>
    <w:p w14:paraId="40FDD8FD" w14:textId="77777777" w:rsidR="009A5449" w:rsidRPr="00CC1ADD" w:rsidRDefault="009A5449" w:rsidP="005D75D3">
      <w:pPr>
        <w:pStyle w:val="mpcNormal"/>
        <w:keepNext w:val="0"/>
      </w:pPr>
    </w:p>
    <w:p w14:paraId="657A2BA3" w14:textId="20FCC1F9" w:rsidR="009A5449" w:rsidRDefault="009A5449" w:rsidP="005A3631">
      <w:pPr>
        <w:pStyle w:val="mpcheading2"/>
      </w:pPr>
      <w:bookmarkStart w:id="162" w:name="Statistics"/>
      <w:bookmarkStart w:id="163" w:name="_Toc9955079"/>
      <w:r w:rsidRPr="00CC1ADD">
        <w:t>K</w:t>
      </w:r>
      <w:bookmarkEnd w:id="162"/>
      <w:r w:rsidRPr="00CC1ADD">
        <w:t>ey statistics</w:t>
      </w:r>
      <w:bookmarkEnd w:id="163"/>
    </w:p>
    <w:tbl>
      <w:tblPr>
        <w:tblStyle w:val="TableGrid"/>
        <w:tblW w:w="10206" w:type="dxa"/>
        <w:tblInd w:w="-289" w:type="dxa"/>
        <w:tblLook w:val="04A0" w:firstRow="1" w:lastRow="0" w:firstColumn="1" w:lastColumn="0" w:noHBand="0" w:noVBand="1"/>
        <w:tblCaption w:val="Key Statistics"/>
        <w:tblDescription w:val="This table describes key statistics regarding the HSR System in Australia and New Zealand."/>
      </w:tblPr>
      <w:tblGrid>
        <w:gridCol w:w="1515"/>
        <w:gridCol w:w="4298"/>
        <w:gridCol w:w="4393"/>
      </w:tblGrid>
      <w:tr w:rsidR="006A1351" w:rsidRPr="00CC1ADD" w14:paraId="7FEF5EA3" w14:textId="77777777" w:rsidTr="00D84DE2">
        <w:trPr>
          <w:trHeight w:val="559"/>
          <w:tblHeader/>
        </w:trPr>
        <w:tc>
          <w:tcPr>
            <w:tcW w:w="1515" w:type="dxa"/>
            <w:shd w:val="clear" w:color="auto" w:fill="516A8E"/>
            <w:vAlign w:val="center"/>
          </w:tcPr>
          <w:p w14:paraId="47D90261" w14:textId="77777777" w:rsidR="006A1351" w:rsidRPr="00CC1ADD" w:rsidRDefault="006A1351" w:rsidP="005D75D3">
            <w:pPr>
              <w:pStyle w:val="mpcNormal"/>
              <w:keepNext w:val="0"/>
              <w:widowControl w:val="0"/>
              <w:rPr>
                <w:color w:val="FFFFFF" w:themeColor="background1"/>
                <w:sz w:val="20"/>
                <w:szCs w:val="20"/>
              </w:rPr>
            </w:pPr>
            <w:bookmarkStart w:id="164" w:name="Stats"/>
            <w:bookmarkEnd w:id="164"/>
          </w:p>
        </w:tc>
        <w:tc>
          <w:tcPr>
            <w:tcW w:w="4298" w:type="dxa"/>
            <w:shd w:val="clear" w:color="auto" w:fill="516A8E"/>
            <w:vAlign w:val="center"/>
          </w:tcPr>
          <w:p w14:paraId="6B3D25FE" w14:textId="77777777" w:rsidR="006A1351" w:rsidRPr="00CC1ADD" w:rsidRDefault="006A1351" w:rsidP="005D75D3">
            <w:pPr>
              <w:pStyle w:val="mpcNormal"/>
              <w:keepNext w:val="0"/>
              <w:widowControl w:val="0"/>
              <w:rPr>
                <w:b/>
                <w:color w:val="FFFFFF" w:themeColor="background1"/>
                <w:sz w:val="20"/>
                <w:szCs w:val="20"/>
              </w:rPr>
            </w:pPr>
            <w:r w:rsidRPr="00CC1ADD">
              <w:rPr>
                <w:b/>
                <w:color w:val="FFFFFF" w:themeColor="background1"/>
                <w:sz w:val="20"/>
                <w:szCs w:val="20"/>
              </w:rPr>
              <w:t>Australia</w:t>
            </w:r>
          </w:p>
        </w:tc>
        <w:tc>
          <w:tcPr>
            <w:tcW w:w="4393" w:type="dxa"/>
            <w:shd w:val="clear" w:color="auto" w:fill="516A8E"/>
            <w:vAlign w:val="center"/>
          </w:tcPr>
          <w:p w14:paraId="23E76A8D" w14:textId="77777777" w:rsidR="006A1351" w:rsidRPr="00CC1ADD" w:rsidRDefault="006A1351" w:rsidP="005D75D3">
            <w:pPr>
              <w:pStyle w:val="mpcNormal"/>
              <w:keepNext w:val="0"/>
              <w:widowControl w:val="0"/>
              <w:rPr>
                <w:b/>
                <w:color w:val="FFFFFF" w:themeColor="background1"/>
                <w:sz w:val="20"/>
                <w:szCs w:val="20"/>
              </w:rPr>
            </w:pPr>
            <w:r w:rsidRPr="00CC1ADD">
              <w:rPr>
                <w:b/>
                <w:color w:val="FFFFFF" w:themeColor="background1"/>
                <w:sz w:val="20"/>
                <w:szCs w:val="20"/>
              </w:rPr>
              <w:t>New Zealand</w:t>
            </w:r>
          </w:p>
        </w:tc>
      </w:tr>
      <w:tr w:rsidR="006A1351" w:rsidRPr="00CC1ADD" w14:paraId="151548F3" w14:textId="77777777" w:rsidTr="00D84DE2">
        <w:tc>
          <w:tcPr>
            <w:tcW w:w="1515" w:type="dxa"/>
          </w:tcPr>
          <w:p w14:paraId="1D0E94FE" w14:textId="77777777" w:rsidR="006A1351" w:rsidRPr="00CC1ADD" w:rsidRDefault="006A1351" w:rsidP="005D75D3">
            <w:pPr>
              <w:pStyle w:val="mpcNormal"/>
              <w:keepNext w:val="0"/>
              <w:widowControl w:val="0"/>
              <w:rPr>
                <w:b/>
                <w:sz w:val="20"/>
                <w:szCs w:val="20"/>
              </w:rPr>
            </w:pPr>
            <w:r w:rsidRPr="00CC1ADD">
              <w:rPr>
                <w:b/>
                <w:sz w:val="20"/>
                <w:szCs w:val="20"/>
              </w:rPr>
              <w:t>Uptake</w:t>
            </w:r>
          </w:p>
        </w:tc>
        <w:tc>
          <w:tcPr>
            <w:tcW w:w="4298" w:type="dxa"/>
          </w:tcPr>
          <w:p w14:paraId="53769ED4" w14:textId="047BE8AB" w:rsidR="006A1351" w:rsidRPr="00CC1ADD" w:rsidRDefault="006A1351" w:rsidP="005D75D3">
            <w:pPr>
              <w:pStyle w:val="mpcNormal"/>
              <w:keepNext w:val="0"/>
              <w:widowControl w:val="0"/>
              <w:rPr>
                <w:sz w:val="20"/>
                <w:szCs w:val="20"/>
              </w:rPr>
            </w:pPr>
            <w:r w:rsidRPr="00CC1ADD">
              <w:rPr>
                <w:sz w:val="20"/>
                <w:szCs w:val="20"/>
              </w:rPr>
              <w:t>As at June 2018, 5,448 products display the HSR, representing 3</w:t>
            </w:r>
            <w:r>
              <w:rPr>
                <w:sz w:val="20"/>
                <w:szCs w:val="20"/>
              </w:rPr>
              <w:t>1</w:t>
            </w:r>
            <w:r w:rsidRPr="00CC1ADD">
              <w:rPr>
                <w:sz w:val="20"/>
                <w:szCs w:val="20"/>
              </w:rPr>
              <w:t>% of all eligible products.</w:t>
            </w:r>
          </w:p>
        </w:tc>
        <w:tc>
          <w:tcPr>
            <w:tcW w:w="4393" w:type="dxa"/>
          </w:tcPr>
          <w:p w14:paraId="08B7FA98" w14:textId="4047E8DB" w:rsidR="006A1351" w:rsidRPr="00CC1ADD" w:rsidRDefault="006A1351" w:rsidP="005D75D3">
            <w:pPr>
              <w:pStyle w:val="mpcNormal"/>
              <w:keepNext w:val="0"/>
              <w:widowControl w:val="0"/>
              <w:rPr>
                <w:sz w:val="20"/>
                <w:szCs w:val="20"/>
              </w:rPr>
            </w:pPr>
            <w:r w:rsidRPr="00CC1ADD">
              <w:rPr>
                <w:sz w:val="20"/>
                <w:szCs w:val="20"/>
              </w:rPr>
              <w:t>As at June 2018, 2,997 products display the HSR, representing 21% of all eligible products.</w:t>
            </w:r>
          </w:p>
        </w:tc>
      </w:tr>
      <w:tr w:rsidR="006A1351" w:rsidRPr="00CC1ADD" w14:paraId="290F8E19" w14:textId="77777777" w:rsidTr="00D84DE2">
        <w:trPr>
          <w:trHeight w:val="959"/>
        </w:trPr>
        <w:tc>
          <w:tcPr>
            <w:tcW w:w="1515" w:type="dxa"/>
          </w:tcPr>
          <w:p w14:paraId="6C9C60CD" w14:textId="77777777" w:rsidR="006A1351" w:rsidRPr="00CC1ADD" w:rsidRDefault="006A1351" w:rsidP="005D75D3">
            <w:pPr>
              <w:pStyle w:val="mpcNormal"/>
              <w:keepNext w:val="0"/>
              <w:widowControl w:val="0"/>
              <w:rPr>
                <w:b/>
                <w:sz w:val="20"/>
                <w:szCs w:val="20"/>
              </w:rPr>
            </w:pPr>
            <w:r w:rsidRPr="00CC1ADD">
              <w:rPr>
                <w:b/>
                <w:sz w:val="20"/>
                <w:szCs w:val="20"/>
              </w:rPr>
              <w:t>Product categories with highest uptake of HSR</w:t>
            </w:r>
          </w:p>
        </w:tc>
        <w:tc>
          <w:tcPr>
            <w:tcW w:w="4298" w:type="dxa"/>
          </w:tcPr>
          <w:p w14:paraId="463A8019" w14:textId="77777777" w:rsidR="006A1351" w:rsidRPr="00CC1ADD" w:rsidRDefault="006A1351" w:rsidP="005D75D3">
            <w:pPr>
              <w:widowControl w:val="0"/>
              <w:rPr>
                <w:rFonts w:cstheme="minorHAnsi"/>
                <w:sz w:val="20"/>
                <w:szCs w:val="20"/>
              </w:rPr>
            </w:pPr>
            <w:r w:rsidRPr="00CC1ADD">
              <w:rPr>
                <w:rFonts w:cstheme="minorHAnsi"/>
                <w:sz w:val="20"/>
                <w:szCs w:val="20"/>
              </w:rPr>
              <w:t>Of the foods displaying the HSR in Australia, the following categories contributed most significantly to the uptake:</w:t>
            </w:r>
          </w:p>
          <w:p w14:paraId="4D512103"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non-dairy beverages:</w:t>
            </w:r>
            <w:r w:rsidRPr="00CC1ADD">
              <w:rPr>
                <w:rFonts w:cstheme="minorHAnsi"/>
                <w:sz w:val="20"/>
                <w:szCs w:val="20"/>
              </w:rPr>
              <w:t xml:space="preserve"> </w:t>
            </w:r>
            <w:r>
              <w:rPr>
                <w:rFonts w:cstheme="minorHAnsi"/>
                <w:sz w:val="20"/>
                <w:szCs w:val="20"/>
              </w:rPr>
              <w:t>11</w:t>
            </w:r>
            <w:r w:rsidRPr="00CC1ADD">
              <w:rPr>
                <w:rFonts w:cstheme="minorHAnsi"/>
                <w:sz w:val="20"/>
                <w:szCs w:val="20"/>
              </w:rPr>
              <w:t>% of total products displaying the HSR</w:t>
            </w:r>
            <w:r>
              <w:rPr>
                <w:rFonts w:cstheme="minorHAnsi"/>
                <w:sz w:val="20"/>
                <w:szCs w:val="20"/>
              </w:rPr>
              <w:t>, 45</w:t>
            </w:r>
            <w:r w:rsidRPr="00CC1ADD">
              <w:rPr>
                <w:rFonts w:cstheme="minorHAnsi"/>
                <w:sz w:val="20"/>
                <w:szCs w:val="20"/>
              </w:rPr>
              <w:t xml:space="preserve">% of eligible products in this category, </w:t>
            </w:r>
            <w:r>
              <w:rPr>
                <w:rFonts w:cstheme="minorHAnsi"/>
                <w:sz w:val="20"/>
                <w:szCs w:val="20"/>
              </w:rPr>
              <w:t>608</w:t>
            </w:r>
            <w:r w:rsidRPr="00CC1ADD">
              <w:rPr>
                <w:rFonts w:cstheme="minorHAnsi"/>
                <w:sz w:val="20"/>
                <w:szCs w:val="20"/>
              </w:rPr>
              <w:t xml:space="preserve"> total products</w:t>
            </w:r>
          </w:p>
          <w:p w14:paraId="3C6C5971" w14:textId="77777777" w:rsidR="006A1351" w:rsidRPr="00CC1ADD" w:rsidRDefault="006A1351" w:rsidP="00901C53">
            <w:pPr>
              <w:pStyle w:val="ListParagraph"/>
              <w:widowControl w:val="0"/>
              <w:numPr>
                <w:ilvl w:val="0"/>
                <w:numId w:val="27"/>
              </w:numPr>
              <w:rPr>
                <w:rFonts w:cstheme="minorHAnsi"/>
                <w:sz w:val="20"/>
                <w:szCs w:val="20"/>
              </w:rPr>
            </w:pPr>
            <w:r>
              <w:rPr>
                <w:rFonts w:cstheme="minorHAnsi"/>
                <w:b/>
                <w:sz w:val="20"/>
                <w:szCs w:val="20"/>
              </w:rPr>
              <w:t>processed meat and seafood</w:t>
            </w:r>
            <w:r w:rsidRPr="00CC1ADD">
              <w:rPr>
                <w:rFonts w:cstheme="minorHAnsi"/>
                <w:b/>
                <w:sz w:val="20"/>
                <w:szCs w:val="20"/>
              </w:rPr>
              <w:t>:</w:t>
            </w:r>
            <w:r w:rsidRPr="00CC1ADD">
              <w:rPr>
                <w:rFonts w:cstheme="minorHAnsi"/>
                <w:sz w:val="20"/>
                <w:szCs w:val="20"/>
              </w:rPr>
              <w:t xml:space="preserve"> </w:t>
            </w:r>
            <w:r>
              <w:rPr>
                <w:rFonts w:cstheme="minorHAnsi"/>
                <w:sz w:val="20"/>
                <w:szCs w:val="20"/>
              </w:rPr>
              <w:t>8</w:t>
            </w:r>
            <w:r w:rsidRPr="00CC1ADD">
              <w:rPr>
                <w:rFonts w:cstheme="minorHAnsi"/>
                <w:sz w:val="20"/>
                <w:szCs w:val="20"/>
              </w:rPr>
              <w:t xml:space="preserve">% of total products displaying the HSR, </w:t>
            </w:r>
            <w:r>
              <w:rPr>
                <w:rFonts w:cstheme="minorHAnsi"/>
                <w:sz w:val="20"/>
                <w:szCs w:val="20"/>
              </w:rPr>
              <w:t>34</w:t>
            </w:r>
            <w:r w:rsidRPr="00CC1ADD">
              <w:rPr>
                <w:rFonts w:cstheme="minorHAnsi"/>
                <w:sz w:val="20"/>
                <w:szCs w:val="20"/>
              </w:rPr>
              <w:t xml:space="preserve">% of eligible products in this category, </w:t>
            </w:r>
            <w:r>
              <w:rPr>
                <w:rFonts w:cstheme="minorHAnsi"/>
                <w:sz w:val="20"/>
                <w:szCs w:val="20"/>
              </w:rPr>
              <w:t>459</w:t>
            </w:r>
            <w:r w:rsidRPr="00CC1ADD">
              <w:rPr>
                <w:rFonts w:cstheme="minorHAnsi"/>
                <w:sz w:val="20"/>
                <w:szCs w:val="20"/>
              </w:rPr>
              <w:t xml:space="preserve"> total products</w:t>
            </w:r>
          </w:p>
          <w:p w14:paraId="23B0065D" w14:textId="77777777" w:rsidR="006A1351" w:rsidRPr="00CC1ADD" w:rsidRDefault="006A1351" w:rsidP="00901C53">
            <w:pPr>
              <w:pStyle w:val="ListParagraph"/>
              <w:widowControl w:val="0"/>
              <w:numPr>
                <w:ilvl w:val="0"/>
                <w:numId w:val="27"/>
              </w:numPr>
              <w:rPr>
                <w:rFonts w:cstheme="minorHAnsi"/>
                <w:sz w:val="20"/>
                <w:szCs w:val="20"/>
              </w:rPr>
            </w:pPr>
            <w:r w:rsidRPr="00EC5CEA">
              <w:rPr>
                <w:rFonts w:cstheme="minorHAnsi"/>
                <w:b/>
                <w:sz w:val="20"/>
                <w:szCs w:val="20"/>
              </w:rPr>
              <w:t>processed fruit and vegetables</w:t>
            </w:r>
            <w:r>
              <w:rPr>
                <w:rFonts w:cstheme="minorHAnsi"/>
                <w:sz w:val="20"/>
                <w:szCs w:val="20"/>
              </w:rPr>
              <w:t>: 7</w:t>
            </w:r>
            <w:r w:rsidRPr="00CC1ADD">
              <w:rPr>
                <w:rFonts w:cstheme="minorHAnsi"/>
                <w:sz w:val="20"/>
                <w:szCs w:val="20"/>
              </w:rPr>
              <w:t xml:space="preserve">% of total products displaying the HSR, </w:t>
            </w:r>
            <w:r>
              <w:rPr>
                <w:rFonts w:cstheme="minorHAnsi"/>
                <w:sz w:val="20"/>
                <w:szCs w:val="20"/>
              </w:rPr>
              <w:t>45</w:t>
            </w:r>
            <w:r w:rsidRPr="00CC1ADD">
              <w:rPr>
                <w:rFonts w:cstheme="minorHAnsi"/>
                <w:sz w:val="20"/>
                <w:szCs w:val="20"/>
              </w:rPr>
              <w:t xml:space="preserve">% of eligible products in this category, </w:t>
            </w:r>
            <w:r>
              <w:rPr>
                <w:rFonts w:cstheme="minorHAnsi"/>
                <w:sz w:val="20"/>
                <w:szCs w:val="20"/>
              </w:rPr>
              <w:t>386</w:t>
            </w:r>
            <w:r w:rsidRPr="00CC1ADD">
              <w:rPr>
                <w:rFonts w:cstheme="minorHAnsi"/>
                <w:sz w:val="20"/>
                <w:szCs w:val="20"/>
              </w:rPr>
              <w:t xml:space="preserve"> total products</w:t>
            </w:r>
          </w:p>
          <w:p w14:paraId="32F0EE1C" w14:textId="77777777" w:rsidR="006A1351" w:rsidRPr="00CC1ADD" w:rsidRDefault="006A1351" w:rsidP="00901C53">
            <w:pPr>
              <w:pStyle w:val="ListParagraph"/>
              <w:widowControl w:val="0"/>
              <w:numPr>
                <w:ilvl w:val="0"/>
                <w:numId w:val="27"/>
              </w:numPr>
              <w:rPr>
                <w:rFonts w:cstheme="minorHAnsi"/>
                <w:sz w:val="20"/>
                <w:szCs w:val="20"/>
              </w:rPr>
            </w:pPr>
            <w:r>
              <w:rPr>
                <w:rFonts w:cstheme="minorHAnsi"/>
                <w:b/>
                <w:sz w:val="20"/>
                <w:szCs w:val="20"/>
              </w:rPr>
              <w:t>savoury snacks</w:t>
            </w:r>
            <w:r w:rsidRPr="00CC1ADD">
              <w:rPr>
                <w:rFonts w:cstheme="minorHAnsi"/>
                <w:b/>
                <w:sz w:val="20"/>
                <w:szCs w:val="20"/>
              </w:rPr>
              <w:t>:</w:t>
            </w:r>
            <w:r w:rsidRPr="00CC1ADD">
              <w:rPr>
                <w:rFonts w:cstheme="minorHAnsi"/>
                <w:sz w:val="20"/>
                <w:szCs w:val="20"/>
              </w:rPr>
              <w:t xml:space="preserve"> </w:t>
            </w:r>
            <w:r>
              <w:rPr>
                <w:rFonts w:cstheme="minorHAnsi"/>
                <w:sz w:val="20"/>
                <w:szCs w:val="20"/>
              </w:rPr>
              <w:t>7</w:t>
            </w:r>
            <w:r w:rsidRPr="00CC1ADD">
              <w:rPr>
                <w:rFonts w:cstheme="minorHAnsi"/>
                <w:sz w:val="20"/>
                <w:szCs w:val="20"/>
              </w:rPr>
              <w:t xml:space="preserve">% of total products displaying the HSR, </w:t>
            </w:r>
            <w:r>
              <w:rPr>
                <w:rFonts w:cstheme="minorHAnsi"/>
                <w:sz w:val="20"/>
                <w:szCs w:val="20"/>
              </w:rPr>
              <w:t>28</w:t>
            </w:r>
            <w:r w:rsidRPr="00CC1ADD">
              <w:rPr>
                <w:rFonts w:cstheme="minorHAnsi"/>
                <w:sz w:val="20"/>
                <w:szCs w:val="20"/>
              </w:rPr>
              <w:t xml:space="preserve">% of eligible products in this category, </w:t>
            </w:r>
            <w:r>
              <w:rPr>
                <w:rFonts w:cstheme="minorHAnsi"/>
                <w:sz w:val="20"/>
                <w:szCs w:val="20"/>
              </w:rPr>
              <w:t>381</w:t>
            </w:r>
            <w:r w:rsidRPr="00CC1ADD">
              <w:rPr>
                <w:rFonts w:cstheme="minorHAnsi"/>
                <w:sz w:val="20"/>
                <w:szCs w:val="20"/>
              </w:rPr>
              <w:t xml:space="preserve"> total products</w:t>
            </w:r>
          </w:p>
          <w:p w14:paraId="5FEB7738" w14:textId="77777777" w:rsidR="006A1351" w:rsidRPr="00EC5CEA" w:rsidRDefault="006A1351" w:rsidP="00901C53">
            <w:pPr>
              <w:pStyle w:val="ListParagraph"/>
              <w:widowControl w:val="0"/>
              <w:numPr>
                <w:ilvl w:val="0"/>
                <w:numId w:val="27"/>
              </w:numPr>
              <w:rPr>
                <w:rFonts w:cstheme="minorHAnsi"/>
                <w:sz w:val="20"/>
                <w:szCs w:val="20"/>
              </w:rPr>
            </w:pPr>
            <w:r>
              <w:rPr>
                <w:rFonts w:cstheme="minorHAnsi"/>
                <w:b/>
                <w:sz w:val="20"/>
                <w:szCs w:val="20"/>
              </w:rPr>
              <w:t>dairy and alternatives</w:t>
            </w:r>
            <w:r w:rsidRPr="00CC1ADD">
              <w:rPr>
                <w:rFonts w:cstheme="minorHAnsi"/>
                <w:b/>
                <w:sz w:val="20"/>
                <w:szCs w:val="20"/>
              </w:rPr>
              <w:t>:</w:t>
            </w:r>
            <w:r w:rsidRPr="00CC1ADD">
              <w:rPr>
                <w:rFonts w:cstheme="minorHAnsi"/>
                <w:sz w:val="20"/>
                <w:szCs w:val="20"/>
              </w:rPr>
              <w:t xml:space="preserve"> </w:t>
            </w:r>
            <w:r>
              <w:rPr>
                <w:rFonts w:cstheme="minorHAnsi"/>
                <w:sz w:val="20"/>
                <w:szCs w:val="20"/>
              </w:rPr>
              <w:t>7</w:t>
            </w:r>
            <w:r w:rsidRPr="00CC1ADD">
              <w:rPr>
                <w:rFonts w:cstheme="minorHAnsi"/>
                <w:sz w:val="20"/>
                <w:szCs w:val="20"/>
              </w:rPr>
              <w:t xml:space="preserve">% of total products displaying the HSR, </w:t>
            </w:r>
            <w:r>
              <w:rPr>
                <w:rFonts w:cstheme="minorHAnsi"/>
                <w:sz w:val="20"/>
                <w:szCs w:val="20"/>
              </w:rPr>
              <w:t>24</w:t>
            </w:r>
            <w:r w:rsidRPr="00CC1ADD">
              <w:rPr>
                <w:rFonts w:cstheme="minorHAnsi"/>
                <w:sz w:val="20"/>
                <w:szCs w:val="20"/>
              </w:rPr>
              <w:t xml:space="preserve">% of eligible products in this category, </w:t>
            </w:r>
            <w:r>
              <w:rPr>
                <w:rFonts w:cstheme="minorHAnsi"/>
                <w:sz w:val="20"/>
                <w:szCs w:val="20"/>
              </w:rPr>
              <w:t>367</w:t>
            </w:r>
            <w:r w:rsidRPr="00CC1ADD">
              <w:rPr>
                <w:rFonts w:cstheme="minorHAnsi"/>
                <w:sz w:val="20"/>
                <w:szCs w:val="20"/>
              </w:rPr>
              <w:t xml:space="preserve"> total products</w:t>
            </w:r>
            <w:r>
              <w:rPr>
                <w:rFonts w:cstheme="minorHAnsi"/>
                <w:sz w:val="20"/>
                <w:szCs w:val="20"/>
              </w:rPr>
              <w:t>.</w:t>
            </w:r>
          </w:p>
        </w:tc>
        <w:tc>
          <w:tcPr>
            <w:tcW w:w="4393" w:type="dxa"/>
          </w:tcPr>
          <w:p w14:paraId="67499162" w14:textId="77777777" w:rsidR="006A1351" w:rsidRPr="00CC1ADD" w:rsidRDefault="006A1351" w:rsidP="005D75D3">
            <w:pPr>
              <w:widowControl w:val="0"/>
              <w:rPr>
                <w:rFonts w:cstheme="minorHAnsi"/>
                <w:sz w:val="20"/>
                <w:szCs w:val="20"/>
              </w:rPr>
            </w:pPr>
            <w:r w:rsidRPr="00CC1ADD">
              <w:rPr>
                <w:rFonts w:cstheme="minorHAnsi"/>
                <w:sz w:val="20"/>
                <w:szCs w:val="20"/>
              </w:rPr>
              <w:t>Of the foods displaying the HSR in New Zealand, the following categories contributed most significantly to the uptake:</w:t>
            </w:r>
          </w:p>
          <w:p w14:paraId="0C5B47FA"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fruit and vegetables:</w:t>
            </w:r>
            <w:r w:rsidRPr="00CC1ADD">
              <w:rPr>
                <w:rFonts w:cstheme="minorHAnsi"/>
                <w:sz w:val="20"/>
                <w:szCs w:val="20"/>
              </w:rPr>
              <w:t xml:space="preserve"> 15.0% of total products displaying the HSR, 2</w:t>
            </w:r>
            <w:r>
              <w:rPr>
                <w:rFonts w:cstheme="minorHAnsi"/>
                <w:sz w:val="20"/>
                <w:szCs w:val="20"/>
              </w:rPr>
              <w:t>5</w:t>
            </w:r>
            <w:r w:rsidRPr="00CC1ADD">
              <w:rPr>
                <w:rFonts w:cstheme="minorHAnsi"/>
                <w:sz w:val="20"/>
                <w:szCs w:val="20"/>
              </w:rPr>
              <w:t>% of eligible products in this category, 450 total products</w:t>
            </w:r>
          </w:p>
          <w:p w14:paraId="24E50076"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cereals and cereal products:</w:t>
            </w:r>
            <w:r w:rsidRPr="00CC1ADD">
              <w:rPr>
                <w:rFonts w:cstheme="minorHAnsi"/>
                <w:sz w:val="20"/>
                <w:szCs w:val="20"/>
              </w:rPr>
              <w:t xml:space="preserve"> 13% of total products displaying the HSR, 26% of eligible products in this category, 400 total products</w:t>
            </w:r>
          </w:p>
          <w:p w14:paraId="004F8304"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non-alcoholic beverages:</w:t>
            </w:r>
            <w:r w:rsidRPr="00CC1ADD">
              <w:rPr>
                <w:rFonts w:cstheme="minorHAnsi"/>
                <w:sz w:val="20"/>
                <w:szCs w:val="20"/>
              </w:rPr>
              <w:t xml:space="preserve"> 1</w:t>
            </w:r>
            <w:r>
              <w:rPr>
                <w:rFonts w:cstheme="minorHAnsi"/>
                <w:sz w:val="20"/>
                <w:szCs w:val="20"/>
              </w:rPr>
              <w:t>3</w:t>
            </w:r>
            <w:r w:rsidRPr="00CC1ADD">
              <w:rPr>
                <w:rFonts w:cstheme="minorHAnsi"/>
                <w:sz w:val="20"/>
                <w:szCs w:val="20"/>
              </w:rPr>
              <w:t>% of total products displaying the HSR, 30% of eligible products in this category, 384 total products</w:t>
            </w:r>
          </w:p>
          <w:p w14:paraId="0561E342"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sauces and spreads:</w:t>
            </w:r>
            <w:r w:rsidRPr="00CC1ADD">
              <w:rPr>
                <w:rFonts w:cstheme="minorHAnsi"/>
                <w:sz w:val="20"/>
                <w:szCs w:val="20"/>
              </w:rPr>
              <w:t xml:space="preserve"> 11% of total products displaying the HSR, 1</w:t>
            </w:r>
            <w:r>
              <w:rPr>
                <w:rFonts w:cstheme="minorHAnsi"/>
                <w:sz w:val="20"/>
                <w:szCs w:val="20"/>
              </w:rPr>
              <w:t>9</w:t>
            </w:r>
            <w:r w:rsidRPr="00CC1ADD">
              <w:rPr>
                <w:rFonts w:cstheme="minorHAnsi"/>
                <w:sz w:val="20"/>
                <w:szCs w:val="20"/>
              </w:rPr>
              <w:t>% of eligible products in this category, 330 total products</w:t>
            </w:r>
          </w:p>
          <w:p w14:paraId="1758144D"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b/>
                <w:sz w:val="20"/>
                <w:szCs w:val="20"/>
              </w:rPr>
              <w:t>dairy and alternatives:</w:t>
            </w:r>
            <w:r>
              <w:rPr>
                <w:rFonts w:cstheme="minorHAnsi"/>
                <w:b/>
                <w:sz w:val="20"/>
                <w:szCs w:val="20"/>
              </w:rPr>
              <w:t xml:space="preserve"> </w:t>
            </w:r>
            <w:r w:rsidRPr="007A5045">
              <w:rPr>
                <w:rFonts w:cstheme="minorHAnsi"/>
                <w:sz w:val="20"/>
                <w:szCs w:val="20"/>
              </w:rPr>
              <w:t>9</w:t>
            </w:r>
            <w:r w:rsidRPr="00CC1ADD">
              <w:rPr>
                <w:rFonts w:cstheme="minorHAnsi"/>
                <w:sz w:val="20"/>
                <w:szCs w:val="20"/>
              </w:rPr>
              <w:t>% of total products displaying the HSR, 13% of eligible products in this category, 256 total products.</w:t>
            </w:r>
          </w:p>
        </w:tc>
      </w:tr>
      <w:tr w:rsidR="006A1351" w:rsidRPr="00CC1ADD" w14:paraId="154EE83C" w14:textId="77777777" w:rsidTr="00D84DE2">
        <w:trPr>
          <w:trHeight w:val="675"/>
        </w:trPr>
        <w:tc>
          <w:tcPr>
            <w:tcW w:w="1515" w:type="dxa"/>
          </w:tcPr>
          <w:p w14:paraId="54CB2A9D" w14:textId="77777777" w:rsidR="006A1351" w:rsidRPr="00CC1ADD" w:rsidRDefault="006A1351" w:rsidP="005D75D3">
            <w:pPr>
              <w:pStyle w:val="mpcNormal"/>
              <w:keepNext w:val="0"/>
              <w:widowControl w:val="0"/>
              <w:rPr>
                <w:b/>
                <w:sz w:val="20"/>
                <w:szCs w:val="20"/>
              </w:rPr>
            </w:pPr>
            <w:r w:rsidRPr="00CC1ADD">
              <w:rPr>
                <w:b/>
                <w:sz w:val="20"/>
                <w:szCs w:val="20"/>
              </w:rPr>
              <w:t>HSR graphics</w:t>
            </w:r>
          </w:p>
        </w:tc>
        <w:tc>
          <w:tcPr>
            <w:tcW w:w="4298" w:type="dxa"/>
          </w:tcPr>
          <w:p w14:paraId="112E9CD8" w14:textId="77777777" w:rsidR="006A1351" w:rsidRPr="00CC1ADD" w:rsidRDefault="006A1351" w:rsidP="005D75D3">
            <w:pPr>
              <w:pStyle w:val="mpcNormal"/>
              <w:keepNext w:val="0"/>
              <w:widowControl w:val="0"/>
              <w:rPr>
                <w:sz w:val="20"/>
                <w:szCs w:val="20"/>
              </w:rPr>
            </w:pPr>
            <w:r w:rsidRPr="00CC1ADD">
              <w:rPr>
                <w:sz w:val="20"/>
                <w:szCs w:val="20"/>
              </w:rPr>
              <w:t>Of those products displaying the HSR:</w:t>
            </w:r>
          </w:p>
          <w:p w14:paraId="4443D77F"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5% display Option 1</w:t>
            </w:r>
          </w:p>
          <w:p w14:paraId="79AEF27C"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23% display Option 2</w:t>
            </w:r>
          </w:p>
          <w:p w14:paraId="47996699"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17% display Option 3</w:t>
            </w:r>
          </w:p>
          <w:p w14:paraId="6301D69E" w14:textId="77777777" w:rsidR="006A1351" w:rsidRPr="00CC1ADD" w:rsidRDefault="006A1351" w:rsidP="00901C53">
            <w:pPr>
              <w:pStyle w:val="mpcNormal"/>
              <w:keepNext w:val="0"/>
              <w:widowControl w:val="0"/>
              <w:numPr>
                <w:ilvl w:val="0"/>
                <w:numId w:val="28"/>
              </w:numPr>
              <w:ind w:left="357" w:hanging="357"/>
              <w:rPr>
                <w:sz w:val="20"/>
                <w:szCs w:val="20"/>
              </w:rPr>
            </w:pPr>
            <w:r w:rsidRPr="00CC1ADD">
              <w:rPr>
                <w:sz w:val="20"/>
                <w:szCs w:val="20"/>
              </w:rPr>
              <w:t>39% display Option 4</w:t>
            </w:r>
          </w:p>
          <w:p w14:paraId="58935FD6"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1</w:t>
            </w:r>
            <w:r>
              <w:rPr>
                <w:sz w:val="20"/>
                <w:szCs w:val="20"/>
              </w:rPr>
              <w:t>5</w:t>
            </w:r>
            <w:r w:rsidRPr="00CC1ADD">
              <w:rPr>
                <w:sz w:val="20"/>
                <w:szCs w:val="20"/>
              </w:rPr>
              <w:t>% display Option 5, the energy icon, predominantly:</w:t>
            </w:r>
          </w:p>
          <w:p w14:paraId="28D078EC" w14:textId="77777777" w:rsidR="006A1351" w:rsidRPr="00CC1ADD" w:rsidRDefault="006A1351" w:rsidP="00901C53">
            <w:pPr>
              <w:pStyle w:val="mpcNormal"/>
              <w:keepNext w:val="0"/>
              <w:widowControl w:val="0"/>
              <w:numPr>
                <w:ilvl w:val="1"/>
                <w:numId w:val="28"/>
              </w:numPr>
              <w:ind w:left="747" w:hanging="386"/>
              <w:rPr>
                <w:sz w:val="20"/>
                <w:szCs w:val="20"/>
              </w:rPr>
            </w:pPr>
            <w:r>
              <w:rPr>
                <w:sz w:val="20"/>
                <w:szCs w:val="20"/>
              </w:rPr>
              <w:t>confectionery</w:t>
            </w:r>
            <w:r w:rsidRPr="00CC1ADD">
              <w:rPr>
                <w:sz w:val="20"/>
                <w:szCs w:val="20"/>
              </w:rPr>
              <w:t xml:space="preserve"> (</w:t>
            </w:r>
            <w:r>
              <w:rPr>
                <w:sz w:val="20"/>
                <w:szCs w:val="20"/>
              </w:rPr>
              <w:t>263</w:t>
            </w:r>
            <w:r w:rsidRPr="00CC1ADD">
              <w:rPr>
                <w:sz w:val="20"/>
                <w:szCs w:val="20"/>
              </w:rPr>
              <w:t xml:space="preserve"> products) with </w:t>
            </w:r>
            <w:r>
              <w:rPr>
                <w:sz w:val="20"/>
                <w:szCs w:val="20"/>
              </w:rPr>
              <w:t>32</w:t>
            </w:r>
            <w:r w:rsidRPr="00CC1ADD">
              <w:rPr>
                <w:sz w:val="20"/>
                <w:szCs w:val="20"/>
              </w:rPr>
              <w:t>% of these products displaying the HSR showing the energy icon only</w:t>
            </w:r>
          </w:p>
          <w:p w14:paraId="60BBC9F4" w14:textId="77777777" w:rsidR="006A1351" w:rsidRPr="00EC5CEA" w:rsidRDefault="006A1351" w:rsidP="00901C53">
            <w:pPr>
              <w:pStyle w:val="mpcNormal"/>
              <w:keepNext w:val="0"/>
              <w:widowControl w:val="0"/>
              <w:numPr>
                <w:ilvl w:val="1"/>
                <w:numId w:val="28"/>
              </w:numPr>
              <w:ind w:left="747" w:hanging="386"/>
              <w:rPr>
                <w:sz w:val="20"/>
                <w:szCs w:val="20"/>
              </w:rPr>
            </w:pPr>
            <w:r>
              <w:rPr>
                <w:sz w:val="20"/>
                <w:szCs w:val="20"/>
              </w:rPr>
              <w:t>sugar-sweetened beverages</w:t>
            </w:r>
            <w:r w:rsidRPr="00CC1ADD">
              <w:rPr>
                <w:sz w:val="20"/>
                <w:szCs w:val="20"/>
              </w:rPr>
              <w:t xml:space="preserve"> (</w:t>
            </w:r>
            <w:r>
              <w:rPr>
                <w:sz w:val="20"/>
                <w:szCs w:val="20"/>
              </w:rPr>
              <w:t>252</w:t>
            </w:r>
            <w:r w:rsidRPr="00CC1ADD">
              <w:rPr>
                <w:sz w:val="20"/>
                <w:szCs w:val="20"/>
              </w:rPr>
              <w:t xml:space="preserve"> products) with </w:t>
            </w:r>
            <w:r>
              <w:rPr>
                <w:sz w:val="20"/>
                <w:szCs w:val="20"/>
              </w:rPr>
              <w:t>31</w:t>
            </w:r>
            <w:r w:rsidRPr="00CC1ADD">
              <w:rPr>
                <w:sz w:val="20"/>
                <w:szCs w:val="20"/>
              </w:rPr>
              <w:t>% of these products displaying the HSR showing the energy icon only</w:t>
            </w:r>
            <w:r>
              <w:rPr>
                <w:sz w:val="20"/>
                <w:szCs w:val="20"/>
              </w:rPr>
              <w:t>.</w:t>
            </w:r>
          </w:p>
        </w:tc>
        <w:tc>
          <w:tcPr>
            <w:tcW w:w="4393" w:type="dxa"/>
          </w:tcPr>
          <w:p w14:paraId="1F3F75C7" w14:textId="77777777" w:rsidR="006A1351" w:rsidRPr="00CC1ADD" w:rsidRDefault="006A1351" w:rsidP="005D75D3">
            <w:pPr>
              <w:pStyle w:val="mpcNormal"/>
              <w:keepNext w:val="0"/>
              <w:widowControl w:val="0"/>
              <w:rPr>
                <w:sz w:val="20"/>
                <w:szCs w:val="20"/>
              </w:rPr>
            </w:pPr>
            <w:r w:rsidRPr="00CC1ADD">
              <w:rPr>
                <w:sz w:val="20"/>
                <w:szCs w:val="20"/>
              </w:rPr>
              <w:t>Of those products displaying the HSR (based on a sample of 512 products):</w:t>
            </w:r>
          </w:p>
          <w:p w14:paraId="6096087E"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8% display Option 1</w:t>
            </w:r>
          </w:p>
          <w:p w14:paraId="76D0A243"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17% display Option 2</w:t>
            </w:r>
          </w:p>
          <w:p w14:paraId="3CEDD209"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1</w:t>
            </w:r>
            <w:r>
              <w:rPr>
                <w:sz w:val="20"/>
                <w:szCs w:val="20"/>
              </w:rPr>
              <w:t>7</w:t>
            </w:r>
            <w:r w:rsidRPr="00CC1ADD">
              <w:rPr>
                <w:sz w:val="20"/>
                <w:szCs w:val="20"/>
              </w:rPr>
              <w:t>% display Option 3</w:t>
            </w:r>
          </w:p>
          <w:p w14:paraId="0A9F7A1D" w14:textId="77777777" w:rsidR="006A1351" w:rsidRPr="00CC1ADD" w:rsidRDefault="006A1351" w:rsidP="00901C53">
            <w:pPr>
              <w:pStyle w:val="mpcNormal"/>
              <w:keepNext w:val="0"/>
              <w:widowControl w:val="0"/>
              <w:numPr>
                <w:ilvl w:val="0"/>
                <w:numId w:val="28"/>
              </w:numPr>
              <w:rPr>
                <w:sz w:val="20"/>
                <w:szCs w:val="20"/>
              </w:rPr>
            </w:pPr>
            <w:r w:rsidRPr="00CC1ADD">
              <w:rPr>
                <w:sz w:val="20"/>
                <w:szCs w:val="20"/>
              </w:rPr>
              <w:t>4</w:t>
            </w:r>
            <w:r>
              <w:rPr>
                <w:sz w:val="20"/>
                <w:szCs w:val="20"/>
              </w:rPr>
              <w:t>2</w:t>
            </w:r>
            <w:r w:rsidRPr="00CC1ADD">
              <w:rPr>
                <w:sz w:val="20"/>
                <w:szCs w:val="20"/>
              </w:rPr>
              <w:t>% display Option 4</w:t>
            </w:r>
          </w:p>
          <w:p w14:paraId="231C7205" w14:textId="6000FECE" w:rsidR="006A1351" w:rsidRPr="00CC1ADD" w:rsidRDefault="006A1351" w:rsidP="00901C53">
            <w:pPr>
              <w:pStyle w:val="mpcNormal"/>
              <w:keepNext w:val="0"/>
              <w:widowControl w:val="0"/>
              <w:numPr>
                <w:ilvl w:val="0"/>
                <w:numId w:val="28"/>
              </w:numPr>
              <w:rPr>
                <w:sz w:val="20"/>
                <w:szCs w:val="20"/>
              </w:rPr>
            </w:pPr>
            <w:r w:rsidRPr="00CC1ADD">
              <w:rPr>
                <w:sz w:val="20"/>
                <w:szCs w:val="20"/>
              </w:rPr>
              <w:t>1</w:t>
            </w:r>
            <w:r>
              <w:rPr>
                <w:sz w:val="20"/>
                <w:szCs w:val="20"/>
              </w:rPr>
              <w:t>6</w:t>
            </w:r>
            <w:r w:rsidRPr="00CC1ADD">
              <w:rPr>
                <w:sz w:val="20"/>
                <w:szCs w:val="20"/>
              </w:rPr>
              <w:t xml:space="preserve">% (452) display Option 5, the energy icon. </w:t>
            </w:r>
            <w:r w:rsidR="006F79F0">
              <w:rPr>
                <w:sz w:val="20"/>
                <w:szCs w:val="20"/>
              </w:rPr>
              <w:t>P</w:t>
            </w:r>
            <w:r w:rsidRPr="00CC1ADD">
              <w:rPr>
                <w:sz w:val="20"/>
                <w:szCs w:val="20"/>
              </w:rPr>
              <w:t>roducts that commonly used Option 5 included confection</w:t>
            </w:r>
            <w:r w:rsidR="00343F09">
              <w:rPr>
                <w:sz w:val="20"/>
                <w:szCs w:val="20"/>
              </w:rPr>
              <w:t>e</w:t>
            </w:r>
            <w:r w:rsidRPr="00CC1ADD">
              <w:rPr>
                <w:sz w:val="20"/>
                <w:szCs w:val="20"/>
              </w:rPr>
              <w:t>ry, non-alcoholic beverages and edible oils.</w:t>
            </w:r>
          </w:p>
        </w:tc>
      </w:tr>
      <w:tr w:rsidR="006A1351" w:rsidRPr="00CC1ADD" w14:paraId="42202B1F" w14:textId="77777777" w:rsidTr="00D84DE2">
        <w:tc>
          <w:tcPr>
            <w:tcW w:w="1515" w:type="dxa"/>
          </w:tcPr>
          <w:p w14:paraId="0F30050A" w14:textId="77777777" w:rsidR="006A1351" w:rsidRPr="00CC1ADD" w:rsidRDefault="006A1351" w:rsidP="005D75D3">
            <w:pPr>
              <w:pStyle w:val="mpcNormal"/>
              <w:keepNext w:val="0"/>
              <w:widowControl w:val="0"/>
              <w:rPr>
                <w:b/>
                <w:sz w:val="20"/>
                <w:szCs w:val="20"/>
              </w:rPr>
            </w:pPr>
            <w:r w:rsidRPr="00CC1ADD">
              <w:rPr>
                <w:b/>
                <w:sz w:val="20"/>
                <w:szCs w:val="20"/>
              </w:rPr>
              <w:t>Compliance against the Style Guide</w:t>
            </w:r>
          </w:p>
        </w:tc>
        <w:tc>
          <w:tcPr>
            <w:tcW w:w="4298" w:type="dxa"/>
          </w:tcPr>
          <w:p w14:paraId="403E0FCC"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 xml:space="preserve">Of the products displaying the HSR in 2018, </w:t>
            </w:r>
            <w:r>
              <w:rPr>
                <w:rFonts w:cstheme="minorHAnsi"/>
                <w:sz w:val="20"/>
                <w:szCs w:val="20"/>
              </w:rPr>
              <w:t>8</w:t>
            </w:r>
            <w:r w:rsidRPr="00CC1ADD">
              <w:rPr>
                <w:rFonts w:cstheme="minorHAnsi"/>
                <w:sz w:val="20"/>
                <w:szCs w:val="20"/>
              </w:rPr>
              <w:t>% have a design variation and 4% have a technical variation.</w:t>
            </w:r>
          </w:p>
        </w:tc>
        <w:tc>
          <w:tcPr>
            <w:tcW w:w="4393" w:type="dxa"/>
          </w:tcPr>
          <w:p w14:paraId="27F0E3AC" w14:textId="208F5D8F" w:rsidR="006A1351" w:rsidRPr="00CC1ADD" w:rsidRDefault="00D84DE2" w:rsidP="00901C53">
            <w:pPr>
              <w:pStyle w:val="ListParagraph"/>
              <w:widowControl w:val="0"/>
              <w:numPr>
                <w:ilvl w:val="0"/>
                <w:numId w:val="27"/>
              </w:numPr>
              <w:rPr>
                <w:rFonts w:cstheme="minorHAnsi"/>
                <w:sz w:val="20"/>
                <w:szCs w:val="20"/>
              </w:rPr>
            </w:pPr>
            <w:r>
              <w:rPr>
                <w:rFonts w:cstheme="minorHAnsi"/>
                <w:sz w:val="20"/>
                <w:szCs w:val="20"/>
              </w:rPr>
              <w:t>A</w:t>
            </w:r>
            <w:r w:rsidR="006A1351" w:rsidRPr="00CC1ADD">
              <w:rPr>
                <w:rFonts w:cstheme="minorHAnsi"/>
                <w:sz w:val="20"/>
                <w:szCs w:val="20"/>
              </w:rPr>
              <w:t xml:space="preserve">pproximately 5% of products displaying the HSR were on foods for which the HSR System was not intended. </w:t>
            </w:r>
          </w:p>
          <w:p w14:paraId="5F5AF9CD" w14:textId="5641EFC9"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 xml:space="preserve">Very few inconsistencies were identified between the HSR displayed and the HSR </w:t>
            </w:r>
            <w:r w:rsidR="00BF11EE">
              <w:rPr>
                <w:rFonts w:cstheme="minorHAnsi"/>
                <w:sz w:val="20"/>
                <w:szCs w:val="20"/>
              </w:rPr>
              <w:t>S</w:t>
            </w:r>
            <w:r w:rsidRPr="00CC1ADD">
              <w:rPr>
                <w:rFonts w:cstheme="minorHAnsi"/>
                <w:sz w:val="20"/>
                <w:szCs w:val="20"/>
              </w:rPr>
              <w:t xml:space="preserve">ystem Style Guide. </w:t>
            </w:r>
          </w:p>
          <w:p w14:paraId="402E0FC7"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Of the products displaying the HSR in 2018, 4% have a design variation and 16% have a technical variation.</w:t>
            </w:r>
          </w:p>
        </w:tc>
      </w:tr>
      <w:tr w:rsidR="006A1351" w:rsidRPr="00CC1ADD" w14:paraId="52DB027E" w14:textId="77777777" w:rsidTr="00D84DE2">
        <w:trPr>
          <w:cantSplit/>
        </w:trPr>
        <w:tc>
          <w:tcPr>
            <w:tcW w:w="1515" w:type="dxa"/>
          </w:tcPr>
          <w:p w14:paraId="67231854" w14:textId="77777777" w:rsidR="006A1351" w:rsidRPr="00CC1ADD" w:rsidRDefault="006A1351" w:rsidP="005D75D3">
            <w:pPr>
              <w:pStyle w:val="mpcNormal"/>
              <w:keepNext w:val="0"/>
              <w:widowControl w:val="0"/>
              <w:rPr>
                <w:b/>
                <w:sz w:val="20"/>
                <w:szCs w:val="20"/>
              </w:rPr>
            </w:pPr>
            <w:r w:rsidRPr="00CC1ADD">
              <w:rPr>
                <w:b/>
                <w:sz w:val="20"/>
                <w:szCs w:val="20"/>
              </w:rPr>
              <w:t>Compliance against the HSR Calculator</w:t>
            </w:r>
          </w:p>
        </w:tc>
        <w:tc>
          <w:tcPr>
            <w:tcW w:w="4298" w:type="dxa"/>
          </w:tcPr>
          <w:p w14:paraId="48694713" w14:textId="3A98CDF5"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Of the products displaying HSR in 2018, 90% display the correct HSR (based on sampling) with approximately 5% of manufacturers overstating it and 5% understating it, generally only by 0.5 stars.</w:t>
            </w:r>
          </w:p>
        </w:tc>
        <w:tc>
          <w:tcPr>
            <w:tcW w:w="4393" w:type="dxa"/>
          </w:tcPr>
          <w:p w14:paraId="09D887B6" w14:textId="09B25A93" w:rsidR="006A1351" w:rsidRPr="00CC1ADD" w:rsidRDefault="006F79F0" w:rsidP="005D75D3">
            <w:pPr>
              <w:widowControl w:val="0"/>
              <w:rPr>
                <w:rFonts w:cstheme="minorHAnsi"/>
                <w:sz w:val="20"/>
                <w:szCs w:val="20"/>
              </w:rPr>
            </w:pPr>
            <w:r>
              <w:rPr>
                <w:rFonts w:cstheme="minorHAnsi"/>
                <w:sz w:val="20"/>
                <w:szCs w:val="20"/>
              </w:rPr>
              <w:t>N</w:t>
            </w:r>
            <w:r w:rsidR="006A1351" w:rsidRPr="00CC1ADD">
              <w:rPr>
                <w:rFonts w:cstheme="minorHAnsi"/>
                <w:sz w:val="20"/>
                <w:szCs w:val="20"/>
              </w:rPr>
              <w:t>ot assessed in New Zealand.</w:t>
            </w:r>
          </w:p>
        </w:tc>
      </w:tr>
      <w:tr w:rsidR="006A1351" w:rsidRPr="00CC1ADD" w14:paraId="2C57C5AE" w14:textId="77777777" w:rsidTr="00D84DE2">
        <w:trPr>
          <w:cantSplit/>
        </w:trPr>
        <w:tc>
          <w:tcPr>
            <w:tcW w:w="1515" w:type="dxa"/>
          </w:tcPr>
          <w:p w14:paraId="36FB9083" w14:textId="77777777" w:rsidR="006A1351" w:rsidRPr="00CC1ADD" w:rsidRDefault="006A1351" w:rsidP="005D75D3">
            <w:pPr>
              <w:pStyle w:val="mpcNormal"/>
              <w:keepNext w:val="0"/>
              <w:widowControl w:val="0"/>
              <w:rPr>
                <w:b/>
                <w:sz w:val="20"/>
                <w:szCs w:val="20"/>
              </w:rPr>
            </w:pPr>
            <w:r w:rsidRPr="00CC1ADD">
              <w:rPr>
                <w:b/>
                <w:sz w:val="20"/>
                <w:szCs w:val="20"/>
              </w:rPr>
              <w:t>Consumer awareness and understanding</w:t>
            </w:r>
          </w:p>
        </w:tc>
        <w:tc>
          <w:tcPr>
            <w:tcW w:w="4298" w:type="dxa"/>
          </w:tcPr>
          <w:p w14:paraId="6BE3CB47"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83% of consumers are aware of the HSR System when prompted</w:t>
            </w:r>
          </w:p>
          <w:p w14:paraId="1CFA4CE5"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20% of consumers are aware of the HSR System unprompted</w:t>
            </w:r>
          </w:p>
          <w:p w14:paraId="4964A876" w14:textId="0D9D39D3"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5</w:t>
            </w:r>
            <w:r>
              <w:rPr>
                <w:rFonts w:cstheme="minorHAnsi"/>
                <w:sz w:val="20"/>
                <w:szCs w:val="20"/>
              </w:rPr>
              <w:t>6</w:t>
            </w:r>
            <w:r w:rsidRPr="00CC1ADD">
              <w:rPr>
                <w:rFonts w:cstheme="minorHAnsi"/>
                <w:sz w:val="20"/>
                <w:szCs w:val="20"/>
              </w:rPr>
              <w:t xml:space="preserve">% of consumers understand that the HSR </w:t>
            </w:r>
            <w:r w:rsidR="00D84DE2">
              <w:rPr>
                <w:rFonts w:cstheme="minorHAnsi"/>
                <w:sz w:val="20"/>
                <w:szCs w:val="20"/>
              </w:rPr>
              <w:t xml:space="preserve">System </w:t>
            </w:r>
            <w:r w:rsidRPr="00CC1ADD">
              <w:rPr>
                <w:rFonts w:cstheme="minorHAnsi"/>
                <w:sz w:val="20"/>
                <w:szCs w:val="20"/>
              </w:rPr>
              <w:t>provides a rating of the product’s healthiness</w:t>
            </w:r>
          </w:p>
        </w:tc>
        <w:tc>
          <w:tcPr>
            <w:tcW w:w="4393" w:type="dxa"/>
          </w:tcPr>
          <w:p w14:paraId="359F8458"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76% of consumers are aware of the HSR System when prompted</w:t>
            </w:r>
          </w:p>
          <w:p w14:paraId="43A4F6C4"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16% of consumers are aware of the HSR System unprompted</w:t>
            </w:r>
          </w:p>
          <w:p w14:paraId="2A9B8C08"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68% of consumers correctly identified that within a food category, the product with more stars is healthier</w:t>
            </w:r>
          </w:p>
        </w:tc>
      </w:tr>
      <w:tr w:rsidR="006A1351" w:rsidRPr="00CC1ADD" w14:paraId="5BD506F1" w14:textId="77777777" w:rsidTr="00D84DE2">
        <w:tc>
          <w:tcPr>
            <w:tcW w:w="1515" w:type="dxa"/>
          </w:tcPr>
          <w:p w14:paraId="3E477595" w14:textId="77777777" w:rsidR="006A1351" w:rsidRPr="00CC1ADD" w:rsidRDefault="006A1351" w:rsidP="005D75D3">
            <w:pPr>
              <w:pStyle w:val="mpcNormal"/>
              <w:keepNext w:val="0"/>
              <w:widowControl w:val="0"/>
              <w:rPr>
                <w:b/>
                <w:sz w:val="20"/>
                <w:szCs w:val="20"/>
              </w:rPr>
            </w:pPr>
            <w:r w:rsidRPr="00CC1ADD">
              <w:rPr>
                <w:b/>
                <w:sz w:val="20"/>
                <w:szCs w:val="20"/>
              </w:rPr>
              <w:t>Trust, credibility and confidence</w:t>
            </w:r>
          </w:p>
          <w:p w14:paraId="5676B902" w14:textId="77777777" w:rsidR="006A1351" w:rsidRPr="00CC1ADD" w:rsidRDefault="006A1351" w:rsidP="005D75D3">
            <w:pPr>
              <w:pStyle w:val="mpcNormal"/>
              <w:keepNext w:val="0"/>
              <w:widowControl w:val="0"/>
              <w:rPr>
                <w:b/>
                <w:sz w:val="20"/>
                <w:szCs w:val="20"/>
              </w:rPr>
            </w:pPr>
          </w:p>
        </w:tc>
        <w:tc>
          <w:tcPr>
            <w:tcW w:w="4298" w:type="dxa"/>
          </w:tcPr>
          <w:p w14:paraId="23A46070"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58% of consumers report they trust the HSR System</w:t>
            </w:r>
          </w:p>
          <w:p w14:paraId="741472F0"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6</w:t>
            </w:r>
            <w:r>
              <w:rPr>
                <w:rFonts w:cstheme="minorHAnsi"/>
                <w:sz w:val="20"/>
                <w:szCs w:val="20"/>
              </w:rPr>
              <w:t>2</w:t>
            </w:r>
            <w:r w:rsidRPr="00CC1ADD">
              <w:rPr>
                <w:rFonts w:cstheme="minorHAnsi"/>
                <w:sz w:val="20"/>
                <w:szCs w:val="20"/>
              </w:rPr>
              <w:t>% of consumers believe the HSR System is credible</w:t>
            </w:r>
          </w:p>
          <w:p w14:paraId="4F8A619D"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67% of consumers report they have confidence in the HSR System</w:t>
            </w:r>
          </w:p>
        </w:tc>
        <w:tc>
          <w:tcPr>
            <w:tcW w:w="4393" w:type="dxa"/>
          </w:tcPr>
          <w:p w14:paraId="0ACFAAC4"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 xml:space="preserve">47% of consumers report they feel confidence using the HSR System </w:t>
            </w:r>
          </w:p>
          <w:p w14:paraId="5BD6D5CD"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40% of consumers report that they trust the HSR System</w:t>
            </w:r>
          </w:p>
        </w:tc>
      </w:tr>
      <w:tr w:rsidR="006A1351" w:rsidRPr="00CC1ADD" w14:paraId="6FFD1E41" w14:textId="77777777" w:rsidTr="00D84DE2">
        <w:tc>
          <w:tcPr>
            <w:tcW w:w="1515" w:type="dxa"/>
          </w:tcPr>
          <w:p w14:paraId="167833DB" w14:textId="77777777" w:rsidR="006A1351" w:rsidRPr="00CC1ADD" w:rsidRDefault="006A1351" w:rsidP="005D75D3">
            <w:pPr>
              <w:pStyle w:val="mpcNormal"/>
              <w:keepNext w:val="0"/>
              <w:widowControl w:val="0"/>
              <w:rPr>
                <w:b/>
                <w:sz w:val="20"/>
                <w:szCs w:val="20"/>
              </w:rPr>
            </w:pPr>
            <w:r w:rsidRPr="00CC1ADD">
              <w:rPr>
                <w:b/>
                <w:sz w:val="20"/>
                <w:szCs w:val="20"/>
              </w:rPr>
              <w:t>Influence on behaviour</w:t>
            </w:r>
          </w:p>
        </w:tc>
        <w:tc>
          <w:tcPr>
            <w:tcW w:w="4298" w:type="dxa"/>
          </w:tcPr>
          <w:p w14:paraId="1C6A060B" w14:textId="77777777" w:rsidR="006A1351" w:rsidRPr="00EA77C9" w:rsidRDefault="006A1351" w:rsidP="00901C53">
            <w:pPr>
              <w:pStyle w:val="ListParagraph"/>
              <w:widowControl w:val="0"/>
              <w:numPr>
                <w:ilvl w:val="0"/>
                <w:numId w:val="27"/>
              </w:numPr>
              <w:rPr>
                <w:rFonts w:cstheme="minorHAnsi"/>
                <w:sz w:val="20"/>
                <w:szCs w:val="20"/>
              </w:rPr>
            </w:pPr>
            <w:r w:rsidRPr="00EA77C9">
              <w:rPr>
                <w:rFonts w:cstheme="minorHAnsi"/>
                <w:sz w:val="20"/>
                <w:szCs w:val="20"/>
              </w:rPr>
              <w:t>77% of consumers agree the HSR System makes identifying healthier options within a category easier</w:t>
            </w:r>
          </w:p>
          <w:p w14:paraId="2A76914A" w14:textId="1456A299" w:rsidR="006A1351" w:rsidRPr="00EA77C9" w:rsidRDefault="006A1351" w:rsidP="00901C53">
            <w:pPr>
              <w:pStyle w:val="ListParagraph"/>
              <w:widowControl w:val="0"/>
              <w:numPr>
                <w:ilvl w:val="0"/>
                <w:numId w:val="27"/>
              </w:numPr>
              <w:rPr>
                <w:rFonts w:cstheme="minorHAnsi"/>
                <w:sz w:val="20"/>
                <w:szCs w:val="20"/>
              </w:rPr>
            </w:pPr>
            <w:r w:rsidRPr="00EA77C9">
              <w:rPr>
                <w:rFonts w:cstheme="minorHAnsi"/>
                <w:sz w:val="20"/>
                <w:szCs w:val="20"/>
              </w:rPr>
              <w:t xml:space="preserve">65% of consumers report that the HSR </w:t>
            </w:r>
            <w:r w:rsidR="00D84DE2">
              <w:rPr>
                <w:rFonts w:cstheme="minorHAnsi"/>
                <w:sz w:val="20"/>
                <w:szCs w:val="20"/>
              </w:rPr>
              <w:t xml:space="preserve">System </w:t>
            </w:r>
            <w:r w:rsidRPr="00EA77C9">
              <w:rPr>
                <w:rFonts w:cstheme="minorHAnsi"/>
                <w:sz w:val="20"/>
                <w:szCs w:val="20"/>
              </w:rPr>
              <w:t>helps them to make decisions about which foods to buy</w:t>
            </w:r>
          </w:p>
          <w:p w14:paraId="50AE4D73" w14:textId="132204FA" w:rsidR="006C6A0E" w:rsidRPr="00EA77C9" w:rsidRDefault="006A1351" w:rsidP="00901C53">
            <w:pPr>
              <w:pStyle w:val="ListParagraph"/>
              <w:widowControl w:val="0"/>
              <w:numPr>
                <w:ilvl w:val="0"/>
                <w:numId w:val="27"/>
              </w:numPr>
              <w:rPr>
                <w:rFonts w:cstheme="minorHAnsi"/>
                <w:sz w:val="20"/>
                <w:szCs w:val="20"/>
              </w:rPr>
            </w:pPr>
            <w:r w:rsidRPr="00EA77C9">
              <w:rPr>
                <w:rFonts w:cstheme="minorHAnsi"/>
                <w:sz w:val="20"/>
                <w:szCs w:val="20"/>
              </w:rPr>
              <w:t>64% of consumers report being influenced by the HSR</w:t>
            </w:r>
          </w:p>
          <w:p w14:paraId="0D386F8F" w14:textId="0D19DC94" w:rsidR="006A1351" w:rsidRPr="005D75D3" w:rsidRDefault="006C6A0E" w:rsidP="00901C53">
            <w:pPr>
              <w:pStyle w:val="ListParagraph"/>
              <w:widowControl w:val="0"/>
              <w:numPr>
                <w:ilvl w:val="0"/>
                <w:numId w:val="27"/>
              </w:numPr>
              <w:rPr>
                <w:sz w:val="20"/>
                <w:szCs w:val="20"/>
              </w:rPr>
            </w:pPr>
            <w:r w:rsidRPr="00EA77C9">
              <w:rPr>
                <w:sz w:val="20"/>
                <w:szCs w:val="20"/>
              </w:rPr>
              <w:t>34% of consumers purchasing products that display the HSR used it to select a healthier product</w:t>
            </w:r>
          </w:p>
        </w:tc>
        <w:tc>
          <w:tcPr>
            <w:tcW w:w="4393" w:type="dxa"/>
          </w:tcPr>
          <w:p w14:paraId="491C7387" w14:textId="77777777" w:rsidR="006A1351" w:rsidRPr="00CC1ADD" w:rsidRDefault="006A1351" w:rsidP="00901C53">
            <w:pPr>
              <w:pStyle w:val="ListParagraph"/>
              <w:widowControl w:val="0"/>
              <w:numPr>
                <w:ilvl w:val="0"/>
                <w:numId w:val="28"/>
              </w:numPr>
              <w:rPr>
                <w:rFonts w:cstheme="minorHAnsi"/>
                <w:sz w:val="20"/>
                <w:szCs w:val="20"/>
              </w:rPr>
            </w:pPr>
            <w:r w:rsidRPr="00CC1ADD">
              <w:rPr>
                <w:rFonts w:cstheme="minorHAnsi"/>
                <w:sz w:val="20"/>
                <w:szCs w:val="20"/>
              </w:rPr>
              <w:t xml:space="preserve">61% of consumers agree the HSR System makes it easier to decide which packaged foods are healthier </w:t>
            </w:r>
          </w:p>
          <w:p w14:paraId="6388CCD2" w14:textId="084C42E4" w:rsidR="006A1351" w:rsidRPr="00CC1ADD" w:rsidRDefault="006A1351" w:rsidP="00901C53">
            <w:pPr>
              <w:pStyle w:val="ListParagraph"/>
              <w:widowControl w:val="0"/>
              <w:numPr>
                <w:ilvl w:val="0"/>
                <w:numId w:val="28"/>
              </w:numPr>
              <w:rPr>
                <w:rFonts w:cstheme="minorHAnsi"/>
                <w:sz w:val="20"/>
                <w:szCs w:val="20"/>
              </w:rPr>
            </w:pPr>
            <w:r w:rsidRPr="00CC1ADD">
              <w:rPr>
                <w:rFonts w:cstheme="minorHAnsi"/>
                <w:sz w:val="20"/>
                <w:szCs w:val="20"/>
              </w:rPr>
              <w:t xml:space="preserve">28% of consumers report using the HSR </w:t>
            </w:r>
            <w:r w:rsidR="00D84DE2">
              <w:rPr>
                <w:rFonts w:cstheme="minorHAnsi"/>
                <w:sz w:val="20"/>
                <w:szCs w:val="20"/>
              </w:rPr>
              <w:t xml:space="preserve">System </w:t>
            </w:r>
            <w:r w:rsidRPr="00CC1ADD">
              <w:rPr>
                <w:rFonts w:cstheme="minorHAnsi"/>
                <w:sz w:val="20"/>
                <w:szCs w:val="20"/>
              </w:rPr>
              <w:t>to help choose packaged food (up from 10% in 2015)</w:t>
            </w:r>
          </w:p>
          <w:p w14:paraId="122678C5"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88% of these consumers reported choosing the product with more stars.</w:t>
            </w:r>
          </w:p>
          <w:p w14:paraId="68F3E74B" w14:textId="77777777" w:rsidR="006A1351" w:rsidRPr="00CC1ADD" w:rsidRDefault="006A1351" w:rsidP="005D75D3">
            <w:pPr>
              <w:pStyle w:val="mpcNormal"/>
              <w:keepNext w:val="0"/>
              <w:widowControl w:val="0"/>
              <w:rPr>
                <w:sz w:val="20"/>
                <w:szCs w:val="20"/>
              </w:rPr>
            </w:pPr>
          </w:p>
        </w:tc>
      </w:tr>
      <w:tr w:rsidR="006A1351" w:rsidRPr="00CC1ADD" w14:paraId="2468BA11" w14:textId="77777777" w:rsidTr="00D84DE2">
        <w:tc>
          <w:tcPr>
            <w:tcW w:w="1515" w:type="dxa"/>
          </w:tcPr>
          <w:p w14:paraId="5C7EA709" w14:textId="77777777" w:rsidR="006A1351" w:rsidRPr="00CC1ADD" w:rsidRDefault="006A1351" w:rsidP="005D75D3">
            <w:pPr>
              <w:pStyle w:val="mpcNormal"/>
              <w:keepNext w:val="0"/>
              <w:widowControl w:val="0"/>
              <w:rPr>
                <w:b/>
                <w:sz w:val="20"/>
                <w:szCs w:val="20"/>
              </w:rPr>
            </w:pPr>
            <w:r w:rsidRPr="00CC1ADD">
              <w:rPr>
                <w:b/>
                <w:sz w:val="20"/>
                <w:szCs w:val="20"/>
              </w:rPr>
              <w:t>Nutrient status of products displaying the HSR</w:t>
            </w:r>
          </w:p>
        </w:tc>
        <w:tc>
          <w:tcPr>
            <w:tcW w:w="4298" w:type="dxa"/>
          </w:tcPr>
          <w:p w14:paraId="01DAF531" w14:textId="77777777" w:rsidR="006A1351" w:rsidRPr="00CC1ADD" w:rsidRDefault="006A1351" w:rsidP="005D75D3">
            <w:pPr>
              <w:widowControl w:val="0"/>
              <w:rPr>
                <w:rFonts w:cstheme="minorHAnsi"/>
                <w:sz w:val="20"/>
                <w:szCs w:val="20"/>
              </w:rPr>
            </w:pPr>
            <w:r w:rsidRPr="00CC1ADD">
              <w:rPr>
                <w:rFonts w:cstheme="minorHAnsi"/>
                <w:sz w:val="20"/>
                <w:szCs w:val="20"/>
              </w:rPr>
              <w:t>Of products displaying the HSR:</w:t>
            </w:r>
          </w:p>
          <w:p w14:paraId="47FD0203" w14:textId="77777777" w:rsidR="006A1351" w:rsidRPr="00CC1ADD" w:rsidRDefault="006A1351" w:rsidP="00901C53">
            <w:pPr>
              <w:pStyle w:val="ListParagraph"/>
              <w:widowControl w:val="0"/>
              <w:numPr>
                <w:ilvl w:val="0"/>
                <w:numId w:val="27"/>
              </w:numPr>
              <w:rPr>
                <w:rFonts w:cstheme="minorHAnsi"/>
                <w:sz w:val="20"/>
                <w:szCs w:val="20"/>
              </w:rPr>
            </w:pPr>
            <w:r>
              <w:rPr>
                <w:rFonts w:cstheme="minorHAnsi"/>
                <w:sz w:val="20"/>
                <w:szCs w:val="20"/>
              </w:rPr>
              <w:t>63</w:t>
            </w:r>
            <w:r w:rsidRPr="00CC1ADD">
              <w:rPr>
                <w:rFonts w:cstheme="minorHAnsi"/>
                <w:sz w:val="20"/>
                <w:szCs w:val="20"/>
              </w:rPr>
              <w:t>% have ratings of 3.0 to 5.0 stars</w:t>
            </w:r>
          </w:p>
          <w:p w14:paraId="5043032F"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the most common HSR displayed is 4</w:t>
            </w:r>
          </w:p>
        </w:tc>
        <w:tc>
          <w:tcPr>
            <w:tcW w:w="4393" w:type="dxa"/>
          </w:tcPr>
          <w:p w14:paraId="35DE079A"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Products displaying HSR labels have significantly lower average energy density and saturated fat, sodium, total sugar and protein contents than non-HSR products.</w:t>
            </w:r>
          </w:p>
          <w:p w14:paraId="21D67D82" w14:textId="77777777" w:rsidR="006A1351" w:rsidRPr="00CC1ADD" w:rsidRDefault="006A1351" w:rsidP="00901C53">
            <w:pPr>
              <w:pStyle w:val="ListParagraph"/>
              <w:widowControl w:val="0"/>
              <w:numPr>
                <w:ilvl w:val="0"/>
                <w:numId w:val="27"/>
              </w:numPr>
              <w:rPr>
                <w:rFonts w:cstheme="minorHAnsi"/>
                <w:sz w:val="20"/>
                <w:szCs w:val="20"/>
              </w:rPr>
            </w:pPr>
            <w:r w:rsidRPr="00CC1ADD">
              <w:rPr>
                <w:rFonts w:cstheme="minorHAnsi"/>
                <w:sz w:val="20"/>
                <w:szCs w:val="20"/>
              </w:rPr>
              <w:t>Of products displaying the HSR:</w:t>
            </w:r>
          </w:p>
          <w:p w14:paraId="3C99A08B"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77% have ratings of 3.0 to 5.0 stars</w:t>
            </w:r>
          </w:p>
          <w:p w14:paraId="6CB0D6CD"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the median HSR is 3.5</w:t>
            </w:r>
          </w:p>
          <w:p w14:paraId="572D5C4D"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the most common HSR displayed is 4 stars</w:t>
            </w:r>
          </w:p>
          <w:p w14:paraId="023ACA1F" w14:textId="77777777" w:rsidR="006A1351" w:rsidRPr="00CC1ADD" w:rsidRDefault="006A1351" w:rsidP="00901C53">
            <w:pPr>
              <w:pStyle w:val="mpcNormal"/>
              <w:keepNext w:val="0"/>
              <w:widowControl w:val="0"/>
              <w:numPr>
                <w:ilvl w:val="1"/>
                <w:numId w:val="28"/>
              </w:numPr>
              <w:ind w:left="747" w:hanging="386"/>
              <w:rPr>
                <w:sz w:val="20"/>
                <w:szCs w:val="20"/>
              </w:rPr>
            </w:pPr>
            <w:r w:rsidRPr="00CC1ADD">
              <w:rPr>
                <w:sz w:val="20"/>
                <w:szCs w:val="20"/>
              </w:rPr>
              <w:t xml:space="preserve">compared to 2015, there have been small increases in proportions of products with 0.5 to 3.0 stars and a relative reduction in proportions with 4.0 to 5.0 stars. </w:t>
            </w:r>
          </w:p>
        </w:tc>
      </w:tr>
      <w:tr w:rsidR="006A1351" w:rsidRPr="00CC1ADD" w14:paraId="111F5999" w14:textId="77777777" w:rsidTr="00D84DE2">
        <w:tc>
          <w:tcPr>
            <w:tcW w:w="1515" w:type="dxa"/>
          </w:tcPr>
          <w:p w14:paraId="60B6D77F" w14:textId="77777777" w:rsidR="006A1351" w:rsidRPr="00CC1ADD" w:rsidRDefault="006A1351" w:rsidP="005D75D3">
            <w:pPr>
              <w:pStyle w:val="mpcNormal"/>
              <w:keepNext w:val="0"/>
              <w:widowControl w:val="0"/>
              <w:rPr>
                <w:b/>
                <w:sz w:val="20"/>
                <w:szCs w:val="20"/>
              </w:rPr>
            </w:pPr>
            <w:r w:rsidRPr="00CC1ADD">
              <w:rPr>
                <w:b/>
                <w:sz w:val="20"/>
                <w:szCs w:val="20"/>
              </w:rPr>
              <w:t xml:space="preserve">Reformulation </w:t>
            </w:r>
          </w:p>
          <w:p w14:paraId="61761241" w14:textId="77777777" w:rsidR="006A1351" w:rsidRPr="00CC1ADD" w:rsidRDefault="006A1351" w:rsidP="005D75D3">
            <w:pPr>
              <w:pStyle w:val="mpcNormal"/>
              <w:keepNext w:val="0"/>
              <w:widowControl w:val="0"/>
              <w:rPr>
                <w:b/>
                <w:sz w:val="20"/>
                <w:szCs w:val="20"/>
              </w:rPr>
            </w:pPr>
          </w:p>
        </w:tc>
        <w:tc>
          <w:tcPr>
            <w:tcW w:w="4298" w:type="dxa"/>
          </w:tcPr>
          <w:p w14:paraId="6DE0381C" w14:textId="59AFBC94" w:rsidR="006C6A0E" w:rsidRPr="00CB0A32" w:rsidRDefault="00DE336D" w:rsidP="00CB0A32">
            <w:pPr>
              <w:pStyle w:val="mpcNormal"/>
              <w:rPr>
                <w:sz w:val="20"/>
                <w:szCs w:val="20"/>
              </w:rPr>
            </w:pPr>
            <w:r w:rsidRPr="00CB0A32">
              <w:rPr>
                <w:sz w:val="20"/>
                <w:szCs w:val="20"/>
              </w:rPr>
              <w:t>Products</w:t>
            </w:r>
            <w:r w:rsidR="006C6A0E" w:rsidRPr="00CB0A32">
              <w:rPr>
                <w:sz w:val="20"/>
                <w:szCs w:val="20"/>
              </w:rPr>
              <w:t xml:space="preserve"> displaying the HSR had statistically significant reductions in energy and saturated fat content over the four years since the System was introduced compared to those not displaying the HSR</w:t>
            </w:r>
            <w:r w:rsidRPr="00CB0A32">
              <w:rPr>
                <w:sz w:val="20"/>
                <w:szCs w:val="20"/>
              </w:rPr>
              <w:t xml:space="preserve"> (which had no significant reduction in these components)</w:t>
            </w:r>
            <w:r w:rsidR="006C6A0E" w:rsidRPr="00CB0A32">
              <w:rPr>
                <w:sz w:val="20"/>
                <w:szCs w:val="20"/>
              </w:rPr>
              <w:t>.</w:t>
            </w:r>
          </w:p>
        </w:tc>
        <w:tc>
          <w:tcPr>
            <w:tcW w:w="4393" w:type="dxa"/>
          </w:tcPr>
          <w:p w14:paraId="4DD57611" w14:textId="627DC91B" w:rsidR="006A1351" w:rsidRPr="00CC1ADD" w:rsidRDefault="006A1351" w:rsidP="005D75D3">
            <w:pPr>
              <w:pStyle w:val="mpcNormal"/>
              <w:keepNext w:val="0"/>
              <w:widowControl w:val="0"/>
              <w:rPr>
                <w:sz w:val="20"/>
                <w:szCs w:val="20"/>
              </w:rPr>
            </w:pPr>
            <w:r w:rsidRPr="00CC1ADD">
              <w:rPr>
                <w:sz w:val="20"/>
                <w:szCs w:val="20"/>
              </w:rPr>
              <w:t xml:space="preserve">Of those products displaying </w:t>
            </w:r>
            <w:r w:rsidR="00D84DE2">
              <w:rPr>
                <w:sz w:val="20"/>
                <w:szCs w:val="20"/>
              </w:rPr>
              <w:t>the</w:t>
            </w:r>
            <w:r w:rsidRPr="00CC1ADD">
              <w:rPr>
                <w:sz w:val="20"/>
                <w:szCs w:val="20"/>
              </w:rPr>
              <w:t xml:space="preserve"> HSR in 2018 that were available prior to implementation of the HSR in New Zealand, 79% have been reformulated to some extent (i.e. have undergone a minimum of 5% change in the content of a key component).</w:t>
            </w:r>
          </w:p>
        </w:tc>
      </w:tr>
    </w:tbl>
    <w:p w14:paraId="47F556DC" w14:textId="77777777" w:rsidR="009A5449" w:rsidRPr="00CC1ADD" w:rsidRDefault="009A5449" w:rsidP="0017608D">
      <w:pPr>
        <w:widowControl w:val="0"/>
      </w:pPr>
    </w:p>
    <w:p w14:paraId="3296FA39" w14:textId="77777777" w:rsidR="00DB42F9" w:rsidRPr="00CC1ADD" w:rsidRDefault="00DB42F9" w:rsidP="0017608D">
      <w:pPr>
        <w:pStyle w:val="mpcNormal"/>
        <w:keepNext w:val="0"/>
      </w:pPr>
    </w:p>
    <w:p w14:paraId="6EAF3FFF" w14:textId="77777777" w:rsidR="00752513" w:rsidRPr="00CC1ADD" w:rsidRDefault="003918E8">
      <w:pPr>
        <w:pStyle w:val="mpcheading1"/>
      </w:pPr>
      <w:r w:rsidRPr="00CC1ADD">
        <w:br w:type="column"/>
      </w:r>
      <w:bookmarkStart w:id="165" w:name="AppendixC"/>
      <w:bookmarkStart w:id="166" w:name="_Toc9955080"/>
      <w:bookmarkEnd w:id="165"/>
      <w:r w:rsidR="00752513" w:rsidRPr="00CC1ADD">
        <w:t>Appendix C: Health Star Rating System use, promotion and complementary healthy eating initiatives</w:t>
      </w:r>
      <w:bookmarkEnd w:id="166"/>
    </w:p>
    <w:p w14:paraId="543711E5" w14:textId="1DD3B6ED" w:rsidR="00752513" w:rsidRPr="00CC1ADD" w:rsidRDefault="00752513" w:rsidP="005D75D3">
      <w:pPr>
        <w:pStyle w:val="mpcNormal"/>
        <w:keepNext w:val="0"/>
      </w:pPr>
      <w:bookmarkStart w:id="167" w:name="_Toc493777380"/>
      <w:bookmarkStart w:id="168" w:name="_Toc491950031"/>
      <w:bookmarkStart w:id="169" w:name="_Toc493777378"/>
      <w:r w:rsidRPr="00CC1ADD">
        <w:t>The following tables provide information about some of the ways retailers, food manufacturers, government and public health agencies in Australia and New Zealand have engaged with promotion of the HSR System. Information about complementary healthy eating initiatives is also included.</w:t>
      </w:r>
    </w:p>
    <w:p w14:paraId="5FB66C8F" w14:textId="77777777" w:rsidR="00752513" w:rsidRPr="00CC1ADD" w:rsidRDefault="00752513" w:rsidP="005D75D3">
      <w:pPr>
        <w:pStyle w:val="mpcNormal"/>
        <w:keepNext w:val="0"/>
      </w:pPr>
    </w:p>
    <w:p w14:paraId="746F9924" w14:textId="77777777" w:rsidR="00752513" w:rsidRPr="00CC1ADD" w:rsidRDefault="00752513" w:rsidP="005D75D3">
      <w:pPr>
        <w:pStyle w:val="mpcNormal"/>
        <w:keepNext w:val="0"/>
      </w:pPr>
      <w:r w:rsidRPr="00CC1ADD">
        <w:t xml:space="preserve">The information in these tables is indicative only, rather than exhaustive. Tables have been compiled based on information provided in submissions and during stakeholder consultation, and from online research. </w:t>
      </w:r>
    </w:p>
    <w:p w14:paraId="7852E932" w14:textId="77777777" w:rsidR="00752513" w:rsidRPr="00CC1ADD" w:rsidRDefault="00752513" w:rsidP="005D75D3">
      <w:pPr>
        <w:pStyle w:val="mpcheading4"/>
        <w:keepNext w:val="0"/>
      </w:pPr>
    </w:p>
    <w:p w14:paraId="1FC90B64" w14:textId="77777777" w:rsidR="00752513" w:rsidRPr="00CC1ADD" w:rsidRDefault="00752513" w:rsidP="005A3631">
      <w:pPr>
        <w:pStyle w:val="mpcheading2"/>
        <w:spacing w:after="0"/>
      </w:pPr>
      <w:bookmarkStart w:id="170" w:name="OtherGovt"/>
      <w:bookmarkStart w:id="171" w:name="_Toc9955081"/>
      <w:bookmarkEnd w:id="170"/>
      <w:r w:rsidRPr="00CC1ADD">
        <w:t>HSR System use in other government initiatives</w:t>
      </w:r>
      <w:bookmarkEnd w:id="171"/>
    </w:p>
    <w:bookmarkEnd w:id="167"/>
    <w:p w14:paraId="7EC6C847" w14:textId="77777777" w:rsidR="00752513" w:rsidRPr="00CC1ADD" w:rsidRDefault="00752513" w:rsidP="005D75D3">
      <w:pPr>
        <w:pStyle w:val="mpcNormal"/>
        <w:keepNext w:val="0"/>
      </w:pPr>
    </w:p>
    <w:tbl>
      <w:tblPr>
        <w:tblStyle w:val="TableGrid"/>
        <w:tblW w:w="0" w:type="auto"/>
        <w:tblLook w:val="04A0" w:firstRow="1" w:lastRow="0" w:firstColumn="1" w:lastColumn="0" w:noHBand="0" w:noVBand="1"/>
        <w:tblCaption w:val="Other government initiatives "/>
        <w:tblDescription w:val="This table provides information about some of the ways retailers, food manufacturers, government and public health agencies in Australia and New Zealand have engaged with promotion of the HSR System. "/>
      </w:tblPr>
      <w:tblGrid>
        <w:gridCol w:w="1555"/>
        <w:gridCol w:w="1275"/>
        <w:gridCol w:w="5529"/>
        <w:gridCol w:w="1275"/>
      </w:tblGrid>
      <w:tr w:rsidR="00752513" w:rsidRPr="00CC1ADD" w14:paraId="701E4E0D" w14:textId="77777777" w:rsidTr="00752513">
        <w:trPr>
          <w:tblHeader/>
        </w:trPr>
        <w:tc>
          <w:tcPr>
            <w:tcW w:w="1555" w:type="dxa"/>
            <w:shd w:val="clear" w:color="auto" w:fill="516A8E"/>
          </w:tcPr>
          <w:p w14:paraId="2AFE3A8A"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72" w:name="Type"/>
            <w:bookmarkEnd w:id="172"/>
            <w:r w:rsidRPr="00CC1ADD">
              <w:rPr>
                <w:rFonts w:cstheme="minorHAnsi"/>
                <w:b/>
                <w:color w:val="FFFFFF" w:themeColor="background1"/>
                <w:szCs w:val="20"/>
              </w:rPr>
              <w:t>Type of Policy/Program</w:t>
            </w:r>
          </w:p>
        </w:tc>
        <w:tc>
          <w:tcPr>
            <w:tcW w:w="1275" w:type="dxa"/>
            <w:shd w:val="clear" w:color="auto" w:fill="516A8E"/>
          </w:tcPr>
          <w:p w14:paraId="76188597"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529" w:type="dxa"/>
            <w:shd w:val="clear" w:color="auto" w:fill="516A8E"/>
          </w:tcPr>
          <w:p w14:paraId="25C9DA4F"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275" w:type="dxa"/>
            <w:shd w:val="clear" w:color="auto" w:fill="516A8E"/>
          </w:tcPr>
          <w:p w14:paraId="4BC8C444"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3AC05986" w14:textId="77777777" w:rsidTr="00752513">
        <w:tc>
          <w:tcPr>
            <w:tcW w:w="1555" w:type="dxa"/>
            <w:shd w:val="clear" w:color="auto" w:fill="FFFFFF" w:themeFill="background1"/>
          </w:tcPr>
          <w:p w14:paraId="55A53166" w14:textId="77777777" w:rsidR="00752513" w:rsidRPr="00CC1ADD" w:rsidRDefault="00752513" w:rsidP="005A3631">
            <w:pPr>
              <w:spacing w:before="40" w:after="40"/>
              <w:rPr>
                <w:rFonts w:cstheme="minorHAnsi"/>
                <w:sz w:val="20"/>
                <w:szCs w:val="20"/>
              </w:rPr>
            </w:pPr>
            <w:r w:rsidRPr="00CC1ADD">
              <w:rPr>
                <w:rFonts w:cstheme="minorHAnsi"/>
                <w:sz w:val="20"/>
                <w:szCs w:val="20"/>
              </w:rPr>
              <w:t>NSW Ministry of Health</w:t>
            </w:r>
          </w:p>
        </w:tc>
        <w:tc>
          <w:tcPr>
            <w:tcW w:w="1275" w:type="dxa"/>
            <w:shd w:val="clear" w:color="auto" w:fill="FFFFFF" w:themeFill="background1"/>
          </w:tcPr>
          <w:p w14:paraId="3D64E674" w14:textId="77777777" w:rsidR="00752513" w:rsidRPr="00CC1ADD" w:rsidRDefault="00752513">
            <w:pPr>
              <w:spacing w:before="40" w:after="40"/>
              <w:rPr>
                <w:rFonts w:cstheme="minorHAnsi"/>
                <w:sz w:val="20"/>
                <w:szCs w:val="20"/>
              </w:rPr>
            </w:pPr>
            <w:r w:rsidRPr="00CC1ADD">
              <w:rPr>
                <w:rFonts w:cstheme="minorHAnsi"/>
                <w:sz w:val="20"/>
                <w:szCs w:val="20"/>
              </w:rPr>
              <w:t>New South Wales</w:t>
            </w:r>
          </w:p>
        </w:tc>
        <w:tc>
          <w:tcPr>
            <w:tcW w:w="5529" w:type="dxa"/>
            <w:shd w:val="clear" w:color="auto" w:fill="FFFFFF" w:themeFill="background1"/>
          </w:tcPr>
          <w:p w14:paraId="62E9C628" w14:textId="7D71E1F2" w:rsidR="00752513" w:rsidRPr="00CC1ADD" w:rsidRDefault="00CF3274">
            <w:pPr>
              <w:spacing w:before="40" w:after="40"/>
              <w:rPr>
                <w:rFonts w:cstheme="minorHAnsi"/>
                <w:color w:val="222222"/>
                <w:sz w:val="20"/>
                <w:szCs w:val="20"/>
              </w:rPr>
            </w:pPr>
            <w:r>
              <w:rPr>
                <w:rFonts w:cstheme="minorHAnsi"/>
                <w:color w:val="222222"/>
                <w:sz w:val="20"/>
                <w:szCs w:val="20"/>
              </w:rPr>
              <w:t xml:space="preserve">The HSR System has been incorporated into the </w:t>
            </w:r>
            <w:hyperlink r:id="rId100" w:history="1">
              <w:r w:rsidRPr="00CF3274">
                <w:rPr>
                  <w:rStyle w:val="Hyperlink"/>
                  <w:rFonts w:cstheme="minorHAnsi"/>
                  <w:sz w:val="20"/>
                  <w:szCs w:val="20"/>
                </w:rPr>
                <w:t>NSW Healthy School Canteen Strategy</w:t>
              </w:r>
            </w:hyperlink>
            <w:r>
              <w:rPr>
                <w:rFonts w:cstheme="minorHAnsi"/>
                <w:color w:val="222222"/>
                <w:sz w:val="20"/>
                <w:szCs w:val="20"/>
              </w:rPr>
              <w:t xml:space="preserve"> and the </w:t>
            </w:r>
            <w:hyperlink r:id="rId101" w:history="1">
              <w:r w:rsidRPr="00CF3274">
                <w:rPr>
                  <w:rStyle w:val="Hyperlink"/>
                  <w:rFonts w:cstheme="minorHAnsi"/>
                  <w:sz w:val="20"/>
                  <w:szCs w:val="20"/>
                </w:rPr>
                <w:t>NSW Healthy Food and Drink in Health facilities for Staff and Visitors Framework</w:t>
              </w:r>
            </w:hyperlink>
            <w:r>
              <w:rPr>
                <w:rFonts w:cstheme="minorHAnsi"/>
                <w:color w:val="222222"/>
                <w:sz w:val="20"/>
                <w:szCs w:val="20"/>
              </w:rPr>
              <w:t xml:space="preserve">. The HSR System is used, along with portion size limits to identify healthier food and drink options. </w:t>
            </w:r>
          </w:p>
        </w:tc>
        <w:tc>
          <w:tcPr>
            <w:tcW w:w="1275" w:type="dxa"/>
            <w:tcBorders>
              <w:bottom w:val="single" w:sz="4" w:space="0" w:color="auto"/>
            </w:tcBorders>
            <w:shd w:val="clear" w:color="auto" w:fill="FFFFFF" w:themeFill="background1"/>
          </w:tcPr>
          <w:p w14:paraId="3D63DA74" w14:textId="77777777" w:rsidR="00752513" w:rsidRPr="00CC1ADD" w:rsidRDefault="00752513">
            <w:pPr>
              <w:spacing w:before="40" w:after="40"/>
              <w:rPr>
                <w:rFonts w:cstheme="minorHAnsi"/>
                <w:sz w:val="20"/>
                <w:szCs w:val="20"/>
              </w:rPr>
            </w:pPr>
            <w:r w:rsidRPr="00CC1ADD">
              <w:rPr>
                <w:rFonts w:cstheme="minorHAnsi"/>
                <w:sz w:val="20"/>
                <w:szCs w:val="20"/>
              </w:rPr>
              <w:t>Consumers and retailers</w:t>
            </w:r>
          </w:p>
        </w:tc>
      </w:tr>
      <w:tr w:rsidR="00752513" w:rsidRPr="00CC1ADD" w14:paraId="5AFAA816" w14:textId="77777777" w:rsidTr="00752513">
        <w:tc>
          <w:tcPr>
            <w:tcW w:w="1555" w:type="dxa"/>
            <w:shd w:val="clear" w:color="auto" w:fill="FFFFFF" w:themeFill="background1"/>
          </w:tcPr>
          <w:p w14:paraId="00374B2A" w14:textId="77777777" w:rsidR="00752513" w:rsidRPr="00CC1ADD" w:rsidRDefault="00752513" w:rsidP="005A3631">
            <w:pPr>
              <w:spacing w:before="40" w:after="40"/>
              <w:rPr>
                <w:rFonts w:cstheme="minorHAnsi"/>
                <w:sz w:val="20"/>
                <w:szCs w:val="20"/>
              </w:rPr>
            </w:pPr>
            <w:r w:rsidRPr="00CC1ADD">
              <w:rPr>
                <w:rFonts w:cstheme="minorHAnsi"/>
                <w:sz w:val="20"/>
                <w:szCs w:val="20"/>
              </w:rPr>
              <w:t>SA Health</w:t>
            </w:r>
          </w:p>
        </w:tc>
        <w:tc>
          <w:tcPr>
            <w:tcW w:w="1275" w:type="dxa"/>
            <w:shd w:val="clear" w:color="auto" w:fill="FFFFFF" w:themeFill="background1"/>
          </w:tcPr>
          <w:p w14:paraId="644B49CC" w14:textId="77777777" w:rsidR="00752513" w:rsidRPr="00CC1ADD" w:rsidRDefault="00752513">
            <w:pPr>
              <w:spacing w:before="40" w:after="40"/>
              <w:rPr>
                <w:rFonts w:cstheme="minorHAnsi"/>
                <w:sz w:val="20"/>
                <w:szCs w:val="20"/>
              </w:rPr>
            </w:pPr>
            <w:r w:rsidRPr="00CC1ADD">
              <w:rPr>
                <w:rFonts w:cstheme="minorHAnsi"/>
                <w:sz w:val="20"/>
                <w:szCs w:val="20"/>
              </w:rPr>
              <w:t>South Australia</w:t>
            </w:r>
          </w:p>
        </w:tc>
        <w:tc>
          <w:tcPr>
            <w:tcW w:w="5529" w:type="dxa"/>
            <w:shd w:val="clear" w:color="auto" w:fill="FFFFFF" w:themeFill="background1"/>
          </w:tcPr>
          <w:p w14:paraId="375AF226" w14:textId="0E98F39A"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SA Health has produced a series of fact sheets (including four related to the HSR) that can be ordered through the </w:t>
            </w:r>
            <w:hyperlink r:id="rId102" w:history="1">
              <w:r w:rsidRPr="00CC1ADD">
                <w:rPr>
                  <w:rStyle w:val="Hyperlink"/>
                  <w:rFonts w:cstheme="minorHAnsi"/>
                  <w:sz w:val="20"/>
                  <w:szCs w:val="20"/>
                </w:rPr>
                <w:t>Health Promotion Community Education Resource Order Form for Consumer</w:t>
              </w:r>
              <w:r w:rsidR="00D84DE2">
                <w:rPr>
                  <w:rStyle w:val="Hyperlink"/>
                  <w:rFonts w:cstheme="minorHAnsi"/>
                  <w:sz w:val="20"/>
                  <w:szCs w:val="20"/>
                </w:rPr>
                <w:t>s</w:t>
              </w:r>
              <w:r w:rsidRPr="00CC1ADD">
                <w:rPr>
                  <w:rStyle w:val="Hyperlink"/>
                  <w:rFonts w:cstheme="minorHAnsi"/>
                  <w:sz w:val="20"/>
                  <w:szCs w:val="20"/>
                </w:rPr>
                <w:t xml:space="preserve"> (Dec 2018)</w:t>
              </w:r>
            </w:hyperlink>
            <w:r>
              <w:rPr>
                <w:rStyle w:val="Hyperlink"/>
                <w:rFonts w:cstheme="minorHAnsi"/>
                <w:sz w:val="20"/>
                <w:szCs w:val="20"/>
              </w:rPr>
              <w:t>.</w:t>
            </w:r>
          </w:p>
        </w:tc>
        <w:tc>
          <w:tcPr>
            <w:tcW w:w="1275" w:type="dxa"/>
            <w:tcBorders>
              <w:bottom w:val="single" w:sz="4" w:space="0" w:color="auto"/>
            </w:tcBorders>
            <w:shd w:val="clear" w:color="auto" w:fill="FFFFFF" w:themeFill="background1"/>
          </w:tcPr>
          <w:p w14:paraId="37087844"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bl>
    <w:p w14:paraId="5D0F3699" w14:textId="77777777" w:rsidR="00752513" w:rsidRPr="00CC1ADD" w:rsidRDefault="00752513" w:rsidP="005D75D3">
      <w:pPr>
        <w:pStyle w:val="mpcNormal"/>
        <w:keepNext w:val="0"/>
      </w:pPr>
    </w:p>
    <w:p w14:paraId="2BAE66EC" w14:textId="77777777" w:rsidR="00752513" w:rsidRPr="00CC1ADD" w:rsidRDefault="00752513" w:rsidP="005A3631">
      <w:pPr>
        <w:pStyle w:val="mpcheading2"/>
        <w:spacing w:after="0"/>
      </w:pPr>
      <w:bookmarkStart w:id="173" w:name="Industry"/>
      <w:bookmarkStart w:id="174" w:name="_Toc9955082"/>
      <w:bookmarkEnd w:id="173"/>
      <w:r w:rsidRPr="00CC1ADD">
        <w:t>Industry promotion of the HSR System</w:t>
      </w:r>
      <w:bookmarkEnd w:id="174"/>
    </w:p>
    <w:p w14:paraId="5CAF2F51" w14:textId="77777777" w:rsidR="00752513" w:rsidRPr="00CC1ADD" w:rsidRDefault="00752513" w:rsidP="0017608D">
      <w:pPr>
        <w:pStyle w:val="mpcNormal"/>
        <w:keepNext w:val="0"/>
      </w:pPr>
    </w:p>
    <w:tbl>
      <w:tblPr>
        <w:tblStyle w:val="TableGrid"/>
        <w:tblW w:w="0" w:type="auto"/>
        <w:tblLayout w:type="fixed"/>
        <w:tblLook w:val="04A0" w:firstRow="1" w:lastRow="0" w:firstColumn="1" w:lastColumn="0" w:noHBand="0" w:noVBand="1"/>
        <w:tblCaption w:val="Industry promotion"/>
        <w:tblDescription w:val="This table provides information about some of the ways retailers, food manufacturers, government and public health agencies in Australia and New Zealand have engaged with promotion of the HSR System. "/>
      </w:tblPr>
      <w:tblGrid>
        <w:gridCol w:w="1555"/>
        <w:gridCol w:w="1275"/>
        <w:gridCol w:w="5529"/>
        <w:gridCol w:w="1377"/>
      </w:tblGrid>
      <w:tr w:rsidR="00752513" w:rsidRPr="00CC1ADD" w14:paraId="00FDB309" w14:textId="77777777" w:rsidTr="00752513">
        <w:trPr>
          <w:tblHeader/>
        </w:trPr>
        <w:tc>
          <w:tcPr>
            <w:tcW w:w="1555" w:type="dxa"/>
            <w:shd w:val="clear" w:color="auto" w:fill="516A8E"/>
          </w:tcPr>
          <w:p w14:paraId="47B7307C"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75" w:name="Company"/>
            <w:bookmarkEnd w:id="175"/>
            <w:r w:rsidRPr="00CC1ADD">
              <w:rPr>
                <w:rFonts w:cstheme="minorHAnsi"/>
                <w:b/>
                <w:color w:val="FFFFFF" w:themeColor="background1"/>
                <w:szCs w:val="20"/>
              </w:rPr>
              <w:t>Company</w:t>
            </w:r>
          </w:p>
        </w:tc>
        <w:tc>
          <w:tcPr>
            <w:tcW w:w="1275" w:type="dxa"/>
            <w:shd w:val="clear" w:color="auto" w:fill="516A8E"/>
          </w:tcPr>
          <w:p w14:paraId="59CBDAC3"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529" w:type="dxa"/>
            <w:shd w:val="clear" w:color="auto" w:fill="516A8E"/>
          </w:tcPr>
          <w:p w14:paraId="7C94633F"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377" w:type="dxa"/>
            <w:shd w:val="clear" w:color="auto" w:fill="516A8E"/>
          </w:tcPr>
          <w:p w14:paraId="63B0641E"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594C1E5F" w14:textId="77777777" w:rsidTr="00752513">
        <w:tc>
          <w:tcPr>
            <w:tcW w:w="1555" w:type="dxa"/>
            <w:shd w:val="clear" w:color="auto" w:fill="FFFFFF" w:themeFill="background1"/>
          </w:tcPr>
          <w:p w14:paraId="1FCA1579" w14:textId="77777777" w:rsidR="00752513" w:rsidRPr="00CC1ADD" w:rsidRDefault="00752513" w:rsidP="005A3631">
            <w:pPr>
              <w:spacing w:before="40" w:after="40"/>
              <w:rPr>
                <w:rFonts w:cstheme="minorHAnsi"/>
                <w:sz w:val="20"/>
                <w:szCs w:val="20"/>
              </w:rPr>
            </w:pPr>
            <w:r w:rsidRPr="00CC1ADD">
              <w:rPr>
                <w:rFonts w:cstheme="minorHAnsi"/>
                <w:sz w:val="20"/>
                <w:szCs w:val="20"/>
              </w:rPr>
              <w:t>Anchor Dairy</w:t>
            </w:r>
          </w:p>
        </w:tc>
        <w:tc>
          <w:tcPr>
            <w:tcW w:w="1275" w:type="dxa"/>
            <w:shd w:val="clear" w:color="auto" w:fill="FFFFFF" w:themeFill="background1"/>
          </w:tcPr>
          <w:p w14:paraId="26A67516"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529" w:type="dxa"/>
            <w:shd w:val="clear" w:color="auto" w:fill="FFFFFF" w:themeFill="background1"/>
          </w:tcPr>
          <w:p w14:paraId="5AE69FD3"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about the HSR System on </w:t>
            </w:r>
            <w:hyperlink r:id="rId103" w:history="1">
              <w:r w:rsidRPr="00CC1ADD">
                <w:rPr>
                  <w:rStyle w:val="Hyperlink"/>
                  <w:rFonts w:cstheme="minorHAnsi"/>
                  <w:sz w:val="20"/>
                  <w:szCs w:val="20"/>
                </w:rPr>
                <w:t>Anchor Dairy website</w:t>
              </w:r>
            </w:hyperlink>
            <w:r>
              <w:rPr>
                <w:rStyle w:val="Hyperlink"/>
                <w:rFonts w:cstheme="minorHAnsi"/>
                <w:sz w:val="20"/>
                <w:szCs w:val="20"/>
              </w:rPr>
              <w:t>.</w:t>
            </w:r>
          </w:p>
        </w:tc>
        <w:tc>
          <w:tcPr>
            <w:tcW w:w="1377" w:type="dxa"/>
            <w:shd w:val="clear" w:color="auto" w:fill="FFFFFF" w:themeFill="background1"/>
          </w:tcPr>
          <w:p w14:paraId="5C8E4724"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DD11105" w14:textId="77777777" w:rsidTr="00752513">
        <w:tc>
          <w:tcPr>
            <w:tcW w:w="1555" w:type="dxa"/>
            <w:shd w:val="clear" w:color="auto" w:fill="FFFFFF" w:themeFill="background1"/>
          </w:tcPr>
          <w:p w14:paraId="58360ABC" w14:textId="77777777" w:rsidR="00752513" w:rsidRPr="00CC1ADD" w:rsidRDefault="00752513" w:rsidP="005A3631">
            <w:pPr>
              <w:spacing w:before="40" w:after="40"/>
              <w:rPr>
                <w:rFonts w:cstheme="minorHAnsi"/>
                <w:sz w:val="20"/>
                <w:szCs w:val="20"/>
              </w:rPr>
            </w:pPr>
            <w:r w:rsidRPr="00CC1ADD">
              <w:rPr>
                <w:rFonts w:cstheme="minorHAnsi"/>
                <w:sz w:val="20"/>
                <w:szCs w:val="20"/>
              </w:rPr>
              <w:t>Arnott’s</w:t>
            </w:r>
          </w:p>
        </w:tc>
        <w:tc>
          <w:tcPr>
            <w:tcW w:w="1275" w:type="dxa"/>
            <w:shd w:val="clear" w:color="auto" w:fill="FFFFFF" w:themeFill="background1"/>
          </w:tcPr>
          <w:p w14:paraId="2C46C18A"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317B8C8C"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a Guide to HSR on the </w:t>
            </w:r>
            <w:hyperlink r:id="rId104" w:history="1">
              <w:r w:rsidRPr="00CC1ADD">
                <w:rPr>
                  <w:rStyle w:val="Hyperlink"/>
                  <w:rFonts w:cstheme="minorHAnsi"/>
                  <w:sz w:val="20"/>
                  <w:szCs w:val="20"/>
                </w:rPr>
                <w:t>Arnott’s website</w:t>
              </w:r>
            </w:hyperlink>
            <w:r>
              <w:rPr>
                <w:rFonts w:cstheme="minorHAnsi"/>
                <w:color w:val="222222"/>
                <w:sz w:val="20"/>
                <w:szCs w:val="20"/>
              </w:rPr>
              <w:t>.</w:t>
            </w:r>
          </w:p>
        </w:tc>
        <w:tc>
          <w:tcPr>
            <w:tcW w:w="1377" w:type="dxa"/>
            <w:shd w:val="clear" w:color="auto" w:fill="FFFFFF" w:themeFill="background1"/>
          </w:tcPr>
          <w:p w14:paraId="6BCBA049"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62747F78" w14:textId="77777777" w:rsidTr="00752513">
        <w:tc>
          <w:tcPr>
            <w:tcW w:w="1555" w:type="dxa"/>
            <w:shd w:val="clear" w:color="auto" w:fill="FFFFFF" w:themeFill="background1"/>
          </w:tcPr>
          <w:p w14:paraId="5886DA6F" w14:textId="77777777" w:rsidR="00752513" w:rsidRPr="00CC1ADD" w:rsidRDefault="00752513" w:rsidP="005A3631">
            <w:pPr>
              <w:spacing w:before="40" w:after="40"/>
              <w:rPr>
                <w:rFonts w:cstheme="minorHAnsi"/>
                <w:sz w:val="20"/>
                <w:szCs w:val="20"/>
              </w:rPr>
            </w:pPr>
            <w:r w:rsidRPr="00CC1ADD">
              <w:rPr>
                <w:rFonts w:cstheme="minorHAnsi"/>
                <w:sz w:val="20"/>
                <w:szCs w:val="20"/>
              </w:rPr>
              <w:t>Coles</w:t>
            </w:r>
          </w:p>
        </w:tc>
        <w:tc>
          <w:tcPr>
            <w:tcW w:w="1275" w:type="dxa"/>
            <w:shd w:val="clear" w:color="auto" w:fill="FFFFFF" w:themeFill="background1"/>
          </w:tcPr>
          <w:p w14:paraId="4876CAA3"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1048A1C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statement on the HSR on </w:t>
            </w:r>
            <w:hyperlink r:id="rId105" w:history="1">
              <w:r w:rsidRPr="00CC1ADD">
                <w:rPr>
                  <w:rStyle w:val="Hyperlink"/>
                  <w:rFonts w:cstheme="minorHAnsi"/>
                  <w:sz w:val="20"/>
                  <w:szCs w:val="20"/>
                </w:rPr>
                <w:t>Coles website</w:t>
              </w:r>
            </w:hyperlink>
            <w:r w:rsidRPr="00CC1ADD">
              <w:rPr>
                <w:rFonts w:cstheme="minorHAnsi"/>
                <w:color w:val="222222"/>
                <w:sz w:val="20"/>
                <w:szCs w:val="20"/>
              </w:rPr>
              <w:t>, including reference to the number of Coles Brand products displaying HSR.</w:t>
            </w:r>
          </w:p>
        </w:tc>
        <w:tc>
          <w:tcPr>
            <w:tcW w:w="1377" w:type="dxa"/>
            <w:shd w:val="clear" w:color="auto" w:fill="FFFFFF" w:themeFill="background1"/>
          </w:tcPr>
          <w:p w14:paraId="4D737C4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370BD3D7" w14:textId="77777777" w:rsidTr="00752513">
        <w:tc>
          <w:tcPr>
            <w:tcW w:w="1555" w:type="dxa"/>
            <w:shd w:val="clear" w:color="auto" w:fill="FFFFFF" w:themeFill="background1"/>
          </w:tcPr>
          <w:p w14:paraId="2A4B1535" w14:textId="77777777" w:rsidR="00752513" w:rsidRPr="00CC1ADD" w:rsidRDefault="00752513" w:rsidP="005A3631">
            <w:pPr>
              <w:spacing w:before="40" w:after="40"/>
              <w:rPr>
                <w:rFonts w:cstheme="minorHAnsi"/>
                <w:sz w:val="20"/>
                <w:szCs w:val="20"/>
              </w:rPr>
            </w:pPr>
            <w:r w:rsidRPr="00CC1ADD">
              <w:rPr>
                <w:rFonts w:cstheme="minorHAnsi"/>
                <w:sz w:val="20"/>
                <w:szCs w:val="20"/>
              </w:rPr>
              <w:t>Countdown</w:t>
            </w:r>
          </w:p>
        </w:tc>
        <w:tc>
          <w:tcPr>
            <w:tcW w:w="1275" w:type="dxa"/>
            <w:shd w:val="clear" w:color="auto" w:fill="FFFFFF" w:themeFill="background1"/>
          </w:tcPr>
          <w:p w14:paraId="1D795A56"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529" w:type="dxa"/>
            <w:shd w:val="clear" w:color="auto" w:fill="FFFFFF" w:themeFill="background1"/>
          </w:tcPr>
          <w:p w14:paraId="538B650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including information about the HSR on </w:t>
            </w:r>
            <w:hyperlink r:id="rId106" w:history="1">
              <w:r w:rsidRPr="00CC1ADD">
                <w:rPr>
                  <w:rStyle w:val="Hyperlink"/>
                  <w:rFonts w:cstheme="minorHAnsi"/>
                  <w:sz w:val="20"/>
                  <w:szCs w:val="20"/>
                </w:rPr>
                <w:t>Countdown website</w:t>
              </w:r>
            </w:hyperlink>
            <w:r>
              <w:rPr>
                <w:rStyle w:val="Hyperlink"/>
                <w:rFonts w:cstheme="minorHAnsi"/>
                <w:sz w:val="20"/>
                <w:szCs w:val="20"/>
              </w:rPr>
              <w:t>.</w:t>
            </w:r>
          </w:p>
          <w:p w14:paraId="25B01BA2"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Publication of </w:t>
            </w:r>
            <w:hyperlink r:id="rId107" w:history="1">
              <w:r w:rsidRPr="00CC1ADD">
                <w:rPr>
                  <w:rStyle w:val="Hyperlink"/>
                  <w:rFonts w:cstheme="minorHAnsi"/>
                  <w:sz w:val="20"/>
                  <w:szCs w:val="20"/>
                </w:rPr>
                <w:t>Retail Industry Pledge</w:t>
              </w:r>
            </w:hyperlink>
            <w:r w:rsidRPr="00CC1ADD">
              <w:rPr>
                <w:rFonts w:cstheme="minorHAnsi"/>
                <w:color w:val="222222"/>
                <w:sz w:val="20"/>
                <w:szCs w:val="20"/>
              </w:rPr>
              <w:t xml:space="preserve"> to use the HSR on private label products and encourage suppliers to use HSR, includes measurable targets and documentation of progress.</w:t>
            </w:r>
          </w:p>
        </w:tc>
        <w:tc>
          <w:tcPr>
            <w:tcW w:w="1377" w:type="dxa"/>
            <w:shd w:val="clear" w:color="auto" w:fill="FFFFFF" w:themeFill="background1"/>
          </w:tcPr>
          <w:p w14:paraId="7020D803"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1463BE77" w14:textId="77777777" w:rsidTr="00752513">
        <w:tc>
          <w:tcPr>
            <w:tcW w:w="1555" w:type="dxa"/>
            <w:shd w:val="clear" w:color="auto" w:fill="FFFFFF" w:themeFill="background1"/>
          </w:tcPr>
          <w:p w14:paraId="5BCAB68C" w14:textId="77777777" w:rsidR="00752513" w:rsidRPr="00CC1ADD" w:rsidRDefault="00752513" w:rsidP="005A3631">
            <w:pPr>
              <w:spacing w:before="40" w:after="40"/>
              <w:rPr>
                <w:rFonts w:cstheme="minorHAnsi"/>
                <w:sz w:val="20"/>
                <w:szCs w:val="20"/>
              </w:rPr>
            </w:pPr>
            <w:r w:rsidRPr="00CC1ADD">
              <w:rPr>
                <w:rFonts w:cstheme="minorHAnsi"/>
                <w:sz w:val="20"/>
                <w:szCs w:val="20"/>
              </w:rPr>
              <w:t>Daily Juice</w:t>
            </w:r>
          </w:p>
        </w:tc>
        <w:tc>
          <w:tcPr>
            <w:tcW w:w="1275" w:type="dxa"/>
            <w:shd w:val="clear" w:color="auto" w:fill="FFFFFF" w:themeFill="background1"/>
          </w:tcPr>
          <w:p w14:paraId="0AC9F1BA"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004B3062"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the HSR and how Daily Juice product labels are making it easier for customers to make healthier choices on the </w:t>
            </w:r>
            <w:hyperlink r:id="rId108" w:history="1">
              <w:r w:rsidRPr="00CC1ADD">
                <w:rPr>
                  <w:rStyle w:val="Hyperlink"/>
                  <w:rFonts w:cstheme="minorHAnsi"/>
                  <w:sz w:val="20"/>
                  <w:szCs w:val="20"/>
                </w:rPr>
                <w:t>Daily Juice website</w:t>
              </w:r>
            </w:hyperlink>
            <w:r>
              <w:rPr>
                <w:rStyle w:val="Hyperlink"/>
                <w:rFonts w:cstheme="minorHAnsi"/>
                <w:sz w:val="20"/>
                <w:szCs w:val="20"/>
              </w:rPr>
              <w:t>.</w:t>
            </w:r>
          </w:p>
        </w:tc>
        <w:tc>
          <w:tcPr>
            <w:tcW w:w="1377" w:type="dxa"/>
            <w:shd w:val="clear" w:color="auto" w:fill="FFFFFF" w:themeFill="background1"/>
          </w:tcPr>
          <w:p w14:paraId="5F8BE1D6"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F93322" w:rsidRPr="00CC1ADD" w14:paraId="234A1ED6" w14:textId="77777777" w:rsidTr="00752513">
        <w:tc>
          <w:tcPr>
            <w:tcW w:w="1555" w:type="dxa"/>
            <w:shd w:val="clear" w:color="auto" w:fill="FFFFFF" w:themeFill="background1"/>
          </w:tcPr>
          <w:p w14:paraId="7636C4E8" w14:textId="10CE41A3" w:rsidR="00F93322" w:rsidRPr="00CC1ADD" w:rsidRDefault="00F93322" w:rsidP="005A3631">
            <w:pPr>
              <w:spacing w:before="40" w:after="40"/>
              <w:rPr>
                <w:rFonts w:cstheme="minorHAnsi"/>
                <w:sz w:val="20"/>
                <w:szCs w:val="20"/>
              </w:rPr>
            </w:pPr>
            <w:r>
              <w:rPr>
                <w:rFonts w:cstheme="minorHAnsi"/>
                <w:sz w:val="20"/>
                <w:szCs w:val="20"/>
              </w:rPr>
              <w:t>Foodstuffs</w:t>
            </w:r>
          </w:p>
        </w:tc>
        <w:tc>
          <w:tcPr>
            <w:tcW w:w="1275" w:type="dxa"/>
            <w:shd w:val="clear" w:color="auto" w:fill="FFFFFF" w:themeFill="background1"/>
          </w:tcPr>
          <w:p w14:paraId="2E2CEE85" w14:textId="59FA7E99" w:rsidR="00F93322" w:rsidRPr="00CC1ADD" w:rsidRDefault="00F93322" w:rsidP="005A25A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0CC73013" w14:textId="682202B2" w:rsidR="00F93322" w:rsidRPr="00CC1ADD" w:rsidRDefault="00F93322" w:rsidP="005A25A2">
            <w:pPr>
              <w:spacing w:before="40" w:after="40"/>
              <w:rPr>
                <w:rFonts w:cstheme="minorHAnsi"/>
                <w:color w:val="222222"/>
                <w:sz w:val="20"/>
                <w:szCs w:val="20"/>
              </w:rPr>
            </w:pPr>
            <w:r>
              <w:rPr>
                <w:rFonts w:cstheme="minorHAnsi"/>
                <w:color w:val="222222"/>
                <w:sz w:val="20"/>
                <w:szCs w:val="20"/>
              </w:rPr>
              <w:t xml:space="preserve">Inclusion of statement on the HSR on the </w:t>
            </w:r>
            <w:hyperlink r:id="rId109" w:history="1">
              <w:r w:rsidRPr="00F93322">
                <w:rPr>
                  <w:rStyle w:val="Hyperlink"/>
                  <w:rFonts w:cstheme="minorHAnsi"/>
                  <w:sz w:val="20"/>
                  <w:szCs w:val="20"/>
                </w:rPr>
                <w:t>Foodstuffs website</w:t>
              </w:r>
            </w:hyperlink>
            <w:r>
              <w:rPr>
                <w:rFonts w:cstheme="minorHAnsi"/>
                <w:color w:val="222222"/>
                <w:sz w:val="20"/>
                <w:szCs w:val="20"/>
              </w:rPr>
              <w:t xml:space="preserve"> and featuring HSR branded products in promotions.</w:t>
            </w:r>
          </w:p>
        </w:tc>
        <w:tc>
          <w:tcPr>
            <w:tcW w:w="1377" w:type="dxa"/>
            <w:shd w:val="clear" w:color="auto" w:fill="FFFFFF" w:themeFill="background1"/>
          </w:tcPr>
          <w:p w14:paraId="508BEE84" w14:textId="5CBF330F" w:rsidR="00F93322" w:rsidRPr="00CC1ADD" w:rsidRDefault="00F93322" w:rsidP="005A25A2">
            <w:pPr>
              <w:spacing w:before="40" w:after="40"/>
              <w:rPr>
                <w:rFonts w:cstheme="minorHAnsi"/>
                <w:sz w:val="20"/>
                <w:szCs w:val="20"/>
              </w:rPr>
            </w:pPr>
            <w:r>
              <w:rPr>
                <w:rFonts w:cstheme="minorHAnsi"/>
                <w:sz w:val="20"/>
                <w:szCs w:val="20"/>
              </w:rPr>
              <w:t>Consumers</w:t>
            </w:r>
          </w:p>
        </w:tc>
      </w:tr>
      <w:tr w:rsidR="00F93322" w:rsidRPr="00CC1ADD" w14:paraId="14546AD4" w14:textId="77777777" w:rsidTr="00752513">
        <w:tc>
          <w:tcPr>
            <w:tcW w:w="1555" w:type="dxa"/>
            <w:shd w:val="clear" w:color="auto" w:fill="FFFFFF" w:themeFill="background1"/>
          </w:tcPr>
          <w:p w14:paraId="4CACE431" w14:textId="2C28C138" w:rsidR="00F93322" w:rsidRDefault="00F93322" w:rsidP="005A3631">
            <w:pPr>
              <w:spacing w:before="40" w:after="40"/>
              <w:rPr>
                <w:rFonts w:cstheme="minorHAnsi"/>
                <w:sz w:val="20"/>
                <w:szCs w:val="20"/>
              </w:rPr>
            </w:pPr>
            <w:r>
              <w:rPr>
                <w:rFonts w:cstheme="minorHAnsi"/>
                <w:sz w:val="20"/>
                <w:szCs w:val="20"/>
              </w:rPr>
              <w:t>Frucor</w:t>
            </w:r>
          </w:p>
        </w:tc>
        <w:tc>
          <w:tcPr>
            <w:tcW w:w="1275" w:type="dxa"/>
            <w:shd w:val="clear" w:color="auto" w:fill="FFFFFF" w:themeFill="background1"/>
          </w:tcPr>
          <w:p w14:paraId="1FBB00D9" w14:textId="51624402" w:rsidR="00F93322" w:rsidRDefault="00F93322" w:rsidP="005A25A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641C3E86" w14:textId="307AD32A" w:rsidR="00F93322" w:rsidRDefault="00F93322" w:rsidP="005A25A2">
            <w:pPr>
              <w:spacing w:before="40" w:after="40"/>
              <w:rPr>
                <w:rFonts w:cstheme="minorHAnsi"/>
                <w:color w:val="222222"/>
                <w:sz w:val="20"/>
                <w:szCs w:val="20"/>
              </w:rPr>
            </w:pPr>
            <w:r>
              <w:rPr>
                <w:rFonts w:cstheme="minorHAnsi"/>
                <w:color w:val="222222"/>
                <w:sz w:val="20"/>
                <w:szCs w:val="20"/>
              </w:rPr>
              <w:t xml:space="preserve">Inclusion of information on the HSR System on the </w:t>
            </w:r>
            <w:hyperlink r:id="rId110" w:history="1">
              <w:r w:rsidRPr="00F93322">
                <w:rPr>
                  <w:rStyle w:val="Hyperlink"/>
                  <w:rFonts w:cstheme="minorHAnsi"/>
                  <w:sz w:val="20"/>
                  <w:szCs w:val="20"/>
                </w:rPr>
                <w:t>Frucor website</w:t>
              </w:r>
            </w:hyperlink>
            <w:r>
              <w:rPr>
                <w:rFonts w:cstheme="minorHAnsi"/>
                <w:color w:val="222222"/>
                <w:sz w:val="20"/>
                <w:szCs w:val="20"/>
              </w:rPr>
              <w:t xml:space="preserve">. </w:t>
            </w:r>
          </w:p>
        </w:tc>
        <w:tc>
          <w:tcPr>
            <w:tcW w:w="1377" w:type="dxa"/>
            <w:shd w:val="clear" w:color="auto" w:fill="FFFFFF" w:themeFill="background1"/>
          </w:tcPr>
          <w:p w14:paraId="2A9795A3" w14:textId="3587C6BF" w:rsidR="00F93322" w:rsidRPr="00CC1ADD" w:rsidRDefault="00F93322" w:rsidP="005A25A2">
            <w:pPr>
              <w:spacing w:before="40" w:after="40"/>
              <w:rPr>
                <w:rFonts w:cstheme="minorHAnsi"/>
                <w:sz w:val="20"/>
                <w:szCs w:val="20"/>
              </w:rPr>
            </w:pPr>
            <w:r>
              <w:rPr>
                <w:rFonts w:cstheme="minorHAnsi"/>
                <w:sz w:val="20"/>
                <w:szCs w:val="20"/>
              </w:rPr>
              <w:t>Consumers</w:t>
            </w:r>
          </w:p>
        </w:tc>
      </w:tr>
      <w:tr w:rsidR="00752513" w:rsidRPr="00CC1ADD" w14:paraId="64F84A8C" w14:textId="77777777" w:rsidTr="00752513">
        <w:tc>
          <w:tcPr>
            <w:tcW w:w="1555" w:type="dxa"/>
            <w:shd w:val="clear" w:color="auto" w:fill="FFFFFF" w:themeFill="background1"/>
          </w:tcPr>
          <w:p w14:paraId="518E966C" w14:textId="77777777" w:rsidR="00752513" w:rsidRPr="00CC1ADD" w:rsidRDefault="00752513" w:rsidP="005A3631">
            <w:pPr>
              <w:spacing w:before="40" w:after="40"/>
              <w:rPr>
                <w:rFonts w:cstheme="minorHAnsi"/>
                <w:sz w:val="20"/>
                <w:szCs w:val="20"/>
              </w:rPr>
            </w:pPr>
            <w:r w:rsidRPr="00CC1ADD">
              <w:rPr>
                <w:rFonts w:cstheme="minorHAnsi"/>
                <w:sz w:val="20"/>
                <w:szCs w:val="20"/>
              </w:rPr>
              <w:t>Go Natural</w:t>
            </w:r>
          </w:p>
        </w:tc>
        <w:tc>
          <w:tcPr>
            <w:tcW w:w="1275" w:type="dxa"/>
            <w:shd w:val="clear" w:color="auto" w:fill="FFFFFF" w:themeFill="background1"/>
          </w:tcPr>
          <w:p w14:paraId="662D9A1A"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7E7DD4B9" w14:textId="77777777" w:rsidR="00752513" w:rsidRPr="00CC1ADD" w:rsidRDefault="00752513">
            <w:pPr>
              <w:spacing w:before="40" w:after="40"/>
              <w:rPr>
                <w:rFonts w:cstheme="minorHAnsi"/>
                <w:color w:val="0000FF"/>
                <w:sz w:val="20"/>
                <w:szCs w:val="20"/>
                <w:u w:val="single"/>
              </w:rPr>
            </w:pPr>
            <w:r w:rsidRPr="00CC1ADD">
              <w:rPr>
                <w:rFonts w:cstheme="minorHAnsi"/>
                <w:color w:val="222222"/>
                <w:sz w:val="20"/>
                <w:szCs w:val="20"/>
              </w:rPr>
              <w:t xml:space="preserve">Online promotion of HSR (on images of nut bars) and information on HSR and how it is calculated on </w:t>
            </w:r>
            <w:hyperlink r:id="rId111" w:history="1">
              <w:r w:rsidRPr="00CC1ADD">
                <w:rPr>
                  <w:rStyle w:val="Hyperlink"/>
                  <w:rFonts w:cstheme="minorHAnsi"/>
                  <w:sz w:val="20"/>
                  <w:szCs w:val="20"/>
                </w:rPr>
                <w:t>Go Natural website</w:t>
              </w:r>
            </w:hyperlink>
            <w:r>
              <w:rPr>
                <w:rStyle w:val="Hyperlink"/>
                <w:rFonts w:cstheme="minorHAnsi"/>
                <w:sz w:val="20"/>
                <w:szCs w:val="20"/>
              </w:rPr>
              <w:t>.</w:t>
            </w:r>
          </w:p>
        </w:tc>
        <w:tc>
          <w:tcPr>
            <w:tcW w:w="1377" w:type="dxa"/>
            <w:shd w:val="clear" w:color="auto" w:fill="FFFFFF" w:themeFill="background1"/>
          </w:tcPr>
          <w:p w14:paraId="3C56B205"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51D202ED" w14:textId="77777777" w:rsidTr="00752513">
        <w:tc>
          <w:tcPr>
            <w:tcW w:w="1555" w:type="dxa"/>
            <w:shd w:val="clear" w:color="auto" w:fill="FFFFFF" w:themeFill="background1"/>
          </w:tcPr>
          <w:p w14:paraId="2450C9CF" w14:textId="77777777" w:rsidR="00752513" w:rsidRPr="00CC1ADD" w:rsidRDefault="00752513" w:rsidP="005A3631">
            <w:pPr>
              <w:spacing w:before="40" w:after="40"/>
              <w:rPr>
                <w:rFonts w:cstheme="minorHAnsi"/>
                <w:sz w:val="20"/>
                <w:szCs w:val="20"/>
              </w:rPr>
            </w:pPr>
            <w:r w:rsidRPr="00CC1ADD">
              <w:rPr>
                <w:rFonts w:cstheme="minorHAnsi"/>
                <w:sz w:val="20"/>
                <w:szCs w:val="20"/>
              </w:rPr>
              <w:t>GR8START</w:t>
            </w:r>
          </w:p>
        </w:tc>
        <w:tc>
          <w:tcPr>
            <w:tcW w:w="1275" w:type="dxa"/>
            <w:shd w:val="clear" w:color="auto" w:fill="FFFFFF" w:themeFill="background1"/>
          </w:tcPr>
          <w:p w14:paraId="4A5AC1B9"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16C6A08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GR8START breakfast mix displaying health star rating on </w:t>
            </w:r>
            <w:hyperlink r:id="rId112" w:history="1">
              <w:r w:rsidRPr="00CC1ADD">
                <w:rPr>
                  <w:rStyle w:val="Hyperlink"/>
                  <w:rFonts w:cstheme="minorHAnsi"/>
                  <w:sz w:val="20"/>
                  <w:szCs w:val="20"/>
                </w:rPr>
                <w:t>GR8START website</w:t>
              </w:r>
            </w:hyperlink>
            <w:r>
              <w:rPr>
                <w:rStyle w:val="Hyperlink"/>
                <w:rFonts w:cstheme="minorHAnsi"/>
                <w:sz w:val="20"/>
                <w:szCs w:val="20"/>
              </w:rPr>
              <w:t>.</w:t>
            </w:r>
          </w:p>
        </w:tc>
        <w:tc>
          <w:tcPr>
            <w:tcW w:w="1377" w:type="dxa"/>
            <w:shd w:val="clear" w:color="auto" w:fill="FFFFFF" w:themeFill="background1"/>
          </w:tcPr>
          <w:p w14:paraId="5D0988C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4AA10B43" w14:textId="77777777" w:rsidTr="00752513">
        <w:tc>
          <w:tcPr>
            <w:tcW w:w="1555" w:type="dxa"/>
            <w:shd w:val="clear" w:color="auto" w:fill="FFFFFF" w:themeFill="background1"/>
          </w:tcPr>
          <w:p w14:paraId="00C731DE" w14:textId="77777777" w:rsidR="00752513" w:rsidRPr="00CC1ADD" w:rsidRDefault="00752513" w:rsidP="005A3631">
            <w:pPr>
              <w:spacing w:before="40" w:after="40"/>
              <w:rPr>
                <w:rFonts w:cstheme="minorHAnsi"/>
                <w:sz w:val="20"/>
                <w:szCs w:val="20"/>
              </w:rPr>
            </w:pPr>
            <w:r w:rsidRPr="00CC1ADD">
              <w:rPr>
                <w:rFonts w:cstheme="minorHAnsi"/>
                <w:sz w:val="20"/>
                <w:szCs w:val="20"/>
              </w:rPr>
              <w:t>IGA</w:t>
            </w:r>
          </w:p>
        </w:tc>
        <w:tc>
          <w:tcPr>
            <w:tcW w:w="1275" w:type="dxa"/>
            <w:shd w:val="clear" w:color="auto" w:fill="FFFFFF" w:themeFill="background1"/>
          </w:tcPr>
          <w:p w14:paraId="74D0B71C"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060DA67C" w14:textId="77777777" w:rsidR="00752513" w:rsidRPr="00CC1ADD" w:rsidRDefault="00752513">
            <w:pPr>
              <w:spacing w:before="40" w:after="40"/>
              <w:rPr>
                <w:rFonts w:cstheme="minorHAnsi"/>
                <w:color w:val="222222"/>
                <w:sz w:val="20"/>
                <w:szCs w:val="20"/>
              </w:rPr>
            </w:pPr>
            <w:hyperlink r:id="rId113" w:history="1">
              <w:r w:rsidRPr="00CC1ADD">
                <w:rPr>
                  <w:rStyle w:val="Hyperlink"/>
                  <w:rFonts w:cstheme="minorHAnsi"/>
                  <w:sz w:val="20"/>
                  <w:szCs w:val="20"/>
                </w:rPr>
                <w:t>Eat Well</w:t>
              </w:r>
            </w:hyperlink>
            <w:r w:rsidRPr="00CC1ADD">
              <w:rPr>
                <w:rFonts w:cstheme="minorHAnsi"/>
                <w:color w:val="222222"/>
                <w:sz w:val="20"/>
                <w:szCs w:val="20"/>
              </w:rPr>
              <w:t xml:space="preserve"> at IGA campaign, including advice to help customers make healthier choices by using the HSR.  </w:t>
            </w:r>
          </w:p>
        </w:tc>
        <w:tc>
          <w:tcPr>
            <w:tcW w:w="1377" w:type="dxa"/>
            <w:shd w:val="clear" w:color="auto" w:fill="FFFFFF" w:themeFill="background1"/>
          </w:tcPr>
          <w:p w14:paraId="54B8A50F"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2D7E394C" w14:textId="77777777" w:rsidTr="00752513">
        <w:tc>
          <w:tcPr>
            <w:tcW w:w="1555" w:type="dxa"/>
            <w:shd w:val="clear" w:color="auto" w:fill="FFFFFF" w:themeFill="background1"/>
          </w:tcPr>
          <w:p w14:paraId="1F39E8E0" w14:textId="77777777" w:rsidR="00752513" w:rsidRPr="00CC1ADD" w:rsidRDefault="00752513" w:rsidP="005A3631">
            <w:pPr>
              <w:spacing w:before="40" w:after="40"/>
              <w:rPr>
                <w:rFonts w:cstheme="minorHAnsi"/>
                <w:sz w:val="20"/>
                <w:szCs w:val="20"/>
              </w:rPr>
            </w:pPr>
            <w:r w:rsidRPr="00CC1ADD">
              <w:rPr>
                <w:rFonts w:cstheme="minorHAnsi"/>
                <w:sz w:val="20"/>
                <w:szCs w:val="20"/>
              </w:rPr>
              <w:t>Kellogg’s</w:t>
            </w:r>
          </w:p>
        </w:tc>
        <w:tc>
          <w:tcPr>
            <w:tcW w:w="1275" w:type="dxa"/>
            <w:shd w:val="clear" w:color="auto" w:fill="FFFFFF" w:themeFill="background1"/>
          </w:tcPr>
          <w:p w14:paraId="0BA7A38F"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393A51AF"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on the HSR System and how it should be used, only accessible to health professionals through the Kellogg’s Australia New Zealand Health Professional Hub on the </w:t>
            </w:r>
            <w:hyperlink r:id="rId114" w:history="1">
              <w:r w:rsidRPr="00CC1ADD">
                <w:rPr>
                  <w:rStyle w:val="Hyperlink"/>
                  <w:rFonts w:cstheme="minorHAnsi"/>
                  <w:sz w:val="20"/>
                  <w:szCs w:val="20"/>
                </w:rPr>
                <w:t>Kellogg's website</w:t>
              </w:r>
            </w:hyperlink>
            <w:r>
              <w:rPr>
                <w:rStyle w:val="Hyperlink"/>
                <w:rFonts w:cstheme="minorHAnsi"/>
                <w:sz w:val="20"/>
                <w:szCs w:val="20"/>
              </w:rPr>
              <w:t>.</w:t>
            </w:r>
          </w:p>
        </w:tc>
        <w:tc>
          <w:tcPr>
            <w:tcW w:w="1377" w:type="dxa"/>
            <w:shd w:val="clear" w:color="auto" w:fill="FFFFFF" w:themeFill="background1"/>
          </w:tcPr>
          <w:p w14:paraId="0D5C6AEA" w14:textId="77777777" w:rsidR="00752513" w:rsidRPr="00CC1ADD" w:rsidRDefault="00752513">
            <w:pPr>
              <w:spacing w:before="40" w:after="40"/>
              <w:rPr>
                <w:rFonts w:cstheme="minorHAnsi"/>
                <w:sz w:val="20"/>
                <w:szCs w:val="20"/>
              </w:rPr>
            </w:pPr>
            <w:r w:rsidRPr="00CC1ADD">
              <w:rPr>
                <w:rFonts w:cstheme="minorHAnsi"/>
                <w:sz w:val="20"/>
                <w:szCs w:val="20"/>
              </w:rPr>
              <w:t>Health professionals</w:t>
            </w:r>
          </w:p>
        </w:tc>
      </w:tr>
      <w:tr w:rsidR="00752513" w:rsidRPr="00CC1ADD" w14:paraId="55004644" w14:textId="77777777" w:rsidTr="00752513">
        <w:tc>
          <w:tcPr>
            <w:tcW w:w="1555" w:type="dxa"/>
            <w:shd w:val="clear" w:color="auto" w:fill="FFFFFF" w:themeFill="background1"/>
          </w:tcPr>
          <w:p w14:paraId="5E68EB7B" w14:textId="77777777" w:rsidR="00752513" w:rsidRPr="00CC1ADD" w:rsidRDefault="00752513" w:rsidP="005A3631">
            <w:pPr>
              <w:spacing w:before="40" w:after="40"/>
              <w:rPr>
                <w:rFonts w:cstheme="minorHAnsi"/>
                <w:sz w:val="20"/>
                <w:szCs w:val="20"/>
              </w:rPr>
            </w:pPr>
            <w:r w:rsidRPr="00CC1ADD">
              <w:rPr>
                <w:rFonts w:cstheme="minorHAnsi"/>
                <w:sz w:val="20"/>
                <w:szCs w:val="20"/>
              </w:rPr>
              <w:t>Lion</w:t>
            </w:r>
          </w:p>
        </w:tc>
        <w:tc>
          <w:tcPr>
            <w:tcW w:w="1275" w:type="dxa"/>
            <w:shd w:val="clear" w:color="auto" w:fill="FFFFFF" w:themeFill="background1"/>
          </w:tcPr>
          <w:p w14:paraId="7A1EA379"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04725857"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the company’s commitment to front-of-pack labelling including a section on </w:t>
            </w:r>
            <w:hyperlink r:id="rId115" w:history="1">
              <w:r w:rsidRPr="00CC1ADD">
                <w:rPr>
                  <w:rStyle w:val="Hyperlink"/>
                  <w:rFonts w:cstheme="minorHAnsi"/>
                  <w:sz w:val="20"/>
                  <w:szCs w:val="20"/>
                </w:rPr>
                <w:t>Lion website</w:t>
              </w:r>
            </w:hyperlink>
            <w:r w:rsidRPr="00CC1ADD">
              <w:rPr>
                <w:rFonts w:cstheme="minorHAnsi"/>
                <w:color w:val="222222"/>
                <w:sz w:val="20"/>
                <w:szCs w:val="20"/>
              </w:rPr>
              <w:t xml:space="preserve"> titled </w:t>
            </w:r>
            <w:r w:rsidRPr="00CC1ADD">
              <w:rPr>
                <w:rFonts w:cstheme="minorHAnsi"/>
                <w:i/>
                <w:iCs/>
                <w:color w:val="222222"/>
                <w:sz w:val="20"/>
                <w:szCs w:val="20"/>
              </w:rPr>
              <w:t>Reading Food Labels</w:t>
            </w:r>
            <w:r w:rsidRPr="00CC1ADD">
              <w:rPr>
                <w:rFonts w:cstheme="minorHAnsi"/>
                <w:color w:val="222222"/>
                <w:sz w:val="20"/>
                <w:szCs w:val="20"/>
              </w:rPr>
              <w:t>, with information about the HSR System.</w:t>
            </w:r>
          </w:p>
        </w:tc>
        <w:tc>
          <w:tcPr>
            <w:tcW w:w="1377" w:type="dxa"/>
            <w:shd w:val="clear" w:color="auto" w:fill="FFFFFF" w:themeFill="background1"/>
          </w:tcPr>
          <w:p w14:paraId="31B3ACF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6CA8B69D" w14:textId="77777777" w:rsidTr="00752513">
        <w:tc>
          <w:tcPr>
            <w:tcW w:w="1555" w:type="dxa"/>
            <w:shd w:val="clear" w:color="auto" w:fill="FFFFFF" w:themeFill="background1"/>
          </w:tcPr>
          <w:p w14:paraId="06948F2D" w14:textId="77777777" w:rsidR="00752513" w:rsidRPr="00CC1ADD" w:rsidRDefault="00752513" w:rsidP="005A3631">
            <w:pPr>
              <w:spacing w:before="40" w:after="40"/>
              <w:rPr>
                <w:rFonts w:cstheme="minorHAnsi"/>
                <w:sz w:val="20"/>
                <w:szCs w:val="20"/>
              </w:rPr>
            </w:pPr>
            <w:r w:rsidRPr="00CC1ADD">
              <w:rPr>
                <w:rFonts w:cstheme="minorHAnsi"/>
                <w:sz w:val="20"/>
                <w:szCs w:val="20"/>
              </w:rPr>
              <w:t>Monster Health Food</w:t>
            </w:r>
          </w:p>
        </w:tc>
        <w:tc>
          <w:tcPr>
            <w:tcW w:w="1275" w:type="dxa"/>
            <w:shd w:val="clear" w:color="auto" w:fill="FFFFFF" w:themeFill="background1"/>
          </w:tcPr>
          <w:p w14:paraId="0C45571D"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5B2BBBFD"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Online promotion of the HSR for muesli products on home page of </w:t>
            </w:r>
            <w:hyperlink r:id="rId116" w:history="1">
              <w:r w:rsidRPr="00CC1ADD">
                <w:rPr>
                  <w:rStyle w:val="Hyperlink"/>
                  <w:rFonts w:cstheme="minorHAnsi"/>
                  <w:sz w:val="20"/>
                  <w:szCs w:val="20"/>
                </w:rPr>
                <w:t>Monster Health Foods website</w:t>
              </w:r>
            </w:hyperlink>
            <w:r w:rsidRPr="00CC1ADD">
              <w:rPr>
                <w:rFonts w:cstheme="minorHAnsi"/>
                <w:color w:val="222222"/>
                <w:sz w:val="20"/>
                <w:szCs w:val="20"/>
              </w:rPr>
              <w:t xml:space="preserve"> and promotion of the value of the HSR System in </w:t>
            </w:r>
            <w:hyperlink r:id="rId117" w:history="1">
              <w:r w:rsidRPr="00CC1ADD">
                <w:rPr>
                  <w:rStyle w:val="Hyperlink"/>
                  <w:rFonts w:cstheme="minorHAnsi"/>
                  <w:sz w:val="20"/>
                  <w:szCs w:val="20"/>
                </w:rPr>
                <w:t>media coverage</w:t>
              </w:r>
            </w:hyperlink>
            <w:r>
              <w:rPr>
                <w:rFonts w:cstheme="minorHAnsi"/>
                <w:color w:val="222222"/>
                <w:sz w:val="20"/>
                <w:szCs w:val="20"/>
              </w:rPr>
              <w:t>.</w:t>
            </w:r>
          </w:p>
        </w:tc>
        <w:tc>
          <w:tcPr>
            <w:tcW w:w="1377" w:type="dxa"/>
            <w:shd w:val="clear" w:color="auto" w:fill="FFFFFF" w:themeFill="background1"/>
          </w:tcPr>
          <w:p w14:paraId="37D7CB8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62B3F01E" w14:textId="77777777" w:rsidTr="00752513">
        <w:tc>
          <w:tcPr>
            <w:tcW w:w="1555" w:type="dxa"/>
            <w:shd w:val="clear" w:color="auto" w:fill="FFFFFF" w:themeFill="background1"/>
          </w:tcPr>
          <w:p w14:paraId="1F728F70" w14:textId="77777777" w:rsidR="00752513" w:rsidRPr="00CC1ADD" w:rsidRDefault="00752513" w:rsidP="005A3631">
            <w:pPr>
              <w:spacing w:before="40" w:after="40"/>
              <w:rPr>
                <w:rFonts w:cstheme="minorHAnsi"/>
                <w:sz w:val="20"/>
                <w:szCs w:val="20"/>
              </w:rPr>
            </w:pPr>
            <w:r w:rsidRPr="00CC1ADD">
              <w:rPr>
                <w:rFonts w:cstheme="minorHAnsi"/>
                <w:sz w:val="20"/>
                <w:szCs w:val="20"/>
              </w:rPr>
              <w:t>Nestle</w:t>
            </w:r>
          </w:p>
        </w:tc>
        <w:tc>
          <w:tcPr>
            <w:tcW w:w="1275" w:type="dxa"/>
            <w:shd w:val="clear" w:color="auto" w:fill="FFFFFF" w:themeFill="background1"/>
          </w:tcPr>
          <w:p w14:paraId="08F56C78"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15245DC6" w14:textId="77777777" w:rsidR="00752513" w:rsidRDefault="00752513" w:rsidP="005A25A2">
            <w:pPr>
              <w:spacing w:before="40" w:after="40"/>
              <w:rPr>
                <w:rFonts w:cstheme="minorHAnsi"/>
                <w:color w:val="222222"/>
                <w:sz w:val="20"/>
                <w:szCs w:val="20"/>
              </w:rPr>
            </w:pPr>
            <w:r w:rsidRPr="00CC1ADD">
              <w:rPr>
                <w:rFonts w:cstheme="minorHAnsi"/>
                <w:color w:val="222222"/>
                <w:sz w:val="20"/>
                <w:szCs w:val="20"/>
              </w:rPr>
              <w:t xml:space="preserve">Online promotion of ways to understand and use the HSR when shopping on the </w:t>
            </w:r>
            <w:hyperlink r:id="rId118" w:history="1">
              <w:r w:rsidRPr="00CC1ADD">
                <w:rPr>
                  <w:rStyle w:val="Hyperlink"/>
                  <w:rFonts w:cstheme="minorHAnsi"/>
                  <w:sz w:val="20"/>
                  <w:szCs w:val="20"/>
                </w:rPr>
                <w:t>Nestle website</w:t>
              </w:r>
            </w:hyperlink>
            <w:r>
              <w:rPr>
                <w:rFonts w:cstheme="minorHAnsi"/>
                <w:color w:val="222222"/>
                <w:sz w:val="20"/>
                <w:szCs w:val="20"/>
              </w:rPr>
              <w:t>.</w:t>
            </w:r>
          </w:p>
          <w:p w14:paraId="4A4EF496" w14:textId="364465E1" w:rsidR="00612D78" w:rsidRPr="00CC1ADD" w:rsidRDefault="00612D78" w:rsidP="00612D78">
            <w:pPr>
              <w:spacing w:before="40" w:after="40"/>
              <w:rPr>
                <w:rFonts w:cstheme="minorHAnsi"/>
                <w:color w:val="222222"/>
                <w:sz w:val="20"/>
                <w:szCs w:val="20"/>
              </w:rPr>
            </w:pPr>
            <w:r>
              <w:rPr>
                <w:rFonts w:cstheme="minorHAnsi"/>
                <w:color w:val="222222"/>
                <w:sz w:val="20"/>
                <w:szCs w:val="20"/>
              </w:rPr>
              <w:t>Provision of consumer support materials for dietitians, including HSR pocket cards, postures and brochures.</w:t>
            </w:r>
          </w:p>
        </w:tc>
        <w:tc>
          <w:tcPr>
            <w:tcW w:w="1377" w:type="dxa"/>
            <w:shd w:val="clear" w:color="auto" w:fill="FFFFFF" w:themeFill="background1"/>
          </w:tcPr>
          <w:p w14:paraId="5209F2C9" w14:textId="1CFBC0E4" w:rsidR="00752513" w:rsidRPr="00CC1ADD" w:rsidRDefault="00752513">
            <w:pPr>
              <w:spacing w:before="40" w:after="40"/>
              <w:rPr>
                <w:rFonts w:cstheme="minorHAnsi"/>
                <w:sz w:val="20"/>
                <w:szCs w:val="20"/>
              </w:rPr>
            </w:pPr>
            <w:r w:rsidRPr="00CC1ADD">
              <w:rPr>
                <w:rFonts w:cstheme="minorHAnsi"/>
                <w:sz w:val="20"/>
                <w:szCs w:val="20"/>
              </w:rPr>
              <w:t>Consumers</w:t>
            </w:r>
            <w:r w:rsidR="00612D78">
              <w:rPr>
                <w:rFonts w:cstheme="minorHAnsi"/>
                <w:sz w:val="20"/>
                <w:szCs w:val="20"/>
              </w:rPr>
              <w:t xml:space="preserve"> and health professionals</w:t>
            </w:r>
          </w:p>
        </w:tc>
      </w:tr>
      <w:tr w:rsidR="00F93322" w:rsidRPr="00CC1ADD" w14:paraId="5457665D" w14:textId="77777777" w:rsidTr="00752513">
        <w:tc>
          <w:tcPr>
            <w:tcW w:w="1555" w:type="dxa"/>
            <w:shd w:val="clear" w:color="auto" w:fill="FFFFFF" w:themeFill="background1"/>
          </w:tcPr>
          <w:p w14:paraId="76CC4AF6" w14:textId="0F212757" w:rsidR="00F93322" w:rsidRDefault="00F93322" w:rsidP="00F93322">
            <w:pPr>
              <w:spacing w:before="40" w:after="40"/>
              <w:rPr>
                <w:rFonts w:cstheme="minorHAnsi"/>
                <w:sz w:val="20"/>
                <w:szCs w:val="20"/>
              </w:rPr>
            </w:pPr>
            <w:r>
              <w:rPr>
                <w:rFonts w:cstheme="minorHAnsi"/>
                <w:sz w:val="20"/>
                <w:szCs w:val="20"/>
              </w:rPr>
              <w:t>New Zealand Food and Grocery Council</w:t>
            </w:r>
          </w:p>
        </w:tc>
        <w:tc>
          <w:tcPr>
            <w:tcW w:w="1275" w:type="dxa"/>
            <w:shd w:val="clear" w:color="auto" w:fill="FFFFFF" w:themeFill="background1"/>
          </w:tcPr>
          <w:p w14:paraId="1664BAC7" w14:textId="35685CDF" w:rsidR="00F93322" w:rsidRDefault="00F93322" w:rsidP="00F9332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315E1E10" w14:textId="34BFC8FA" w:rsidR="00F93322" w:rsidRDefault="00F93322" w:rsidP="00F93322">
            <w:pPr>
              <w:spacing w:before="40" w:after="40"/>
              <w:rPr>
                <w:rFonts w:cstheme="minorHAnsi"/>
                <w:color w:val="222222"/>
                <w:sz w:val="20"/>
                <w:szCs w:val="20"/>
              </w:rPr>
            </w:pPr>
            <w:r>
              <w:rPr>
                <w:rFonts w:cstheme="minorHAnsi"/>
                <w:color w:val="222222"/>
                <w:sz w:val="20"/>
                <w:szCs w:val="20"/>
              </w:rPr>
              <w:t xml:space="preserve">Provision of information about the HSR System on the </w:t>
            </w:r>
            <w:hyperlink r:id="rId119" w:history="1">
              <w:r w:rsidRPr="00F93322">
                <w:rPr>
                  <w:rStyle w:val="Hyperlink"/>
                  <w:rFonts w:cstheme="minorHAnsi"/>
                  <w:sz w:val="20"/>
                  <w:szCs w:val="20"/>
                </w:rPr>
                <w:t>New Zealand Food and Grocery Council website</w:t>
              </w:r>
            </w:hyperlink>
            <w:r>
              <w:rPr>
                <w:rFonts w:cstheme="minorHAnsi"/>
                <w:color w:val="222222"/>
                <w:sz w:val="20"/>
                <w:szCs w:val="20"/>
              </w:rPr>
              <w:t>.</w:t>
            </w:r>
          </w:p>
        </w:tc>
        <w:tc>
          <w:tcPr>
            <w:tcW w:w="1377" w:type="dxa"/>
            <w:shd w:val="clear" w:color="auto" w:fill="FFFFFF" w:themeFill="background1"/>
          </w:tcPr>
          <w:p w14:paraId="02B42761" w14:textId="46C63BCF" w:rsidR="00F93322" w:rsidRDefault="00F93322" w:rsidP="00F93322">
            <w:pPr>
              <w:spacing w:before="40" w:after="40"/>
              <w:rPr>
                <w:rFonts w:cstheme="minorHAnsi"/>
                <w:sz w:val="20"/>
                <w:szCs w:val="20"/>
              </w:rPr>
            </w:pPr>
            <w:r>
              <w:rPr>
                <w:rFonts w:cstheme="minorHAnsi"/>
                <w:sz w:val="20"/>
                <w:szCs w:val="20"/>
              </w:rPr>
              <w:t>Consumers and industry</w:t>
            </w:r>
          </w:p>
        </w:tc>
      </w:tr>
      <w:tr w:rsidR="00F93322" w:rsidRPr="00CC1ADD" w14:paraId="7014EA62" w14:textId="77777777" w:rsidTr="00752513">
        <w:tc>
          <w:tcPr>
            <w:tcW w:w="1555" w:type="dxa"/>
            <w:shd w:val="clear" w:color="auto" w:fill="FFFFFF" w:themeFill="background1"/>
          </w:tcPr>
          <w:p w14:paraId="5CA8E3CE" w14:textId="0CB1BD45" w:rsidR="00F93322" w:rsidRPr="00CC1ADD" w:rsidRDefault="00F93322" w:rsidP="00F93322">
            <w:pPr>
              <w:spacing w:before="40" w:after="40"/>
              <w:rPr>
                <w:rFonts w:cstheme="minorHAnsi"/>
                <w:sz w:val="20"/>
                <w:szCs w:val="20"/>
              </w:rPr>
            </w:pPr>
            <w:r>
              <w:rPr>
                <w:rFonts w:cstheme="minorHAnsi"/>
                <w:sz w:val="20"/>
                <w:szCs w:val="20"/>
              </w:rPr>
              <w:t>New Zealand Beverage Council</w:t>
            </w:r>
          </w:p>
        </w:tc>
        <w:tc>
          <w:tcPr>
            <w:tcW w:w="1275" w:type="dxa"/>
            <w:shd w:val="clear" w:color="auto" w:fill="FFFFFF" w:themeFill="background1"/>
          </w:tcPr>
          <w:p w14:paraId="56385058" w14:textId="142F399C" w:rsidR="00F93322" w:rsidRPr="00CC1ADD" w:rsidRDefault="00F93322" w:rsidP="00F9332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496F1922" w14:textId="40A4C7E2" w:rsidR="00F93322" w:rsidRPr="00CC1ADD" w:rsidRDefault="00F93322" w:rsidP="00F93322">
            <w:pPr>
              <w:spacing w:before="40" w:after="40"/>
              <w:rPr>
                <w:rFonts w:cstheme="minorHAnsi"/>
                <w:color w:val="222222"/>
                <w:sz w:val="20"/>
                <w:szCs w:val="20"/>
              </w:rPr>
            </w:pPr>
            <w:r>
              <w:rPr>
                <w:rFonts w:cstheme="minorHAnsi"/>
                <w:color w:val="222222"/>
                <w:sz w:val="20"/>
                <w:szCs w:val="20"/>
              </w:rPr>
              <w:t xml:space="preserve">Provision of information on the </w:t>
            </w:r>
            <w:hyperlink r:id="rId120" w:history="1">
              <w:r w:rsidRPr="00F93322">
                <w:rPr>
                  <w:rStyle w:val="Hyperlink"/>
                  <w:rFonts w:cstheme="minorHAnsi"/>
                  <w:sz w:val="20"/>
                  <w:szCs w:val="20"/>
                </w:rPr>
                <w:t>New Zealand Beverage Council website</w:t>
              </w:r>
            </w:hyperlink>
            <w:r>
              <w:rPr>
                <w:rFonts w:cstheme="minorHAnsi"/>
                <w:color w:val="222222"/>
                <w:sz w:val="20"/>
                <w:szCs w:val="20"/>
              </w:rPr>
              <w:t>.</w:t>
            </w:r>
          </w:p>
        </w:tc>
        <w:tc>
          <w:tcPr>
            <w:tcW w:w="1377" w:type="dxa"/>
            <w:shd w:val="clear" w:color="auto" w:fill="FFFFFF" w:themeFill="background1"/>
          </w:tcPr>
          <w:p w14:paraId="46240D09" w14:textId="2DF6F1D1" w:rsidR="00F93322" w:rsidRPr="00CC1ADD" w:rsidRDefault="00F93322" w:rsidP="00F93322">
            <w:pPr>
              <w:spacing w:before="40" w:after="40"/>
              <w:rPr>
                <w:rFonts w:cstheme="minorHAnsi"/>
                <w:sz w:val="20"/>
                <w:szCs w:val="20"/>
              </w:rPr>
            </w:pPr>
            <w:r>
              <w:rPr>
                <w:rFonts w:cstheme="minorHAnsi"/>
                <w:sz w:val="20"/>
                <w:szCs w:val="20"/>
              </w:rPr>
              <w:t>Consumers</w:t>
            </w:r>
          </w:p>
        </w:tc>
      </w:tr>
      <w:tr w:rsidR="00F93322" w:rsidRPr="00CC1ADD" w14:paraId="3A2E9455" w14:textId="77777777" w:rsidTr="00752513">
        <w:tc>
          <w:tcPr>
            <w:tcW w:w="1555" w:type="dxa"/>
            <w:shd w:val="clear" w:color="auto" w:fill="FFFFFF" w:themeFill="background1"/>
          </w:tcPr>
          <w:p w14:paraId="32EE2C26" w14:textId="0EC13192" w:rsidR="00F93322" w:rsidRPr="00CC1ADD" w:rsidRDefault="00F93322" w:rsidP="00F93322">
            <w:pPr>
              <w:spacing w:before="40" w:after="40"/>
              <w:rPr>
                <w:rFonts w:cstheme="minorHAnsi"/>
                <w:sz w:val="20"/>
                <w:szCs w:val="20"/>
              </w:rPr>
            </w:pPr>
            <w:r>
              <w:rPr>
                <w:rFonts w:cstheme="minorHAnsi"/>
                <w:sz w:val="20"/>
                <w:szCs w:val="20"/>
              </w:rPr>
              <w:t>NZ Sugar</w:t>
            </w:r>
          </w:p>
        </w:tc>
        <w:tc>
          <w:tcPr>
            <w:tcW w:w="1275" w:type="dxa"/>
            <w:shd w:val="clear" w:color="auto" w:fill="FFFFFF" w:themeFill="background1"/>
          </w:tcPr>
          <w:p w14:paraId="76207FB3" w14:textId="55FD9B0D" w:rsidR="00F93322" w:rsidRPr="00CC1ADD" w:rsidRDefault="00F93322" w:rsidP="00F93322">
            <w:pPr>
              <w:spacing w:before="40" w:after="40"/>
              <w:rPr>
                <w:rFonts w:cstheme="minorHAnsi"/>
                <w:sz w:val="20"/>
                <w:szCs w:val="20"/>
              </w:rPr>
            </w:pPr>
            <w:r>
              <w:rPr>
                <w:rFonts w:cstheme="minorHAnsi"/>
                <w:sz w:val="20"/>
                <w:szCs w:val="20"/>
              </w:rPr>
              <w:t>New Zealand</w:t>
            </w:r>
          </w:p>
        </w:tc>
        <w:tc>
          <w:tcPr>
            <w:tcW w:w="5529" w:type="dxa"/>
            <w:shd w:val="clear" w:color="auto" w:fill="FFFFFF" w:themeFill="background1"/>
          </w:tcPr>
          <w:p w14:paraId="57CFE452" w14:textId="14492460" w:rsidR="00F93322" w:rsidRPr="005D75D3" w:rsidRDefault="00F93322" w:rsidP="005D75D3">
            <w:pPr>
              <w:pStyle w:val="mpcNormal"/>
              <w:rPr>
                <w:sz w:val="24"/>
                <w:szCs w:val="24"/>
              </w:rPr>
            </w:pPr>
            <w:r w:rsidRPr="005D75D3">
              <w:rPr>
                <w:sz w:val="20"/>
              </w:rPr>
              <w:t>Provision of news and articles relating to the HSR System through the Sugar Research Advisory Service.</w:t>
            </w:r>
          </w:p>
        </w:tc>
        <w:tc>
          <w:tcPr>
            <w:tcW w:w="1377" w:type="dxa"/>
            <w:shd w:val="clear" w:color="auto" w:fill="FFFFFF" w:themeFill="background1"/>
          </w:tcPr>
          <w:p w14:paraId="5D770603" w14:textId="3BDDE4B5" w:rsidR="00F93322" w:rsidRPr="00CC1ADD" w:rsidRDefault="00F93322" w:rsidP="00F93322">
            <w:pPr>
              <w:spacing w:before="40" w:after="40"/>
              <w:rPr>
                <w:rFonts w:cstheme="minorHAnsi"/>
                <w:sz w:val="20"/>
                <w:szCs w:val="20"/>
              </w:rPr>
            </w:pPr>
            <w:r w:rsidRPr="00CC1ADD">
              <w:rPr>
                <w:rFonts w:cstheme="minorHAnsi"/>
                <w:sz w:val="20"/>
                <w:szCs w:val="20"/>
              </w:rPr>
              <w:t>Consumers</w:t>
            </w:r>
            <w:r>
              <w:rPr>
                <w:rFonts w:cstheme="minorHAnsi"/>
                <w:sz w:val="20"/>
                <w:szCs w:val="20"/>
              </w:rPr>
              <w:t xml:space="preserve"> and health professionals</w:t>
            </w:r>
          </w:p>
        </w:tc>
      </w:tr>
      <w:tr w:rsidR="00F93322" w:rsidRPr="00CC1ADD" w14:paraId="74BDACFC" w14:textId="77777777" w:rsidTr="00752513">
        <w:tc>
          <w:tcPr>
            <w:tcW w:w="1555" w:type="dxa"/>
            <w:shd w:val="clear" w:color="auto" w:fill="FFFFFF" w:themeFill="background1"/>
          </w:tcPr>
          <w:p w14:paraId="2C0FACB4" w14:textId="77777777" w:rsidR="00F93322" w:rsidRPr="00CC1ADD" w:rsidRDefault="00F93322" w:rsidP="00F93322">
            <w:pPr>
              <w:spacing w:before="40" w:after="40"/>
              <w:rPr>
                <w:rFonts w:cstheme="minorHAnsi"/>
                <w:sz w:val="20"/>
                <w:szCs w:val="20"/>
              </w:rPr>
            </w:pPr>
            <w:r w:rsidRPr="00CC1ADD">
              <w:rPr>
                <w:rFonts w:cstheme="minorHAnsi"/>
                <w:sz w:val="20"/>
                <w:szCs w:val="20"/>
              </w:rPr>
              <w:t>Pepsico</w:t>
            </w:r>
          </w:p>
        </w:tc>
        <w:tc>
          <w:tcPr>
            <w:tcW w:w="1275" w:type="dxa"/>
            <w:shd w:val="clear" w:color="auto" w:fill="FFFFFF" w:themeFill="background1"/>
          </w:tcPr>
          <w:p w14:paraId="70614E41"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6003FDC9"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a statement supporting the HSR System on </w:t>
            </w:r>
            <w:hyperlink r:id="rId121" w:history="1">
              <w:r w:rsidRPr="00CC1ADD">
                <w:rPr>
                  <w:rStyle w:val="Hyperlink"/>
                  <w:rFonts w:cstheme="minorHAnsi"/>
                  <w:sz w:val="20"/>
                  <w:szCs w:val="20"/>
                </w:rPr>
                <w:t>Pepsico website</w:t>
              </w:r>
            </w:hyperlink>
            <w:r w:rsidRPr="00CC1ADD">
              <w:rPr>
                <w:rFonts w:cstheme="minorHAnsi"/>
                <w:color w:val="222222"/>
                <w:sz w:val="20"/>
                <w:szCs w:val="20"/>
              </w:rPr>
              <w:t xml:space="preserve"> including links to downloadable lists of the HSRs for</w:t>
            </w:r>
            <w:r>
              <w:rPr>
                <w:rFonts w:cstheme="minorHAnsi"/>
                <w:color w:val="222222"/>
                <w:sz w:val="20"/>
                <w:szCs w:val="20"/>
              </w:rPr>
              <w:t xml:space="preserve"> </w:t>
            </w:r>
            <w:r w:rsidRPr="00CC1ADD">
              <w:rPr>
                <w:rFonts w:cstheme="minorHAnsi"/>
                <w:color w:val="222222"/>
                <w:sz w:val="20"/>
                <w:szCs w:val="20"/>
              </w:rPr>
              <w:t xml:space="preserve">Australian and New Zealand </w:t>
            </w:r>
            <w:r>
              <w:rPr>
                <w:rFonts w:cstheme="minorHAnsi"/>
                <w:color w:val="222222"/>
                <w:sz w:val="20"/>
                <w:szCs w:val="20"/>
              </w:rPr>
              <w:t>s</w:t>
            </w:r>
            <w:r w:rsidRPr="00CC1ADD">
              <w:rPr>
                <w:rFonts w:cstheme="minorHAnsi"/>
                <w:color w:val="222222"/>
                <w:sz w:val="20"/>
                <w:szCs w:val="20"/>
              </w:rPr>
              <w:t>nacks.</w:t>
            </w:r>
          </w:p>
        </w:tc>
        <w:tc>
          <w:tcPr>
            <w:tcW w:w="1377" w:type="dxa"/>
            <w:shd w:val="clear" w:color="auto" w:fill="FFFFFF" w:themeFill="background1"/>
          </w:tcPr>
          <w:p w14:paraId="142BF0B3"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2843C584" w14:textId="77777777" w:rsidTr="00752513">
        <w:tc>
          <w:tcPr>
            <w:tcW w:w="1555" w:type="dxa"/>
            <w:shd w:val="clear" w:color="auto" w:fill="FFFFFF" w:themeFill="background1"/>
          </w:tcPr>
          <w:p w14:paraId="2BA234F6" w14:textId="77777777" w:rsidR="00F93322" w:rsidRPr="00CC1ADD" w:rsidRDefault="00F93322" w:rsidP="00F93322">
            <w:pPr>
              <w:spacing w:before="40" w:after="40"/>
              <w:rPr>
                <w:rFonts w:cstheme="minorHAnsi"/>
                <w:sz w:val="20"/>
                <w:szCs w:val="20"/>
              </w:rPr>
            </w:pPr>
            <w:r w:rsidRPr="00CC1ADD">
              <w:rPr>
                <w:rFonts w:cstheme="minorHAnsi"/>
                <w:sz w:val="20"/>
                <w:szCs w:val="20"/>
              </w:rPr>
              <w:t>Pic’s Peanut butter</w:t>
            </w:r>
          </w:p>
        </w:tc>
        <w:tc>
          <w:tcPr>
            <w:tcW w:w="1275" w:type="dxa"/>
            <w:shd w:val="clear" w:color="auto" w:fill="FFFFFF" w:themeFill="background1"/>
          </w:tcPr>
          <w:p w14:paraId="08D68D20"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29F0AA3E"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Online promotion of visual images of HSR on products on </w:t>
            </w:r>
            <w:hyperlink r:id="rId122" w:history="1">
              <w:r w:rsidRPr="00CC1ADD">
                <w:rPr>
                  <w:rStyle w:val="Hyperlink"/>
                  <w:rFonts w:cstheme="minorHAnsi"/>
                  <w:sz w:val="20"/>
                  <w:szCs w:val="20"/>
                </w:rPr>
                <w:t>Pic’s Peanut butter website</w:t>
              </w:r>
            </w:hyperlink>
            <w:r>
              <w:rPr>
                <w:rStyle w:val="Hyperlink"/>
                <w:rFonts w:cstheme="minorHAnsi"/>
                <w:sz w:val="20"/>
                <w:szCs w:val="20"/>
              </w:rPr>
              <w:t>.</w:t>
            </w:r>
          </w:p>
        </w:tc>
        <w:tc>
          <w:tcPr>
            <w:tcW w:w="1377" w:type="dxa"/>
            <w:shd w:val="clear" w:color="auto" w:fill="FFFFFF" w:themeFill="background1"/>
          </w:tcPr>
          <w:p w14:paraId="10BFC70C"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0C2E36A4" w14:textId="77777777" w:rsidTr="00752513">
        <w:tc>
          <w:tcPr>
            <w:tcW w:w="1555" w:type="dxa"/>
            <w:shd w:val="clear" w:color="auto" w:fill="FFFFFF" w:themeFill="background1"/>
          </w:tcPr>
          <w:p w14:paraId="4AFD2E99" w14:textId="77777777" w:rsidR="00F93322" w:rsidRPr="00CC1ADD" w:rsidRDefault="00F93322" w:rsidP="00F93322">
            <w:pPr>
              <w:spacing w:before="40" w:after="40"/>
              <w:rPr>
                <w:rFonts w:cstheme="minorHAnsi"/>
                <w:sz w:val="20"/>
                <w:szCs w:val="20"/>
              </w:rPr>
            </w:pPr>
            <w:r w:rsidRPr="00CC1ADD">
              <w:rPr>
                <w:rFonts w:cstheme="minorHAnsi"/>
                <w:sz w:val="20"/>
                <w:szCs w:val="20"/>
              </w:rPr>
              <w:t xml:space="preserve">Sanitarium </w:t>
            </w:r>
          </w:p>
        </w:tc>
        <w:tc>
          <w:tcPr>
            <w:tcW w:w="1275" w:type="dxa"/>
            <w:shd w:val="clear" w:color="auto" w:fill="FFFFFF" w:themeFill="background1"/>
          </w:tcPr>
          <w:p w14:paraId="6DF16EA8"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622F2362" w14:textId="767764F9" w:rsidR="00F93322" w:rsidRPr="00CC1ADD" w:rsidRDefault="00F93322">
            <w:pPr>
              <w:spacing w:before="40" w:after="40"/>
              <w:rPr>
                <w:rFonts w:cstheme="minorHAnsi"/>
                <w:color w:val="222222"/>
                <w:sz w:val="20"/>
                <w:szCs w:val="20"/>
              </w:rPr>
            </w:pPr>
            <w:r w:rsidRPr="00CC1ADD">
              <w:rPr>
                <w:rFonts w:cstheme="minorHAnsi"/>
                <w:color w:val="222222"/>
                <w:sz w:val="20"/>
                <w:szCs w:val="20"/>
              </w:rPr>
              <w:t>Online promotion including information about the HSR</w:t>
            </w:r>
            <w:r>
              <w:rPr>
                <w:rFonts w:cstheme="minorHAnsi"/>
                <w:color w:val="222222"/>
                <w:sz w:val="20"/>
                <w:szCs w:val="20"/>
              </w:rPr>
              <w:t>, articles</w:t>
            </w:r>
            <w:r w:rsidRPr="00CC1ADD">
              <w:rPr>
                <w:rFonts w:cstheme="minorHAnsi"/>
                <w:color w:val="222222"/>
                <w:sz w:val="20"/>
                <w:szCs w:val="20"/>
              </w:rPr>
              <w:t xml:space="preserve"> and a video explaining how the HSR relates to the company’s products on </w:t>
            </w:r>
            <w:hyperlink r:id="rId123" w:history="1">
              <w:r w:rsidRPr="00CC1ADD">
                <w:rPr>
                  <w:rStyle w:val="Hyperlink"/>
                  <w:rFonts w:cstheme="minorHAnsi"/>
                  <w:sz w:val="20"/>
                  <w:szCs w:val="20"/>
                </w:rPr>
                <w:t>Sanitarium website</w:t>
              </w:r>
            </w:hyperlink>
            <w:r>
              <w:rPr>
                <w:rFonts w:cstheme="minorHAnsi"/>
                <w:color w:val="222222"/>
                <w:sz w:val="20"/>
                <w:szCs w:val="20"/>
              </w:rPr>
              <w:t>.</w:t>
            </w:r>
          </w:p>
        </w:tc>
        <w:tc>
          <w:tcPr>
            <w:tcW w:w="1377" w:type="dxa"/>
            <w:shd w:val="clear" w:color="auto" w:fill="FFFFFF" w:themeFill="background1"/>
          </w:tcPr>
          <w:p w14:paraId="456D4649"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3EE48F33" w14:textId="77777777" w:rsidTr="00752513">
        <w:tc>
          <w:tcPr>
            <w:tcW w:w="1555" w:type="dxa"/>
            <w:shd w:val="clear" w:color="auto" w:fill="FFFFFF" w:themeFill="background1"/>
          </w:tcPr>
          <w:p w14:paraId="63F2D611" w14:textId="77777777" w:rsidR="00F93322" w:rsidRPr="00CC1ADD" w:rsidRDefault="00F93322" w:rsidP="00F93322">
            <w:pPr>
              <w:spacing w:before="40" w:after="40"/>
              <w:rPr>
                <w:rFonts w:cstheme="minorHAnsi"/>
                <w:sz w:val="20"/>
                <w:szCs w:val="20"/>
              </w:rPr>
            </w:pPr>
            <w:r w:rsidRPr="00CC1ADD">
              <w:rPr>
                <w:rFonts w:cstheme="minorHAnsi"/>
                <w:sz w:val="20"/>
                <w:szCs w:val="20"/>
              </w:rPr>
              <w:t>Simplot</w:t>
            </w:r>
          </w:p>
        </w:tc>
        <w:tc>
          <w:tcPr>
            <w:tcW w:w="1275" w:type="dxa"/>
            <w:shd w:val="clear" w:color="auto" w:fill="FFFFFF" w:themeFill="background1"/>
          </w:tcPr>
          <w:p w14:paraId="760B359F"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271500BC"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information about the HSR, including statement that HSR icon to appear on all products available in retail outlets on </w:t>
            </w:r>
            <w:hyperlink r:id="rId124" w:history="1">
              <w:r w:rsidRPr="00CC1ADD">
                <w:rPr>
                  <w:rStyle w:val="Hyperlink"/>
                  <w:rFonts w:cstheme="minorHAnsi"/>
                  <w:sz w:val="20"/>
                  <w:szCs w:val="20"/>
                </w:rPr>
                <w:t>Simplot website</w:t>
              </w:r>
            </w:hyperlink>
            <w:r>
              <w:rPr>
                <w:rStyle w:val="Hyperlink"/>
                <w:rFonts w:cstheme="minorHAnsi"/>
                <w:sz w:val="20"/>
                <w:szCs w:val="20"/>
              </w:rPr>
              <w:t>.</w:t>
            </w:r>
          </w:p>
        </w:tc>
        <w:tc>
          <w:tcPr>
            <w:tcW w:w="1377" w:type="dxa"/>
            <w:shd w:val="clear" w:color="auto" w:fill="FFFFFF" w:themeFill="background1"/>
          </w:tcPr>
          <w:p w14:paraId="6BC9FC65"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6B2F7D95" w14:textId="77777777" w:rsidTr="00752513">
        <w:tc>
          <w:tcPr>
            <w:tcW w:w="1555" w:type="dxa"/>
            <w:shd w:val="clear" w:color="auto" w:fill="FFFFFF" w:themeFill="background1"/>
          </w:tcPr>
          <w:p w14:paraId="61566F91" w14:textId="77777777" w:rsidR="00F93322" w:rsidRPr="00CC1ADD" w:rsidRDefault="00F93322" w:rsidP="00F93322">
            <w:pPr>
              <w:spacing w:before="40" w:after="40"/>
              <w:rPr>
                <w:rFonts w:cstheme="minorHAnsi"/>
                <w:sz w:val="20"/>
                <w:szCs w:val="20"/>
              </w:rPr>
            </w:pPr>
            <w:r w:rsidRPr="00CC1ADD">
              <w:rPr>
                <w:rFonts w:cstheme="minorHAnsi"/>
                <w:sz w:val="20"/>
                <w:szCs w:val="20"/>
              </w:rPr>
              <w:t>Tegel</w:t>
            </w:r>
          </w:p>
        </w:tc>
        <w:tc>
          <w:tcPr>
            <w:tcW w:w="1275" w:type="dxa"/>
            <w:shd w:val="clear" w:color="auto" w:fill="FFFFFF" w:themeFill="background1"/>
          </w:tcPr>
          <w:p w14:paraId="4C02F7EC" w14:textId="77777777" w:rsidR="00F93322" w:rsidRPr="00CC1ADD" w:rsidRDefault="00F93322">
            <w:pPr>
              <w:spacing w:before="40" w:after="40"/>
              <w:rPr>
                <w:rFonts w:cstheme="minorHAnsi"/>
                <w:sz w:val="20"/>
                <w:szCs w:val="20"/>
              </w:rPr>
            </w:pPr>
            <w:r w:rsidRPr="00CC1ADD">
              <w:rPr>
                <w:rFonts w:cstheme="minorHAnsi"/>
                <w:sz w:val="20"/>
                <w:szCs w:val="20"/>
              </w:rPr>
              <w:t>New Zealand</w:t>
            </w:r>
          </w:p>
        </w:tc>
        <w:tc>
          <w:tcPr>
            <w:tcW w:w="5529" w:type="dxa"/>
            <w:shd w:val="clear" w:color="auto" w:fill="FFFFFF" w:themeFill="background1"/>
          </w:tcPr>
          <w:p w14:paraId="28EE084E"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Online promotion of inclusion of HSR on all packaged chicken and turkey products on </w:t>
            </w:r>
            <w:hyperlink r:id="rId125" w:history="1">
              <w:r w:rsidRPr="00CC1ADD">
                <w:rPr>
                  <w:rStyle w:val="Hyperlink"/>
                  <w:rFonts w:cstheme="minorHAnsi"/>
                  <w:sz w:val="20"/>
                  <w:szCs w:val="20"/>
                </w:rPr>
                <w:t>Tegel website</w:t>
              </w:r>
            </w:hyperlink>
            <w:r>
              <w:rPr>
                <w:rStyle w:val="Hyperlink"/>
                <w:rFonts w:cstheme="minorHAnsi"/>
                <w:sz w:val="20"/>
                <w:szCs w:val="20"/>
              </w:rPr>
              <w:t>.</w:t>
            </w:r>
          </w:p>
        </w:tc>
        <w:tc>
          <w:tcPr>
            <w:tcW w:w="1377" w:type="dxa"/>
            <w:shd w:val="clear" w:color="auto" w:fill="FFFFFF" w:themeFill="background1"/>
          </w:tcPr>
          <w:p w14:paraId="4EC15D92"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062AF493" w14:textId="77777777" w:rsidTr="00752513">
        <w:tc>
          <w:tcPr>
            <w:tcW w:w="1555" w:type="dxa"/>
            <w:shd w:val="clear" w:color="auto" w:fill="FFFFFF" w:themeFill="background1"/>
          </w:tcPr>
          <w:p w14:paraId="17F1AB47" w14:textId="77777777" w:rsidR="00F93322" w:rsidRPr="00CC1ADD" w:rsidRDefault="00F93322" w:rsidP="00F93322">
            <w:pPr>
              <w:spacing w:before="40" w:after="40"/>
              <w:rPr>
                <w:rFonts w:cstheme="minorHAnsi"/>
                <w:sz w:val="20"/>
                <w:szCs w:val="20"/>
              </w:rPr>
            </w:pPr>
            <w:r w:rsidRPr="00CC1ADD">
              <w:rPr>
                <w:rFonts w:cstheme="minorHAnsi"/>
                <w:sz w:val="20"/>
                <w:szCs w:val="20"/>
              </w:rPr>
              <w:t>The Happy Snack Company</w:t>
            </w:r>
          </w:p>
        </w:tc>
        <w:tc>
          <w:tcPr>
            <w:tcW w:w="1275" w:type="dxa"/>
            <w:shd w:val="clear" w:color="auto" w:fill="FFFFFF" w:themeFill="background1"/>
          </w:tcPr>
          <w:p w14:paraId="2D4476DF"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369105B4"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information about what the HSR is and why their products receive 5 stars on </w:t>
            </w:r>
            <w:hyperlink r:id="rId126" w:history="1">
              <w:r w:rsidRPr="00CC1ADD">
                <w:rPr>
                  <w:rStyle w:val="Hyperlink"/>
                  <w:rFonts w:cstheme="minorHAnsi"/>
                  <w:sz w:val="20"/>
                  <w:szCs w:val="20"/>
                </w:rPr>
                <w:t>The Happy Snack Company website</w:t>
              </w:r>
            </w:hyperlink>
            <w:r>
              <w:rPr>
                <w:rStyle w:val="Hyperlink"/>
                <w:rFonts w:cstheme="minorHAnsi"/>
                <w:sz w:val="20"/>
                <w:szCs w:val="20"/>
              </w:rPr>
              <w:t>.</w:t>
            </w:r>
          </w:p>
        </w:tc>
        <w:tc>
          <w:tcPr>
            <w:tcW w:w="1377" w:type="dxa"/>
            <w:shd w:val="clear" w:color="auto" w:fill="FFFFFF" w:themeFill="background1"/>
          </w:tcPr>
          <w:p w14:paraId="7494A92C"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65C78C33" w14:textId="77777777" w:rsidTr="00752513">
        <w:tc>
          <w:tcPr>
            <w:tcW w:w="1555" w:type="dxa"/>
            <w:shd w:val="clear" w:color="auto" w:fill="FFFFFF" w:themeFill="background1"/>
          </w:tcPr>
          <w:p w14:paraId="38F55AFC" w14:textId="77777777" w:rsidR="00F93322" w:rsidRPr="00CC1ADD" w:rsidRDefault="00F93322" w:rsidP="00F93322">
            <w:pPr>
              <w:spacing w:before="40" w:after="40"/>
              <w:rPr>
                <w:rFonts w:cstheme="minorHAnsi"/>
                <w:sz w:val="20"/>
                <w:szCs w:val="20"/>
              </w:rPr>
            </w:pPr>
            <w:r w:rsidRPr="00CC1ADD">
              <w:rPr>
                <w:rFonts w:cstheme="minorHAnsi"/>
                <w:sz w:val="20"/>
                <w:szCs w:val="20"/>
              </w:rPr>
              <w:t>Uncle Tobys</w:t>
            </w:r>
          </w:p>
        </w:tc>
        <w:tc>
          <w:tcPr>
            <w:tcW w:w="1275" w:type="dxa"/>
            <w:shd w:val="clear" w:color="auto" w:fill="FFFFFF" w:themeFill="background1"/>
          </w:tcPr>
          <w:p w14:paraId="37B03623"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7E19A637"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 xml:space="preserve">Inclusion of information and a video about how to read and apply the HSR on </w:t>
            </w:r>
            <w:hyperlink r:id="rId127" w:history="1">
              <w:r w:rsidRPr="00CC1ADD">
                <w:rPr>
                  <w:rStyle w:val="Hyperlink"/>
                  <w:rFonts w:cstheme="minorHAnsi"/>
                  <w:sz w:val="20"/>
                  <w:szCs w:val="20"/>
                </w:rPr>
                <w:t>Uncle Tobys website</w:t>
              </w:r>
            </w:hyperlink>
            <w:r>
              <w:rPr>
                <w:rFonts w:cstheme="minorHAnsi"/>
                <w:color w:val="222222"/>
                <w:sz w:val="20"/>
                <w:szCs w:val="20"/>
              </w:rPr>
              <w:t>.</w:t>
            </w:r>
          </w:p>
        </w:tc>
        <w:tc>
          <w:tcPr>
            <w:tcW w:w="1377" w:type="dxa"/>
            <w:shd w:val="clear" w:color="auto" w:fill="FFFFFF" w:themeFill="background1"/>
          </w:tcPr>
          <w:p w14:paraId="390A9374"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3B08B7E5" w14:textId="77777777" w:rsidTr="00752513">
        <w:tc>
          <w:tcPr>
            <w:tcW w:w="1555" w:type="dxa"/>
            <w:shd w:val="clear" w:color="auto" w:fill="FFFFFF" w:themeFill="background1"/>
          </w:tcPr>
          <w:p w14:paraId="335A702C" w14:textId="77777777" w:rsidR="00F93322" w:rsidRPr="00CC1ADD" w:rsidRDefault="00F93322" w:rsidP="00F93322">
            <w:pPr>
              <w:spacing w:before="40" w:after="40"/>
              <w:rPr>
                <w:rFonts w:cstheme="minorHAnsi"/>
                <w:sz w:val="20"/>
                <w:szCs w:val="20"/>
              </w:rPr>
            </w:pPr>
            <w:r w:rsidRPr="00CC1ADD">
              <w:rPr>
                <w:rFonts w:cstheme="minorHAnsi"/>
                <w:sz w:val="20"/>
                <w:szCs w:val="20"/>
              </w:rPr>
              <w:t>Unilever</w:t>
            </w:r>
          </w:p>
        </w:tc>
        <w:tc>
          <w:tcPr>
            <w:tcW w:w="1275" w:type="dxa"/>
            <w:shd w:val="clear" w:color="auto" w:fill="FFFFFF" w:themeFill="background1"/>
          </w:tcPr>
          <w:p w14:paraId="2F8E1430" w14:textId="77777777" w:rsidR="00F93322" w:rsidRPr="00CC1ADD" w:rsidRDefault="00F93322">
            <w:pPr>
              <w:spacing w:before="40" w:after="40"/>
              <w:rPr>
                <w:rFonts w:cstheme="minorHAnsi"/>
                <w:sz w:val="20"/>
                <w:szCs w:val="20"/>
              </w:rPr>
            </w:pPr>
            <w:r w:rsidRPr="00CC1ADD">
              <w:rPr>
                <w:rFonts w:cstheme="minorHAnsi"/>
                <w:sz w:val="20"/>
                <w:szCs w:val="20"/>
              </w:rPr>
              <w:t>Australia, New Zealand</w:t>
            </w:r>
          </w:p>
        </w:tc>
        <w:tc>
          <w:tcPr>
            <w:tcW w:w="5529" w:type="dxa"/>
            <w:shd w:val="clear" w:color="auto" w:fill="FFFFFF" w:themeFill="background1"/>
          </w:tcPr>
          <w:p w14:paraId="78A944DC"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Information on</w:t>
            </w:r>
            <w:r>
              <w:rPr>
                <w:rFonts w:cstheme="minorHAnsi"/>
                <w:color w:val="222222"/>
                <w:sz w:val="20"/>
                <w:szCs w:val="20"/>
              </w:rPr>
              <w:t xml:space="preserve"> the</w:t>
            </w:r>
            <w:r w:rsidRPr="00CC1ADD">
              <w:rPr>
                <w:rFonts w:cstheme="minorHAnsi"/>
                <w:color w:val="222222"/>
                <w:sz w:val="20"/>
                <w:szCs w:val="20"/>
              </w:rPr>
              <w:t xml:space="preserve"> </w:t>
            </w:r>
            <w:hyperlink r:id="rId128" w:history="1">
              <w:r w:rsidRPr="00CC1ADD">
                <w:rPr>
                  <w:rStyle w:val="Hyperlink"/>
                  <w:rFonts w:cstheme="minorHAnsi"/>
                  <w:sz w:val="20"/>
                  <w:szCs w:val="20"/>
                </w:rPr>
                <w:t>Unilever website</w:t>
              </w:r>
            </w:hyperlink>
            <w:r>
              <w:rPr>
                <w:rStyle w:val="Hyperlink"/>
                <w:rFonts w:cstheme="minorHAnsi"/>
                <w:sz w:val="20"/>
                <w:szCs w:val="20"/>
              </w:rPr>
              <w:t xml:space="preserve"> </w:t>
            </w:r>
            <w:r w:rsidRPr="00CC1ADD">
              <w:rPr>
                <w:rFonts w:cstheme="minorHAnsi"/>
                <w:color w:val="222222"/>
                <w:sz w:val="20"/>
                <w:szCs w:val="20"/>
              </w:rPr>
              <w:t xml:space="preserve">about the HSR System, images of products  and confirmation that they will be introducing </w:t>
            </w:r>
            <w:r>
              <w:rPr>
                <w:rFonts w:cstheme="minorHAnsi"/>
                <w:color w:val="222222"/>
                <w:sz w:val="20"/>
                <w:szCs w:val="20"/>
              </w:rPr>
              <w:t xml:space="preserve">the </w:t>
            </w:r>
            <w:r w:rsidRPr="00CC1ADD">
              <w:rPr>
                <w:rFonts w:cstheme="minorHAnsi"/>
                <w:color w:val="222222"/>
                <w:sz w:val="20"/>
                <w:szCs w:val="20"/>
              </w:rPr>
              <w:t xml:space="preserve">HSR across </w:t>
            </w:r>
            <w:r>
              <w:rPr>
                <w:rFonts w:cstheme="minorHAnsi"/>
                <w:color w:val="222222"/>
                <w:sz w:val="20"/>
                <w:szCs w:val="20"/>
              </w:rPr>
              <w:t xml:space="preserve">their </w:t>
            </w:r>
            <w:r w:rsidRPr="00CC1ADD">
              <w:rPr>
                <w:rFonts w:cstheme="minorHAnsi"/>
                <w:color w:val="222222"/>
                <w:sz w:val="20"/>
                <w:szCs w:val="20"/>
              </w:rPr>
              <w:t>food and beverage portfolio</w:t>
            </w:r>
            <w:r>
              <w:rPr>
                <w:rFonts w:cstheme="minorHAnsi"/>
                <w:color w:val="222222"/>
                <w:sz w:val="20"/>
                <w:szCs w:val="20"/>
              </w:rPr>
              <w:t>.</w:t>
            </w:r>
          </w:p>
        </w:tc>
        <w:tc>
          <w:tcPr>
            <w:tcW w:w="1377" w:type="dxa"/>
            <w:shd w:val="clear" w:color="auto" w:fill="FFFFFF" w:themeFill="background1"/>
          </w:tcPr>
          <w:p w14:paraId="10C39A72"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r w:rsidR="00F93322" w:rsidRPr="00CC1ADD" w14:paraId="0F8599B0" w14:textId="77777777" w:rsidTr="00752513">
        <w:tc>
          <w:tcPr>
            <w:tcW w:w="1555" w:type="dxa"/>
            <w:shd w:val="clear" w:color="auto" w:fill="FFFFFF" w:themeFill="background1"/>
          </w:tcPr>
          <w:p w14:paraId="588393AC" w14:textId="77777777" w:rsidR="00F93322" w:rsidRPr="00CC1ADD" w:rsidRDefault="00F93322" w:rsidP="00F93322">
            <w:pPr>
              <w:spacing w:before="40" w:after="40"/>
              <w:rPr>
                <w:rFonts w:cstheme="minorHAnsi"/>
                <w:sz w:val="20"/>
                <w:szCs w:val="20"/>
              </w:rPr>
            </w:pPr>
            <w:r w:rsidRPr="00CC1ADD">
              <w:rPr>
                <w:rFonts w:cstheme="minorHAnsi"/>
                <w:sz w:val="20"/>
                <w:szCs w:val="20"/>
              </w:rPr>
              <w:t xml:space="preserve">Woolworths </w:t>
            </w:r>
          </w:p>
        </w:tc>
        <w:tc>
          <w:tcPr>
            <w:tcW w:w="1275" w:type="dxa"/>
            <w:shd w:val="clear" w:color="auto" w:fill="FFFFFF" w:themeFill="background1"/>
          </w:tcPr>
          <w:p w14:paraId="4AC51243" w14:textId="77777777" w:rsidR="00F93322" w:rsidRPr="00CC1ADD" w:rsidRDefault="00F93322">
            <w:pPr>
              <w:spacing w:before="40" w:after="40"/>
              <w:rPr>
                <w:rFonts w:cstheme="minorHAnsi"/>
                <w:sz w:val="20"/>
                <w:szCs w:val="20"/>
              </w:rPr>
            </w:pPr>
            <w:r w:rsidRPr="00CC1ADD">
              <w:rPr>
                <w:rFonts w:cstheme="minorHAnsi"/>
                <w:sz w:val="20"/>
                <w:szCs w:val="20"/>
              </w:rPr>
              <w:t>Australia</w:t>
            </w:r>
          </w:p>
        </w:tc>
        <w:tc>
          <w:tcPr>
            <w:tcW w:w="5529" w:type="dxa"/>
            <w:shd w:val="clear" w:color="auto" w:fill="FFFFFF" w:themeFill="background1"/>
          </w:tcPr>
          <w:p w14:paraId="055A79F2" w14:textId="77777777" w:rsidR="00F93322" w:rsidRPr="00CC1ADD" w:rsidRDefault="00F93322">
            <w:pPr>
              <w:spacing w:before="40" w:after="40"/>
              <w:rPr>
                <w:rFonts w:cstheme="minorHAnsi"/>
                <w:color w:val="222222"/>
                <w:sz w:val="20"/>
                <w:szCs w:val="20"/>
              </w:rPr>
            </w:pPr>
            <w:r w:rsidRPr="00CC1ADD">
              <w:rPr>
                <w:rFonts w:cstheme="minorHAnsi"/>
                <w:color w:val="222222"/>
                <w:sz w:val="20"/>
                <w:szCs w:val="20"/>
              </w:rPr>
              <w:t>An affordable health campaign, including a series of print catalogues titled ‘Making healthier choices more affordable’, promoting price drops on products including packaged foods displaying HSRs of 4 and 5.</w:t>
            </w:r>
          </w:p>
          <w:p w14:paraId="7B04F813" w14:textId="77777777" w:rsidR="00F93322" w:rsidRDefault="00F93322">
            <w:pPr>
              <w:rPr>
                <w:rFonts w:cstheme="minorHAnsi"/>
                <w:color w:val="222222"/>
                <w:sz w:val="20"/>
                <w:szCs w:val="20"/>
              </w:rPr>
            </w:pPr>
            <w:r w:rsidRPr="00CC1ADD">
              <w:rPr>
                <w:rFonts w:cstheme="minorHAnsi"/>
                <w:color w:val="222222"/>
                <w:sz w:val="20"/>
                <w:szCs w:val="20"/>
              </w:rPr>
              <w:t xml:space="preserve">In-store announcements, meal solution cards, </w:t>
            </w:r>
            <w:r>
              <w:rPr>
                <w:rFonts w:cstheme="minorHAnsi"/>
                <w:color w:val="222222"/>
                <w:sz w:val="20"/>
                <w:szCs w:val="20"/>
              </w:rPr>
              <w:t xml:space="preserve">shopping baskets, </w:t>
            </w:r>
            <w:r w:rsidRPr="00CC1ADD">
              <w:rPr>
                <w:rFonts w:cstheme="minorHAnsi"/>
                <w:color w:val="222222"/>
                <w:sz w:val="20"/>
                <w:szCs w:val="20"/>
              </w:rPr>
              <w:t>aerials, EAS Gates and bus stops promoting HSR, with focus on products with HSRs of 4 and 5.</w:t>
            </w:r>
            <w:r w:rsidRPr="00AF3738">
              <w:rPr>
                <w:rFonts w:cstheme="minorHAnsi"/>
                <w:color w:val="222222"/>
                <w:sz w:val="20"/>
                <w:szCs w:val="20"/>
              </w:rPr>
              <w:t xml:space="preserve"> </w:t>
            </w:r>
          </w:p>
          <w:p w14:paraId="08ADF5D4" w14:textId="77777777" w:rsidR="00F93322" w:rsidRDefault="00F93322">
            <w:pPr>
              <w:rPr>
                <w:rFonts w:cstheme="minorHAnsi"/>
                <w:color w:val="222222"/>
                <w:sz w:val="20"/>
                <w:szCs w:val="20"/>
              </w:rPr>
            </w:pPr>
            <w:r w:rsidRPr="00AF3738">
              <w:rPr>
                <w:rFonts w:cstheme="minorHAnsi"/>
                <w:color w:val="222222"/>
                <w:sz w:val="20"/>
                <w:szCs w:val="20"/>
              </w:rPr>
              <w:t>A 'Making healthier easier' campaign, including in store, radio and tv advertisements promoting 'Woolworths is making healthier easier with more Health Star Ratings across our Woolworths food range'. </w:t>
            </w:r>
          </w:p>
          <w:p w14:paraId="14BC827C" w14:textId="77777777" w:rsidR="00F93322" w:rsidRPr="00CC1ADD" w:rsidRDefault="00F93322">
            <w:pPr>
              <w:rPr>
                <w:rFonts w:cstheme="minorHAnsi"/>
                <w:color w:val="222222"/>
                <w:sz w:val="20"/>
                <w:szCs w:val="20"/>
              </w:rPr>
            </w:pPr>
            <w:r w:rsidRPr="00CC1ADD">
              <w:rPr>
                <w:rFonts w:cstheme="minorHAnsi"/>
                <w:color w:val="222222"/>
                <w:sz w:val="20"/>
                <w:szCs w:val="20"/>
              </w:rPr>
              <w:t xml:space="preserve">Online promotion including information about the HSR on the </w:t>
            </w:r>
            <w:hyperlink r:id="rId129" w:history="1">
              <w:r w:rsidRPr="00CC1ADD">
                <w:rPr>
                  <w:rStyle w:val="Hyperlink"/>
                  <w:rFonts w:cstheme="minorHAnsi"/>
                  <w:sz w:val="20"/>
                  <w:szCs w:val="20"/>
                </w:rPr>
                <w:t>Woolworths website</w:t>
              </w:r>
            </w:hyperlink>
            <w:r w:rsidRPr="00CC1ADD">
              <w:rPr>
                <w:rStyle w:val="Hyperlink"/>
                <w:rFonts w:cstheme="minorHAnsi"/>
                <w:sz w:val="20"/>
                <w:szCs w:val="20"/>
              </w:rPr>
              <w:t>.</w:t>
            </w:r>
            <w:r w:rsidRPr="00CC1ADD">
              <w:rPr>
                <w:rFonts w:cstheme="minorHAnsi"/>
                <w:color w:val="222222"/>
                <w:sz w:val="20"/>
                <w:szCs w:val="20"/>
              </w:rPr>
              <w:t xml:space="preserve"> </w:t>
            </w:r>
          </w:p>
        </w:tc>
        <w:tc>
          <w:tcPr>
            <w:tcW w:w="1377" w:type="dxa"/>
            <w:shd w:val="clear" w:color="auto" w:fill="FFFFFF" w:themeFill="background1"/>
          </w:tcPr>
          <w:p w14:paraId="1EE698EE" w14:textId="77777777" w:rsidR="00F93322" w:rsidRPr="00CC1ADD" w:rsidRDefault="00F93322">
            <w:pPr>
              <w:spacing w:before="40" w:after="40"/>
              <w:rPr>
                <w:rFonts w:cstheme="minorHAnsi"/>
                <w:sz w:val="20"/>
                <w:szCs w:val="20"/>
              </w:rPr>
            </w:pPr>
            <w:r w:rsidRPr="00CC1ADD">
              <w:rPr>
                <w:rFonts w:cstheme="minorHAnsi"/>
                <w:sz w:val="20"/>
                <w:szCs w:val="20"/>
              </w:rPr>
              <w:t>Consumers</w:t>
            </w:r>
          </w:p>
        </w:tc>
      </w:tr>
    </w:tbl>
    <w:p w14:paraId="1365A365" w14:textId="77777777" w:rsidR="00752513" w:rsidRPr="00CC1ADD" w:rsidRDefault="00752513" w:rsidP="005D75D3">
      <w:pPr>
        <w:pStyle w:val="mpcNormal"/>
        <w:keepNext w:val="0"/>
      </w:pPr>
    </w:p>
    <w:p w14:paraId="3D3A24D8" w14:textId="77777777" w:rsidR="00752513" w:rsidRPr="00CC1ADD" w:rsidRDefault="00752513" w:rsidP="005A3631">
      <w:pPr>
        <w:pStyle w:val="mpcheading2"/>
        <w:spacing w:after="0"/>
      </w:pPr>
      <w:bookmarkStart w:id="176" w:name="Public"/>
      <w:bookmarkStart w:id="177" w:name="_Toc9955083"/>
      <w:bookmarkEnd w:id="176"/>
      <w:r w:rsidRPr="00CC1ADD">
        <w:t>Public health and others’ promotion of the HSR System</w:t>
      </w:r>
      <w:bookmarkEnd w:id="177"/>
    </w:p>
    <w:p w14:paraId="7AA4536C" w14:textId="77777777" w:rsidR="00752513" w:rsidRPr="00CC1ADD" w:rsidRDefault="00752513" w:rsidP="005D75D3">
      <w:pPr>
        <w:pStyle w:val="mpcNormal"/>
        <w:keepNext w:val="0"/>
      </w:pPr>
    </w:p>
    <w:tbl>
      <w:tblPr>
        <w:tblStyle w:val="TableGrid"/>
        <w:tblW w:w="0" w:type="auto"/>
        <w:tblLook w:val="04A0" w:firstRow="1" w:lastRow="0" w:firstColumn="1" w:lastColumn="0" w:noHBand="0" w:noVBand="1"/>
        <w:tblCaption w:val="Public health promotion"/>
        <w:tblDescription w:val="This table provides information about some of the ways retailers, food manufacturers, government and public health agencies in Australia and New Zealand have engaged with promotion of the HSR System. "/>
      </w:tblPr>
      <w:tblGrid>
        <w:gridCol w:w="1555"/>
        <w:gridCol w:w="1275"/>
        <w:gridCol w:w="5445"/>
        <w:gridCol w:w="1461"/>
      </w:tblGrid>
      <w:tr w:rsidR="00752513" w:rsidRPr="00CC1ADD" w14:paraId="5D71C274" w14:textId="77777777" w:rsidTr="00752513">
        <w:trPr>
          <w:tblHeader/>
        </w:trPr>
        <w:tc>
          <w:tcPr>
            <w:tcW w:w="1555" w:type="dxa"/>
            <w:shd w:val="clear" w:color="auto" w:fill="516A8E"/>
          </w:tcPr>
          <w:p w14:paraId="0D215817"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78" w:name="Company2"/>
            <w:bookmarkEnd w:id="178"/>
            <w:r w:rsidRPr="00CC1ADD">
              <w:rPr>
                <w:rFonts w:cstheme="minorHAnsi"/>
                <w:b/>
                <w:color w:val="FFFFFF" w:themeColor="background1"/>
                <w:szCs w:val="20"/>
              </w:rPr>
              <w:t>Company</w:t>
            </w:r>
          </w:p>
        </w:tc>
        <w:tc>
          <w:tcPr>
            <w:tcW w:w="1275" w:type="dxa"/>
            <w:shd w:val="clear" w:color="auto" w:fill="516A8E"/>
          </w:tcPr>
          <w:p w14:paraId="533D1597"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445" w:type="dxa"/>
            <w:shd w:val="clear" w:color="auto" w:fill="516A8E"/>
          </w:tcPr>
          <w:p w14:paraId="69721446"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461" w:type="dxa"/>
            <w:shd w:val="clear" w:color="auto" w:fill="516A8E"/>
          </w:tcPr>
          <w:p w14:paraId="5880BA23"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0AC881A0" w14:textId="77777777" w:rsidTr="00752513">
        <w:tc>
          <w:tcPr>
            <w:tcW w:w="1555" w:type="dxa"/>
            <w:shd w:val="clear" w:color="auto" w:fill="FFFFFF" w:themeFill="background1"/>
          </w:tcPr>
          <w:p w14:paraId="703DD200" w14:textId="77777777" w:rsidR="00752513" w:rsidRPr="00CC1ADD" w:rsidRDefault="00752513" w:rsidP="005A3631">
            <w:pPr>
              <w:spacing w:before="40" w:after="40"/>
              <w:rPr>
                <w:rFonts w:cstheme="minorHAnsi"/>
                <w:sz w:val="20"/>
                <w:szCs w:val="20"/>
              </w:rPr>
            </w:pPr>
            <w:r w:rsidRPr="00CC1ADD">
              <w:rPr>
                <w:rFonts w:cstheme="minorHAnsi"/>
                <w:sz w:val="20"/>
                <w:szCs w:val="20"/>
              </w:rPr>
              <w:t>Cancer Council NSW</w:t>
            </w:r>
          </w:p>
        </w:tc>
        <w:tc>
          <w:tcPr>
            <w:tcW w:w="1275" w:type="dxa"/>
            <w:shd w:val="clear" w:color="auto" w:fill="FFFFFF" w:themeFill="background1"/>
          </w:tcPr>
          <w:p w14:paraId="0EAE3F7E" w14:textId="77777777" w:rsidR="00752513" w:rsidRPr="00CC1ADD" w:rsidRDefault="00752513">
            <w:pPr>
              <w:spacing w:before="40" w:after="40"/>
              <w:rPr>
                <w:rFonts w:cstheme="minorHAnsi"/>
                <w:sz w:val="20"/>
                <w:szCs w:val="20"/>
              </w:rPr>
            </w:pPr>
            <w:r w:rsidRPr="00CC1ADD">
              <w:rPr>
                <w:rFonts w:cstheme="minorHAnsi"/>
                <w:sz w:val="20"/>
                <w:szCs w:val="20"/>
              </w:rPr>
              <w:t>NSW</w:t>
            </w:r>
          </w:p>
        </w:tc>
        <w:tc>
          <w:tcPr>
            <w:tcW w:w="5445" w:type="dxa"/>
            <w:shd w:val="clear" w:color="auto" w:fill="FFFFFF" w:themeFill="background1"/>
          </w:tcPr>
          <w:p w14:paraId="4DC6710E"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Blog articles relating to the HSR System and how it can be used and a section on the </w:t>
            </w:r>
            <w:hyperlink r:id="rId130" w:history="1">
              <w:r w:rsidRPr="00CC1ADD">
                <w:rPr>
                  <w:rStyle w:val="Hyperlink"/>
                  <w:rFonts w:cstheme="minorHAnsi"/>
                  <w:sz w:val="20"/>
                  <w:szCs w:val="20"/>
                </w:rPr>
                <w:t>Cancer Council website</w:t>
              </w:r>
            </w:hyperlink>
            <w:r w:rsidRPr="00CC1ADD">
              <w:rPr>
                <w:rFonts w:cstheme="minorHAnsi"/>
                <w:color w:val="222222"/>
                <w:sz w:val="20"/>
                <w:szCs w:val="20"/>
              </w:rPr>
              <w:t xml:space="preserve"> on Reading food labels, with detailed information about the HSR System.</w:t>
            </w:r>
          </w:p>
        </w:tc>
        <w:tc>
          <w:tcPr>
            <w:tcW w:w="1461" w:type="dxa"/>
            <w:shd w:val="clear" w:color="auto" w:fill="FFFFFF" w:themeFill="background1"/>
          </w:tcPr>
          <w:p w14:paraId="50EC0D56"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38BF17F4" w14:textId="77777777" w:rsidTr="00752513">
        <w:tc>
          <w:tcPr>
            <w:tcW w:w="1555" w:type="dxa"/>
            <w:shd w:val="clear" w:color="auto" w:fill="FFFFFF" w:themeFill="background1"/>
          </w:tcPr>
          <w:p w14:paraId="49218162"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Choice </w:t>
            </w:r>
          </w:p>
        </w:tc>
        <w:tc>
          <w:tcPr>
            <w:tcW w:w="1275" w:type="dxa"/>
            <w:shd w:val="clear" w:color="auto" w:fill="FFFFFF" w:themeFill="background1"/>
          </w:tcPr>
          <w:p w14:paraId="256D7787"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738F313C" w14:textId="77777777" w:rsidR="00752513" w:rsidRPr="00CC1ADD" w:rsidRDefault="00752513">
            <w:pPr>
              <w:spacing w:before="40" w:after="40"/>
              <w:rPr>
                <w:rStyle w:val="Hyperlink"/>
                <w:rFonts w:cstheme="minorHAnsi"/>
                <w:color w:val="auto"/>
                <w:sz w:val="20"/>
                <w:szCs w:val="20"/>
                <w:u w:val="none"/>
              </w:rPr>
            </w:pPr>
            <w:r w:rsidRPr="00CC1ADD">
              <w:rPr>
                <w:rFonts w:cstheme="minorHAnsi"/>
                <w:color w:val="222222"/>
                <w:sz w:val="20"/>
                <w:szCs w:val="20"/>
              </w:rPr>
              <w:t xml:space="preserve">Online promotion of </w:t>
            </w:r>
            <w:hyperlink r:id="rId131" w:history="1">
              <w:r w:rsidRPr="00CC1ADD">
                <w:rPr>
                  <w:rStyle w:val="Hyperlink"/>
                  <w:rFonts w:cstheme="minorHAnsi"/>
                  <w:sz w:val="20"/>
                  <w:szCs w:val="20"/>
                </w:rPr>
                <w:t>Choice’s 5 Asks to make the health stars work for you, not food companies</w:t>
              </w:r>
            </w:hyperlink>
            <w:r w:rsidRPr="00CC1ADD">
              <w:rPr>
                <w:rStyle w:val="Hyperlink"/>
                <w:rFonts w:cstheme="minorHAnsi"/>
                <w:sz w:val="20"/>
                <w:szCs w:val="20"/>
              </w:rPr>
              <w:t>.</w:t>
            </w:r>
          </w:p>
          <w:p w14:paraId="5760B7AB" w14:textId="77777777" w:rsidR="00752513" w:rsidRPr="00CC1ADD" w:rsidRDefault="00752513">
            <w:pPr>
              <w:spacing w:before="40" w:after="40"/>
              <w:rPr>
                <w:rFonts w:cstheme="minorHAnsi"/>
                <w:sz w:val="20"/>
                <w:szCs w:val="20"/>
              </w:rPr>
            </w:pPr>
            <w:hyperlink r:id="rId132" w:history="1">
              <w:r w:rsidRPr="00CC1ADD">
                <w:rPr>
                  <w:rStyle w:val="Hyperlink"/>
                  <w:rFonts w:cstheme="minorHAnsi"/>
                  <w:sz w:val="20"/>
                  <w:szCs w:val="20"/>
                </w:rPr>
                <w:t>FAQ page</w:t>
              </w:r>
            </w:hyperlink>
            <w:r w:rsidRPr="00CC1ADD">
              <w:rPr>
                <w:rFonts w:cstheme="minorHAnsi"/>
                <w:color w:val="222222"/>
                <w:sz w:val="20"/>
                <w:szCs w:val="20"/>
              </w:rPr>
              <w:t xml:space="preserve"> with detailed information relating to the HSR System, how it is calculated, and how it should be used.</w:t>
            </w:r>
          </w:p>
        </w:tc>
        <w:tc>
          <w:tcPr>
            <w:tcW w:w="1461" w:type="dxa"/>
            <w:shd w:val="clear" w:color="auto" w:fill="FFFFFF" w:themeFill="background1"/>
          </w:tcPr>
          <w:p w14:paraId="3472F21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38CE4E67" w14:textId="77777777" w:rsidTr="00752513">
        <w:tc>
          <w:tcPr>
            <w:tcW w:w="1555" w:type="dxa"/>
            <w:shd w:val="clear" w:color="auto" w:fill="FFFFFF" w:themeFill="background1"/>
          </w:tcPr>
          <w:p w14:paraId="1606C82E" w14:textId="77777777" w:rsidR="00752513" w:rsidRPr="00CC1ADD" w:rsidRDefault="00752513" w:rsidP="005A3631">
            <w:pPr>
              <w:spacing w:before="40" w:after="40"/>
              <w:rPr>
                <w:rFonts w:cstheme="minorHAnsi"/>
                <w:sz w:val="20"/>
                <w:szCs w:val="20"/>
              </w:rPr>
            </w:pPr>
            <w:r w:rsidRPr="00CC1ADD">
              <w:rPr>
                <w:rFonts w:cstheme="minorHAnsi"/>
                <w:sz w:val="20"/>
                <w:szCs w:val="20"/>
              </w:rPr>
              <w:t>Diabetes NSW &amp; ACT</w:t>
            </w:r>
          </w:p>
        </w:tc>
        <w:tc>
          <w:tcPr>
            <w:tcW w:w="1275" w:type="dxa"/>
            <w:shd w:val="clear" w:color="auto" w:fill="FFFFFF" w:themeFill="background1"/>
          </w:tcPr>
          <w:p w14:paraId="1D3A4CB4" w14:textId="77777777" w:rsidR="00752513" w:rsidRPr="00CC1ADD" w:rsidRDefault="00752513">
            <w:pPr>
              <w:spacing w:before="40" w:after="40"/>
              <w:rPr>
                <w:rFonts w:cstheme="minorHAnsi"/>
                <w:sz w:val="20"/>
                <w:szCs w:val="20"/>
              </w:rPr>
            </w:pPr>
            <w:r w:rsidRPr="00CC1ADD">
              <w:rPr>
                <w:rFonts w:cstheme="minorHAnsi"/>
                <w:sz w:val="20"/>
                <w:szCs w:val="20"/>
              </w:rPr>
              <w:t>NSW and ACT</w:t>
            </w:r>
          </w:p>
        </w:tc>
        <w:tc>
          <w:tcPr>
            <w:tcW w:w="5445" w:type="dxa"/>
            <w:shd w:val="clear" w:color="auto" w:fill="FFFFFF" w:themeFill="background1"/>
          </w:tcPr>
          <w:p w14:paraId="609D4D83"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Publication of detailed articles explaining the basis upon which HSR is calculated on the </w:t>
            </w:r>
            <w:hyperlink r:id="rId133" w:history="1">
              <w:r w:rsidRPr="00CC1ADD">
                <w:rPr>
                  <w:rStyle w:val="Hyperlink"/>
                  <w:rFonts w:cstheme="minorHAnsi"/>
                  <w:sz w:val="20"/>
                  <w:szCs w:val="20"/>
                </w:rPr>
                <w:t>Diabetes NSW &amp; ACT website</w:t>
              </w:r>
            </w:hyperlink>
          </w:p>
        </w:tc>
        <w:tc>
          <w:tcPr>
            <w:tcW w:w="1461" w:type="dxa"/>
            <w:shd w:val="clear" w:color="auto" w:fill="FFFFFF" w:themeFill="background1"/>
          </w:tcPr>
          <w:p w14:paraId="0DB3764E" w14:textId="77777777" w:rsidR="00752513" w:rsidRPr="00CC1ADD" w:rsidRDefault="00752513">
            <w:pPr>
              <w:spacing w:before="40" w:after="40"/>
              <w:rPr>
                <w:rFonts w:cstheme="minorHAnsi"/>
                <w:sz w:val="20"/>
                <w:szCs w:val="20"/>
              </w:rPr>
            </w:pPr>
            <w:r w:rsidRPr="00CC1ADD">
              <w:rPr>
                <w:rFonts w:cstheme="minorHAnsi"/>
                <w:sz w:val="20"/>
                <w:szCs w:val="20"/>
              </w:rPr>
              <w:t>Consumers, health professionals</w:t>
            </w:r>
          </w:p>
        </w:tc>
      </w:tr>
      <w:tr w:rsidR="00752513" w:rsidRPr="00CC1ADD" w14:paraId="7B1F8AD9" w14:textId="77777777" w:rsidTr="00752513">
        <w:tc>
          <w:tcPr>
            <w:tcW w:w="1555" w:type="dxa"/>
            <w:shd w:val="clear" w:color="auto" w:fill="FFFFFF" w:themeFill="background1"/>
          </w:tcPr>
          <w:p w14:paraId="5DA28482" w14:textId="77777777" w:rsidR="00752513" w:rsidRPr="00CC1ADD" w:rsidRDefault="00752513" w:rsidP="005A3631">
            <w:pPr>
              <w:spacing w:before="40" w:after="40"/>
              <w:rPr>
                <w:rFonts w:cstheme="minorHAnsi"/>
                <w:sz w:val="20"/>
                <w:szCs w:val="20"/>
              </w:rPr>
            </w:pPr>
            <w:r w:rsidRPr="00CC1ADD">
              <w:rPr>
                <w:rFonts w:cstheme="minorHAnsi"/>
                <w:sz w:val="20"/>
                <w:szCs w:val="20"/>
              </w:rPr>
              <w:t>Foodwatch</w:t>
            </w:r>
          </w:p>
        </w:tc>
        <w:tc>
          <w:tcPr>
            <w:tcW w:w="1275" w:type="dxa"/>
            <w:shd w:val="clear" w:color="auto" w:fill="FFFFFF" w:themeFill="background1"/>
          </w:tcPr>
          <w:p w14:paraId="3EC246D1"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3E23A6B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Nutritionist Catherine Saxelby’s </w:t>
            </w:r>
            <w:hyperlink r:id="rId134" w:history="1">
              <w:r w:rsidRPr="00CC1ADD">
                <w:rPr>
                  <w:rStyle w:val="Hyperlink"/>
                  <w:rFonts w:cstheme="minorHAnsi"/>
                  <w:sz w:val="20"/>
                  <w:szCs w:val="20"/>
                </w:rPr>
                <w:t>Foodwatch website</w:t>
              </w:r>
            </w:hyperlink>
            <w:r w:rsidRPr="00CC1ADD">
              <w:rPr>
                <w:rFonts w:cstheme="minorHAnsi"/>
                <w:color w:val="222222"/>
                <w:sz w:val="20"/>
                <w:szCs w:val="20"/>
              </w:rPr>
              <w:t xml:space="preserve"> contains detailed information about how HSR is calculated, how it can most effectively be used and star ratings for a range of sample products.</w:t>
            </w:r>
          </w:p>
        </w:tc>
        <w:tc>
          <w:tcPr>
            <w:tcW w:w="1461" w:type="dxa"/>
            <w:shd w:val="clear" w:color="auto" w:fill="FFFFFF" w:themeFill="background1"/>
          </w:tcPr>
          <w:p w14:paraId="78C00F80"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F75211E" w14:textId="77777777" w:rsidTr="00752513">
        <w:tc>
          <w:tcPr>
            <w:tcW w:w="1555" w:type="dxa"/>
            <w:shd w:val="clear" w:color="auto" w:fill="FFFFFF" w:themeFill="background1"/>
          </w:tcPr>
          <w:p w14:paraId="041E8FA9" w14:textId="77777777" w:rsidR="00752513" w:rsidRPr="00CC1ADD" w:rsidRDefault="00752513" w:rsidP="005A3631">
            <w:pPr>
              <w:spacing w:before="40" w:after="40"/>
              <w:rPr>
                <w:rFonts w:cstheme="minorHAnsi"/>
                <w:sz w:val="20"/>
                <w:szCs w:val="20"/>
              </w:rPr>
            </w:pPr>
            <w:r w:rsidRPr="00CC1ADD">
              <w:rPr>
                <w:rFonts w:cstheme="minorHAnsi"/>
                <w:sz w:val="20"/>
                <w:szCs w:val="20"/>
              </w:rPr>
              <w:t>Healthy Kids Association</w:t>
            </w:r>
          </w:p>
        </w:tc>
        <w:tc>
          <w:tcPr>
            <w:tcW w:w="1275" w:type="dxa"/>
            <w:shd w:val="clear" w:color="auto" w:fill="FFFFFF" w:themeFill="background1"/>
          </w:tcPr>
          <w:p w14:paraId="2379FE5E"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1A2029ED"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detailed information about the HSR and how parents can use it to make healthier choices for children on the </w:t>
            </w:r>
            <w:hyperlink r:id="rId135" w:history="1">
              <w:r w:rsidRPr="00CC1ADD">
                <w:rPr>
                  <w:rStyle w:val="Hyperlink"/>
                  <w:rFonts w:cstheme="minorHAnsi"/>
                  <w:sz w:val="20"/>
                  <w:szCs w:val="20"/>
                </w:rPr>
                <w:t>Healthy Kids Association website</w:t>
              </w:r>
            </w:hyperlink>
            <w:r w:rsidRPr="00CC1ADD">
              <w:rPr>
                <w:rStyle w:val="Hyperlink"/>
                <w:rFonts w:cstheme="minorHAnsi"/>
                <w:sz w:val="20"/>
                <w:szCs w:val="20"/>
              </w:rPr>
              <w:t>.</w:t>
            </w:r>
          </w:p>
        </w:tc>
        <w:tc>
          <w:tcPr>
            <w:tcW w:w="1461" w:type="dxa"/>
            <w:shd w:val="clear" w:color="auto" w:fill="FFFFFF" w:themeFill="background1"/>
          </w:tcPr>
          <w:p w14:paraId="5EF53167" w14:textId="77777777" w:rsidR="00752513" w:rsidRPr="00CC1ADD" w:rsidRDefault="00752513">
            <w:pPr>
              <w:spacing w:before="40" w:after="40"/>
              <w:rPr>
                <w:rFonts w:cstheme="minorHAnsi"/>
                <w:sz w:val="20"/>
                <w:szCs w:val="20"/>
              </w:rPr>
            </w:pPr>
            <w:r w:rsidRPr="00CC1ADD">
              <w:rPr>
                <w:rFonts w:cstheme="minorHAnsi"/>
                <w:sz w:val="20"/>
                <w:szCs w:val="20"/>
              </w:rPr>
              <w:t>Parents</w:t>
            </w:r>
          </w:p>
        </w:tc>
      </w:tr>
      <w:tr w:rsidR="00752513" w:rsidRPr="00CC1ADD" w14:paraId="412E3DBE" w14:textId="77777777" w:rsidTr="00752513">
        <w:tc>
          <w:tcPr>
            <w:tcW w:w="1555" w:type="dxa"/>
            <w:shd w:val="clear" w:color="auto" w:fill="FFFFFF" w:themeFill="background1"/>
          </w:tcPr>
          <w:p w14:paraId="4B8480E5" w14:textId="77777777" w:rsidR="00752513" w:rsidRPr="00CC1ADD" w:rsidRDefault="00752513" w:rsidP="005A3631">
            <w:pPr>
              <w:spacing w:before="40" w:after="40"/>
              <w:rPr>
                <w:rFonts w:cstheme="minorHAnsi"/>
                <w:sz w:val="20"/>
                <w:szCs w:val="20"/>
              </w:rPr>
            </w:pPr>
            <w:r w:rsidRPr="00CC1ADD">
              <w:rPr>
                <w:rFonts w:cstheme="minorHAnsi"/>
                <w:sz w:val="20"/>
                <w:szCs w:val="20"/>
              </w:rPr>
              <w:t>Obesity Policy Coalition</w:t>
            </w:r>
          </w:p>
        </w:tc>
        <w:tc>
          <w:tcPr>
            <w:tcW w:w="1275" w:type="dxa"/>
            <w:shd w:val="clear" w:color="auto" w:fill="FFFFFF" w:themeFill="background1"/>
          </w:tcPr>
          <w:p w14:paraId="3551BAEB"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1B7C882A"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Regular media commentary on HSR. Information on HSR on </w:t>
            </w:r>
            <w:hyperlink r:id="rId136" w:history="1">
              <w:r w:rsidRPr="00CC1ADD">
                <w:rPr>
                  <w:rStyle w:val="Hyperlink"/>
                  <w:rFonts w:cstheme="minorHAnsi"/>
                  <w:sz w:val="20"/>
                  <w:szCs w:val="20"/>
                </w:rPr>
                <w:t>Obesity Policy Coalition website</w:t>
              </w:r>
            </w:hyperlink>
            <w:r w:rsidRPr="00CC1ADD">
              <w:rPr>
                <w:rFonts w:cstheme="minorHAnsi"/>
                <w:color w:val="222222"/>
                <w:sz w:val="20"/>
                <w:szCs w:val="20"/>
              </w:rPr>
              <w:t>, including policy briefs on improving the effectiveness of the HSR.</w:t>
            </w:r>
          </w:p>
        </w:tc>
        <w:tc>
          <w:tcPr>
            <w:tcW w:w="1461" w:type="dxa"/>
            <w:shd w:val="clear" w:color="auto" w:fill="FFFFFF" w:themeFill="background1"/>
          </w:tcPr>
          <w:p w14:paraId="13806EFB" w14:textId="77777777" w:rsidR="00752513" w:rsidRPr="00CC1ADD" w:rsidRDefault="00752513">
            <w:pPr>
              <w:spacing w:before="40" w:after="40"/>
              <w:rPr>
                <w:rFonts w:cstheme="minorHAnsi"/>
                <w:sz w:val="20"/>
                <w:szCs w:val="20"/>
              </w:rPr>
            </w:pPr>
            <w:r w:rsidRPr="00CC1ADD">
              <w:rPr>
                <w:rFonts w:cstheme="minorHAnsi"/>
                <w:sz w:val="20"/>
                <w:szCs w:val="20"/>
              </w:rPr>
              <w:t>Consumers, industry, government</w:t>
            </w:r>
          </w:p>
        </w:tc>
      </w:tr>
      <w:tr w:rsidR="00752513" w:rsidRPr="00CC1ADD" w14:paraId="7F0D0EB2" w14:textId="77777777" w:rsidTr="00752513">
        <w:tc>
          <w:tcPr>
            <w:tcW w:w="1555" w:type="dxa"/>
            <w:shd w:val="clear" w:color="auto" w:fill="FFFFFF" w:themeFill="background1"/>
          </w:tcPr>
          <w:p w14:paraId="26038275" w14:textId="77777777" w:rsidR="00752513" w:rsidRPr="00CC1ADD" w:rsidRDefault="00752513" w:rsidP="005A3631">
            <w:pPr>
              <w:spacing w:before="40" w:after="40"/>
              <w:rPr>
                <w:rFonts w:cstheme="minorHAnsi"/>
                <w:sz w:val="20"/>
                <w:szCs w:val="20"/>
              </w:rPr>
            </w:pPr>
            <w:r w:rsidRPr="00CC1ADD">
              <w:rPr>
                <w:rFonts w:cstheme="minorHAnsi"/>
                <w:sz w:val="20"/>
                <w:szCs w:val="20"/>
              </w:rPr>
              <w:t>The George Institute for Global Health</w:t>
            </w:r>
          </w:p>
        </w:tc>
        <w:tc>
          <w:tcPr>
            <w:tcW w:w="1275" w:type="dxa"/>
            <w:shd w:val="clear" w:color="auto" w:fill="FFFFFF" w:themeFill="background1"/>
          </w:tcPr>
          <w:p w14:paraId="6FB09393"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641A5CC5"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Publication of articles, academic reports and commentary relating to the HSR on </w:t>
            </w:r>
            <w:hyperlink r:id="rId137" w:history="1">
              <w:r w:rsidRPr="00CC1ADD">
                <w:rPr>
                  <w:rStyle w:val="Hyperlink"/>
                  <w:rFonts w:cstheme="minorHAnsi"/>
                  <w:sz w:val="20"/>
                  <w:szCs w:val="20"/>
                </w:rPr>
                <w:t>The George Institute website</w:t>
              </w:r>
            </w:hyperlink>
            <w:r w:rsidRPr="00CC1ADD">
              <w:rPr>
                <w:rStyle w:val="Hyperlink"/>
                <w:rFonts w:cstheme="minorHAnsi"/>
                <w:sz w:val="20"/>
                <w:szCs w:val="20"/>
              </w:rPr>
              <w:t>.</w:t>
            </w:r>
          </w:p>
          <w:p w14:paraId="6265E0D5" w14:textId="77777777" w:rsidR="00752513" w:rsidRPr="00CC1ADD" w:rsidRDefault="00752513">
            <w:pPr>
              <w:spacing w:before="40" w:after="40"/>
              <w:rPr>
                <w:rFonts w:cstheme="minorHAnsi"/>
                <w:color w:val="222222"/>
                <w:sz w:val="20"/>
                <w:szCs w:val="20"/>
              </w:rPr>
            </w:pPr>
            <w:r w:rsidRPr="00CC1ADD">
              <w:rPr>
                <w:color w:val="222222"/>
                <w:sz w:val="20"/>
              </w:rPr>
              <w:t xml:space="preserve">Development and implementation of </w:t>
            </w:r>
            <w:hyperlink r:id="rId138" w:anchor="/home" w:history="1">
              <w:r w:rsidRPr="00CC1ADD">
                <w:rPr>
                  <w:color w:val="222222"/>
                  <w:sz w:val="20"/>
                </w:rPr>
                <w:t>FoodSwitch</w:t>
              </w:r>
            </w:hyperlink>
            <w:r w:rsidRPr="00CC1ADD">
              <w:rPr>
                <w:rFonts w:cstheme="minorHAnsi"/>
                <w:color w:val="222222"/>
                <w:sz w:val="20"/>
                <w:szCs w:val="20"/>
              </w:rPr>
              <w:t>, a smartphone app that allows barcodes of packaged foods to be scanned using the camera on the phone and provides the consumer with information about the product’s HSR.</w:t>
            </w:r>
          </w:p>
        </w:tc>
        <w:tc>
          <w:tcPr>
            <w:tcW w:w="1461" w:type="dxa"/>
            <w:shd w:val="clear" w:color="auto" w:fill="FFFFFF" w:themeFill="background1"/>
          </w:tcPr>
          <w:p w14:paraId="796F4176" w14:textId="77777777" w:rsidR="00752513" w:rsidRPr="00CC1ADD" w:rsidRDefault="00752513">
            <w:pPr>
              <w:spacing w:before="40" w:after="40"/>
              <w:rPr>
                <w:rFonts w:cstheme="minorHAnsi"/>
                <w:sz w:val="20"/>
                <w:szCs w:val="20"/>
              </w:rPr>
            </w:pPr>
            <w:r w:rsidRPr="00CC1ADD">
              <w:rPr>
                <w:rFonts w:cstheme="minorHAnsi"/>
                <w:sz w:val="20"/>
                <w:szCs w:val="20"/>
              </w:rPr>
              <w:t>Consumers, academics, health professionals, food industry</w:t>
            </w:r>
          </w:p>
          <w:p w14:paraId="3C2F5643" w14:textId="77777777" w:rsidR="00752513" w:rsidRPr="00CC1ADD" w:rsidRDefault="00752513">
            <w:pPr>
              <w:spacing w:before="40" w:after="40"/>
              <w:rPr>
                <w:rFonts w:cstheme="minorHAnsi"/>
                <w:sz w:val="20"/>
                <w:szCs w:val="20"/>
              </w:rPr>
            </w:pPr>
          </w:p>
        </w:tc>
      </w:tr>
      <w:tr w:rsidR="00752513" w:rsidRPr="00CC1ADD" w14:paraId="099F0E53" w14:textId="77777777" w:rsidTr="00752513">
        <w:tc>
          <w:tcPr>
            <w:tcW w:w="1555" w:type="dxa"/>
            <w:shd w:val="clear" w:color="auto" w:fill="FFFFFF" w:themeFill="background1"/>
          </w:tcPr>
          <w:p w14:paraId="32F9B202" w14:textId="77777777" w:rsidR="00752513" w:rsidRPr="00CC1ADD" w:rsidRDefault="00752513" w:rsidP="005A3631">
            <w:pPr>
              <w:spacing w:before="40" w:after="40"/>
              <w:rPr>
                <w:rFonts w:cstheme="minorHAnsi"/>
                <w:sz w:val="20"/>
                <w:szCs w:val="20"/>
              </w:rPr>
            </w:pPr>
            <w:r w:rsidRPr="00CC1ADD">
              <w:rPr>
                <w:rFonts w:cstheme="minorHAnsi"/>
                <w:sz w:val="20"/>
                <w:szCs w:val="20"/>
              </w:rPr>
              <w:t>Grains &amp; Legumes Nutrition Council</w:t>
            </w:r>
          </w:p>
        </w:tc>
        <w:tc>
          <w:tcPr>
            <w:tcW w:w="1275" w:type="dxa"/>
            <w:shd w:val="clear" w:color="auto" w:fill="FFFFFF" w:themeFill="background1"/>
          </w:tcPr>
          <w:p w14:paraId="302ECD92"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0E912186"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about the HSR in fact sheets describing how to choose breakfast cereals and snack bars on the </w:t>
            </w:r>
            <w:hyperlink r:id="rId139" w:history="1">
              <w:r w:rsidRPr="00CC1ADD">
                <w:rPr>
                  <w:rStyle w:val="Hyperlink"/>
                  <w:rFonts w:cstheme="minorHAnsi"/>
                  <w:sz w:val="20"/>
                  <w:szCs w:val="20"/>
                </w:rPr>
                <w:t>GLNC website</w:t>
              </w:r>
            </w:hyperlink>
            <w:r w:rsidRPr="00CC1ADD">
              <w:rPr>
                <w:rStyle w:val="Hyperlink"/>
                <w:rFonts w:cstheme="minorHAnsi"/>
                <w:sz w:val="20"/>
                <w:szCs w:val="20"/>
              </w:rPr>
              <w:t>.</w:t>
            </w:r>
          </w:p>
        </w:tc>
        <w:tc>
          <w:tcPr>
            <w:tcW w:w="1461" w:type="dxa"/>
            <w:shd w:val="clear" w:color="auto" w:fill="FFFFFF" w:themeFill="background1"/>
          </w:tcPr>
          <w:p w14:paraId="70BFD018"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E5B5FB3" w14:textId="77777777" w:rsidTr="00752513">
        <w:tc>
          <w:tcPr>
            <w:tcW w:w="1555" w:type="dxa"/>
            <w:shd w:val="clear" w:color="auto" w:fill="FFFFFF" w:themeFill="background1"/>
          </w:tcPr>
          <w:p w14:paraId="35F54551" w14:textId="77777777" w:rsidR="00752513" w:rsidRPr="00CC1ADD" w:rsidRDefault="00752513" w:rsidP="005A3631">
            <w:pPr>
              <w:spacing w:before="40" w:after="40"/>
              <w:rPr>
                <w:rFonts w:cstheme="minorHAnsi"/>
                <w:sz w:val="20"/>
                <w:szCs w:val="20"/>
              </w:rPr>
            </w:pPr>
            <w:r w:rsidRPr="00CC1ADD">
              <w:rPr>
                <w:rFonts w:cstheme="minorHAnsi"/>
                <w:sz w:val="20"/>
                <w:szCs w:val="20"/>
              </w:rPr>
              <w:t>Nuts for Life</w:t>
            </w:r>
          </w:p>
        </w:tc>
        <w:tc>
          <w:tcPr>
            <w:tcW w:w="1275" w:type="dxa"/>
            <w:shd w:val="clear" w:color="auto" w:fill="FFFFFF" w:themeFill="background1"/>
          </w:tcPr>
          <w:p w14:paraId="1D7112FD"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15F2303B"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information about the HSR in a range of articles, including a list of the star ratings  for different types of nuts on the </w:t>
            </w:r>
            <w:hyperlink r:id="rId140" w:history="1">
              <w:r w:rsidRPr="00CC1ADD">
                <w:rPr>
                  <w:rStyle w:val="Hyperlink"/>
                  <w:rFonts w:cstheme="minorHAnsi"/>
                  <w:sz w:val="20"/>
                  <w:szCs w:val="20"/>
                </w:rPr>
                <w:t>Nuts for Life website</w:t>
              </w:r>
            </w:hyperlink>
            <w:r w:rsidRPr="00CC1ADD">
              <w:rPr>
                <w:rStyle w:val="Hyperlink"/>
                <w:rFonts w:cstheme="minorHAnsi"/>
                <w:sz w:val="20"/>
                <w:szCs w:val="20"/>
              </w:rPr>
              <w:t>.</w:t>
            </w:r>
          </w:p>
        </w:tc>
        <w:tc>
          <w:tcPr>
            <w:tcW w:w="1461" w:type="dxa"/>
            <w:shd w:val="clear" w:color="auto" w:fill="FFFFFF" w:themeFill="background1"/>
          </w:tcPr>
          <w:p w14:paraId="07310361"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0D4D0A9A" w14:textId="77777777" w:rsidTr="00752513">
        <w:tc>
          <w:tcPr>
            <w:tcW w:w="1555" w:type="dxa"/>
            <w:shd w:val="clear" w:color="auto" w:fill="FFFFFF" w:themeFill="background1"/>
          </w:tcPr>
          <w:p w14:paraId="12735077" w14:textId="77777777" w:rsidR="00752513" w:rsidRPr="00CC1ADD" w:rsidRDefault="00752513" w:rsidP="005A3631">
            <w:pPr>
              <w:spacing w:before="40" w:after="40"/>
              <w:rPr>
                <w:rFonts w:cstheme="minorHAnsi"/>
                <w:sz w:val="20"/>
                <w:szCs w:val="20"/>
              </w:rPr>
            </w:pPr>
            <w:r w:rsidRPr="00CC1ADD">
              <w:rPr>
                <w:rFonts w:cstheme="minorHAnsi"/>
                <w:sz w:val="20"/>
                <w:szCs w:val="20"/>
              </w:rPr>
              <w:t>Sarah Moore Wellness</w:t>
            </w:r>
          </w:p>
        </w:tc>
        <w:tc>
          <w:tcPr>
            <w:tcW w:w="1275" w:type="dxa"/>
            <w:shd w:val="clear" w:color="auto" w:fill="FFFFFF" w:themeFill="background1"/>
          </w:tcPr>
          <w:p w14:paraId="6CE29136"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45" w:type="dxa"/>
            <w:shd w:val="clear" w:color="auto" w:fill="FFFFFF" w:themeFill="background1"/>
          </w:tcPr>
          <w:p w14:paraId="4AE9B65C"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 xml:space="preserve">Inclusion of detailed information about development of HSR and how to use the HSR effectively to make healthier choices for the family (from perspective of nutritionist) on </w:t>
            </w:r>
            <w:hyperlink r:id="rId141" w:history="1">
              <w:r w:rsidRPr="00CC1ADD">
                <w:rPr>
                  <w:rStyle w:val="Hyperlink"/>
                  <w:rFonts w:cstheme="minorHAnsi"/>
                  <w:sz w:val="20"/>
                  <w:szCs w:val="20"/>
                </w:rPr>
                <w:t>Sarah Moore Wellness website</w:t>
              </w:r>
            </w:hyperlink>
            <w:r w:rsidRPr="00CC1ADD">
              <w:rPr>
                <w:rStyle w:val="Hyperlink"/>
                <w:rFonts w:cstheme="minorHAnsi"/>
                <w:sz w:val="20"/>
                <w:szCs w:val="20"/>
              </w:rPr>
              <w:t>.</w:t>
            </w:r>
          </w:p>
        </w:tc>
        <w:tc>
          <w:tcPr>
            <w:tcW w:w="1461" w:type="dxa"/>
            <w:shd w:val="clear" w:color="auto" w:fill="FFFFFF" w:themeFill="background1"/>
          </w:tcPr>
          <w:p w14:paraId="0305B713"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bookmarkEnd w:id="168"/>
      <w:bookmarkEnd w:id="169"/>
    </w:tbl>
    <w:p w14:paraId="5F9C805A" w14:textId="77777777" w:rsidR="00752513" w:rsidRPr="00CC1ADD" w:rsidRDefault="00752513" w:rsidP="005D75D3">
      <w:pPr>
        <w:pStyle w:val="mpcNormal"/>
        <w:keepNext w:val="0"/>
      </w:pPr>
    </w:p>
    <w:p w14:paraId="11F4D554" w14:textId="1CAB4781" w:rsidR="00752513" w:rsidRPr="00CC1ADD" w:rsidRDefault="00752513">
      <w:pPr>
        <w:pStyle w:val="mpcheading2"/>
        <w:spacing w:after="0"/>
      </w:pPr>
      <w:bookmarkStart w:id="179" w:name="Complementary"/>
      <w:bookmarkStart w:id="180" w:name="_Toc9955084"/>
      <w:bookmarkEnd w:id="179"/>
      <w:r w:rsidRPr="00CC1ADD">
        <w:t>Complementary healthy eating initiatives</w:t>
      </w:r>
      <w:bookmarkEnd w:id="180"/>
    </w:p>
    <w:p w14:paraId="78A8BD7F" w14:textId="77777777" w:rsidR="00752513" w:rsidRPr="00CC1ADD" w:rsidRDefault="00752513" w:rsidP="005D75D3">
      <w:pPr>
        <w:keepLines/>
        <w:rPr>
          <w:rFonts w:cstheme="minorHAnsi"/>
          <w:b/>
          <w:sz w:val="18"/>
          <w:szCs w:val="20"/>
        </w:rPr>
      </w:pPr>
    </w:p>
    <w:p w14:paraId="7C7AA400" w14:textId="77777777" w:rsidR="00752513" w:rsidRPr="00CC1ADD" w:rsidRDefault="00752513" w:rsidP="005D75D3">
      <w:pPr>
        <w:keepLines/>
        <w:rPr>
          <w:rFonts w:cstheme="minorHAnsi"/>
          <w:b/>
          <w:sz w:val="21"/>
          <w:szCs w:val="20"/>
        </w:rPr>
      </w:pPr>
      <w:r w:rsidRPr="00CC1ADD">
        <w:rPr>
          <w:rFonts w:cstheme="minorHAnsi"/>
          <w:b/>
          <w:sz w:val="21"/>
          <w:szCs w:val="20"/>
        </w:rPr>
        <w:t>Industry, public health and joint initiatives</w:t>
      </w:r>
    </w:p>
    <w:p w14:paraId="07F27F60" w14:textId="77777777" w:rsidR="00752513" w:rsidRPr="00CC1ADD" w:rsidRDefault="00752513" w:rsidP="005D75D3">
      <w:pPr>
        <w:keepLines/>
        <w:rPr>
          <w:rFonts w:cstheme="minorHAnsi"/>
          <w:b/>
          <w:sz w:val="21"/>
          <w:szCs w:val="20"/>
        </w:rPr>
      </w:pPr>
    </w:p>
    <w:tbl>
      <w:tblPr>
        <w:tblStyle w:val="TableGrid"/>
        <w:tblW w:w="0" w:type="auto"/>
        <w:tblLook w:val="04A0" w:firstRow="1" w:lastRow="0" w:firstColumn="1" w:lastColumn="0" w:noHBand="0" w:noVBand="1"/>
        <w:tblCaption w:val="Complementary intiatives"/>
        <w:tblDescription w:val="This table provides information about some of the ways retailers, food manufacturers, government and public health agencies in Australia and New Zealand have engaged with promotion of the HSR System. "/>
      </w:tblPr>
      <w:tblGrid>
        <w:gridCol w:w="1555"/>
        <w:gridCol w:w="1275"/>
        <w:gridCol w:w="5387"/>
        <w:gridCol w:w="1519"/>
      </w:tblGrid>
      <w:tr w:rsidR="00752513" w:rsidRPr="00CC1ADD" w14:paraId="34B19410" w14:textId="77777777" w:rsidTr="00752513">
        <w:trPr>
          <w:tblHeader/>
        </w:trPr>
        <w:tc>
          <w:tcPr>
            <w:tcW w:w="1555" w:type="dxa"/>
            <w:shd w:val="clear" w:color="auto" w:fill="516A8E"/>
          </w:tcPr>
          <w:p w14:paraId="7D0D4496"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81" w:name="Type2"/>
            <w:bookmarkEnd w:id="181"/>
            <w:r w:rsidRPr="00CC1ADD">
              <w:rPr>
                <w:rFonts w:cstheme="minorHAnsi"/>
                <w:b/>
                <w:color w:val="FFFFFF" w:themeColor="background1"/>
                <w:szCs w:val="20"/>
              </w:rPr>
              <w:t>Type of Policy/Program</w:t>
            </w:r>
          </w:p>
        </w:tc>
        <w:tc>
          <w:tcPr>
            <w:tcW w:w="1275" w:type="dxa"/>
            <w:shd w:val="clear" w:color="auto" w:fill="516A8E"/>
          </w:tcPr>
          <w:p w14:paraId="010D2FF9"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387" w:type="dxa"/>
            <w:shd w:val="clear" w:color="auto" w:fill="516A8E"/>
          </w:tcPr>
          <w:p w14:paraId="71F61222"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519" w:type="dxa"/>
            <w:shd w:val="clear" w:color="auto" w:fill="516A8E"/>
          </w:tcPr>
          <w:p w14:paraId="0822A8C7"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1A81FD76" w14:textId="77777777" w:rsidTr="00752513">
        <w:tc>
          <w:tcPr>
            <w:tcW w:w="1555" w:type="dxa"/>
            <w:shd w:val="clear" w:color="auto" w:fill="FFFFFF" w:themeFill="background1"/>
          </w:tcPr>
          <w:p w14:paraId="1B8A0561" w14:textId="77777777" w:rsidR="00752513" w:rsidRPr="00CC1ADD" w:rsidRDefault="00752513" w:rsidP="005A3631">
            <w:pPr>
              <w:spacing w:before="40" w:after="40"/>
              <w:rPr>
                <w:rFonts w:cstheme="minorHAnsi"/>
                <w:sz w:val="20"/>
                <w:szCs w:val="20"/>
              </w:rPr>
            </w:pPr>
            <w:r w:rsidRPr="00CC1ADD">
              <w:rPr>
                <w:rFonts w:cstheme="minorHAnsi"/>
                <w:sz w:val="20"/>
                <w:szCs w:val="20"/>
              </w:rPr>
              <w:t>Family Food Patch – You Tube clips sugar in drinks</w:t>
            </w:r>
          </w:p>
        </w:tc>
        <w:tc>
          <w:tcPr>
            <w:tcW w:w="1275" w:type="dxa"/>
            <w:shd w:val="clear" w:color="auto" w:fill="FFFFFF" w:themeFill="background1"/>
          </w:tcPr>
          <w:p w14:paraId="18FD0C5E" w14:textId="77777777" w:rsidR="00752513" w:rsidRPr="00CC1ADD" w:rsidRDefault="00752513">
            <w:pPr>
              <w:spacing w:before="40" w:after="40"/>
              <w:rPr>
                <w:rFonts w:cstheme="minorHAnsi"/>
                <w:sz w:val="20"/>
                <w:szCs w:val="20"/>
              </w:rPr>
            </w:pPr>
            <w:r w:rsidRPr="00CC1ADD">
              <w:rPr>
                <w:rFonts w:cstheme="minorHAnsi"/>
                <w:sz w:val="20"/>
                <w:szCs w:val="20"/>
              </w:rPr>
              <w:t>Tasmania</w:t>
            </w:r>
          </w:p>
        </w:tc>
        <w:tc>
          <w:tcPr>
            <w:tcW w:w="5387" w:type="dxa"/>
            <w:shd w:val="clear" w:color="auto" w:fill="FFFFFF" w:themeFill="background1"/>
          </w:tcPr>
          <w:p w14:paraId="3ED0397B" w14:textId="77777777" w:rsidR="00752513" w:rsidRPr="00CC1ADD" w:rsidRDefault="00752513">
            <w:pPr>
              <w:spacing w:before="40" w:after="40"/>
              <w:rPr>
                <w:rFonts w:cstheme="minorHAnsi"/>
                <w:sz w:val="20"/>
                <w:szCs w:val="20"/>
              </w:rPr>
            </w:pPr>
            <w:r w:rsidRPr="00CC1ADD">
              <w:rPr>
                <w:rFonts w:cstheme="minorHAnsi"/>
                <w:color w:val="222222"/>
                <w:sz w:val="20"/>
                <w:szCs w:val="20"/>
              </w:rPr>
              <w:t>State</w:t>
            </w:r>
            <w:r w:rsidRPr="00CC1ADD">
              <w:rPr>
                <w:rFonts w:cstheme="minorHAnsi"/>
                <w:sz w:val="20"/>
                <w:szCs w:val="20"/>
              </w:rPr>
              <w:t>-wide promotion through the family Food Patch peer education program. Includes you-tube educational videos designed for peer food educators and communities.</w:t>
            </w:r>
          </w:p>
          <w:p w14:paraId="5539FA86" w14:textId="77777777" w:rsidR="00752513" w:rsidRPr="00CC1ADD" w:rsidRDefault="00752513">
            <w:pPr>
              <w:spacing w:before="40" w:after="40"/>
              <w:rPr>
                <w:rFonts w:cstheme="minorHAnsi"/>
                <w:color w:val="222222"/>
                <w:sz w:val="20"/>
                <w:szCs w:val="20"/>
              </w:rPr>
            </w:pPr>
          </w:p>
        </w:tc>
        <w:tc>
          <w:tcPr>
            <w:tcW w:w="1519" w:type="dxa"/>
            <w:shd w:val="clear" w:color="auto" w:fill="FFFFFF" w:themeFill="background1"/>
          </w:tcPr>
          <w:p w14:paraId="2C4CD487"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047E5DCA" w14:textId="77777777" w:rsidTr="00752513">
        <w:tc>
          <w:tcPr>
            <w:tcW w:w="1555" w:type="dxa"/>
            <w:shd w:val="clear" w:color="auto" w:fill="FFFFFF" w:themeFill="background1"/>
          </w:tcPr>
          <w:p w14:paraId="07E5571C" w14:textId="77777777" w:rsidR="00752513" w:rsidRPr="00CC1ADD" w:rsidRDefault="00752513" w:rsidP="005A3631">
            <w:pPr>
              <w:spacing w:before="40" w:after="40"/>
              <w:rPr>
                <w:rFonts w:cstheme="minorHAnsi"/>
                <w:sz w:val="20"/>
                <w:szCs w:val="20"/>
              </w:rPr>
            </w:pPr>
            <w:r w:rsidRPr="00CC1ADD">
              <w:rPr>
                <w:rFonts w:cstheme="minorHAnsi"/>
                <w:sz w:val="20"/>
                <w:szCs w:val="20"/>
              </w:rPr>
              <w:t>Food for Thought</w:t>
            </w:r>
          </w:p>
        </w:tc>
        <w:tc>
          <w:tcPr>
            <w:tcW w:w="1275" w:type="dxa"/>
            <w:shd w:val="clear" w:color="auto" w:fill="FFFFFF" w:themeFill="background1"/>
          </w:tcPr>
          <w:p w14:paraId="044B8C57"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387" w:type="dxa"/>
            <w:shd w:val="clear" w:color="auto" w:fill="FFFFFF" w:themeFill="background1"/>
          </w:tcPr>
          <w:p w14:paraId="61539DCD"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A healthy choices nutrition program for year 5 and 6 primary school students incorporating a framework of activities, nutritionist support and sponsored lunch and a supermarket visit to Pak’n’Save, New World or Four Square supermarkets.</w:t>
            </w:r>
          </w:p>
        </w:tc>
        <w:tc>
          <w:tcPr>
            <w:tcW w:w="1519" w:type="dxa"/>
            <w:shd w:val="clear" w:color="auto" w:fill="FFFFFF" w:themeFill="background1"/>
          </w:tcPr>
          <w:p w14:paraId="5FD9A427" w14:textId="77777777" w:rsidR="00752513" w:rsidRPr="00CC1ADD" w:rsidRDefault="00752513">
            <w:pPr>
              <w:spacing w:before="40" w:after="40"/>
              <w:rPr>
                <w:rFonts w:cstheme="minorHAnsi"/>
                <w:sz w:val="20"/>
                <w:szCs w:val="20"/>
              </w:rPr>
            </w:pPr>
            <w:r w:rsidRPr="00CC1ADD">
              <w:rPr>
                <w:rFonts w:cstheme="minorHAnsi"/>
                <w:sz w:val="20"/>
                <w:szCs w:val="20"/>
              </w:rPr>
              <w:t>Primary school students</w:t>
            </w:r>
          </w:p>
          <w:p w14:paraId="3B7B4E79" w14:textId="77777777" w:rsidR="00752513" w:rsidRPr="00CC1ADD" w:rsidRDefault="00752513">
            <w:pPr>
              <w:spacing w:before="40" w:after="40"/>
              <w:rPr>
                <w:rFonts w:cstheme="minorHAnsi"/>
                <w:sz w:val="20"/>
                <w:szCs w:val="20"/>
              </w:rPr>
            </w:pPr>
          </w:p>
        </w:tc>
      </w:tr>
      <w:tr w:rsidR="00752513" w:rsidRPr="00CC1ADD" w14:paraId="5D37B9C9" w14:textId="77777777" w:rsidTr="00752513">
        <w:tc>
          <w:tcPr>
            <w:tcW w:w="1555" w:type="dxa"/>
            <w:shd w:val="clear" w:color="auto" w:fill="FFFFFF" w:themeFill="background1"/>
          </w:tcPr>
          <w:p w14:paraId="7EE0BC16" w14:textId="77777777" w:rsidR="00752513" w:rsidRPr="00CC1ADD" w:rsidRDefault="00752513" w:rsidP="005A3631">
            <w:pPr>
              <w:spacing w:before="40" w:after="40"/>
              <w:rPr>
                <w:rFonts w:cstheme="minorHAnsi"/>
                <w:sz w:val="20"/>
                <w:szCs w:val="20"/>
              </w:rPr>
            </w:pPr>
            <w:r w:rsidRPr="00CC1ADD">
              <w:rPr>
                <w:rFonts w:cstheme="minorHAnsi"/>
                <w:sz w:val="20"/>
                <w:szCs w:val="20"/>
              </w:rPr>
              <w:t>Free fruit for kids</w:t>
            </w:r>
          </w:p>
        </w:tc>
        <w:tc>
          <w:tcPr>
            <w:tcW w:w="1275" w:type="dxa"/>
            <w:shd w:val="clear" w:color="auto" w:fill="FFFFFF" w:themeFill="background1"/>
          </w:tcPr>
          <w:p w14:paraId="0E9C908E" w14:textId="77777777" w:rsidR="00752513" w:rsidRPr="00CC1ADD" w:rsidRDefault="00752513">
            <w:pPr>
              <w:spacing w:before="40" w:after="40"/>
              <w:rPr>
                <w:rFonts w:cstheme="minorHAnsi"/>
                <w:sz w:val="20"/>
                <w:szCs w:val="20"/>
              </w:rPr>
            </w:pPr>
            <w:r w:rsidRPr="00CC1ADD">
              <w:rPr>
                <w:rFonts w:cstheme="minorHAnsi"/>
                <w:sz w:val="20"/>
                <w:szCs w:val="20"/>
              </w:rPr>
              <w:t>Australia, New Zealand</w:t>
            </w:r>
          </w:p>
        </w:tc>
        <w:tc>
          <w:tcPr>
            <w:tcW w:w="5387" w:type="dxa"/>
            <w:shd w:val="clear" w:color="auto" w:fill="FFFFFF" w:themeFill="background1"/>
          </w:tcPr>
          <w:p w14:paraId="2762551B"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Free fresh fruit available for children while parents are shopping at Harris Farm Markets, Woolworths, Coles, Countdown, Fresh Choice.</w:t>
            </w:r>
          </w:p>
        </w:tc>
        <w:tc>
          <w:tcPr>
            <w:tcW w:w="1519" w:type="dxa"/>
            <w:shd w:val="clear" w:color="auto" w:fill="FFFFFF" w:themeFill="background1"/>
          </w:tcPr>
          <w:p w14:paraId="0267A529" w14:textId="77777777" w:rsidR="00752513" w:rsidRPr="00CC1ADD" w:rsidRDefault="00752513">
            <w:pPr>
              <w:spacing w:before="40" w:after="40"/>
              <w:rPr>
                <w:rFonts w:cstheme="minorHAnsi"/>
                <w:sz w:val="20"/>
                <w:szCs w:val="20"/>
              </w:rPr>
            </w:pPr>
            <w:r w:rsidRPr="00CC1ADD">
              <w:rPr>
                <w:rFonts w:cstheme="minorHAnsi"/>
                <w:sz w:val="20"/>
                <w:szCs w:val="20"/>
              </w:rPr>
              <w:t>Parents and children</w:t>
            </w:r>
          </w:p>
        </w:tc>
      </w:tr>
      <w:tr w:rsidR="00A46252" w:rsidRPr="00CC1ADD" w14:paraId="20EB0132" w14:textId="77777777" w:rsidTr="00752513">
        <w:tc>
          <w:tcPr>
            <w:tcW w:w="1555" w:type="dxa"/>
            <w:shd w:val="clear" w:color="auto" w:fill="FFFFFF" w:themeFill="background1"/>
          </w:tcPr>
          <w:p w14:paraId="6DED53E4" w14:textId="416113DB" w:rsidR="00A46252" w:rsidRPr="00CC1ADD" w:rsidRDefault="00A46252" w:rsidP="005A3631">
            <w:pPr>
              <w:spacing w:before="40" w:after="40"/>
              <w:rPr>
                <w:rFonts w:cstheme="minorHAnsi"/>
                <w:sz w:val="20"/>
                <w:szCs w:val="20"/>
              </w:rPr>
            </w:pPr>
            <w:r>
              <w:rPr>
                <w:rFonts w:cstheme="minorHAnsi"/>
                <w:sz w:val="20"/>
                <w:szCs w:val="20"/>
              </w:rPr>
              <w:t>Milk for Schools</w:t>
            </w:r>
          </w:p>
        </w:tc>
        <w:tc>
          <w:tcPr>
            <w:tcW w:w="1275" w:type="dxa"/>
            <w:shd w:val="clear" w:color="auto" w:fill="FFFFFF" w:themeFill="background1"/>
          </w:tcPr>
          <w:p w14:paraId="44B83AF4" w14:textId="6CD6016F" w:rsidR="00A46252" w:rsidRPr="00CC1ADD" w:rsidRDefault="00A46252">
            <w:pPr>
              <w:spacing w:before="40" w:after="40"/>
              <w:rPr>
                <w:rFonts w:cstheme="minorHAnsi"/>
                <w:sz w:val="20"/>
                <w:szCs w:val="20"/>
              </w:rPr>
            </w:pPr>
            <w:r w:rsidRPr="00CC1ADD">
              <w:rPr>
                <w:rFonts w:cstheme="minorHAnsi"/>
                <w:sz w:val="20"/>
                <w:szCs w:val="20"/>
              </w:rPr>
              <w:t>New Zealand</w:t>
            </w:r>
          </w:p>
        </w:tc>
        <w:tc>
          <w:tcPr>
            <w:tcW w:w="5387" w:type="dxa"/>
            <w:shd w:val="clear" w:color="auto" w:fill="FFFFFF" w:themeFill="background1"/>
          </w:tcPr>
          <w:p w14:paraId="6ABA767C" w14:textId="2C5CD8F7" w:rsidR="00A46252" w:rsidRPr="00CC1ADD" w:rsidRDefault="00A46252">
            <w:pPr>
              <w:spacing w:before="40" w:after="40"/>
              <w:rPr>
                <w:rFonts w:cstheme="minorHAnsi"/>
                <w:color w:val="222222"/>
                <w:sz w:val="20"/>
                <w:szCs w:val="20"/>
              </w:rPr>
            </w:pPr>
            <w:r>
              <w:rPr>
                <w:rFonts w:cstheme="minorHAnsi"/>
                <w:color w:val="222222"/>
                <w:sz w:val="20"/>
                <w:szCs w:val="20"/>
              </w:rPr>
              <w:t>Fonterra is currently providing free milk in 70% of New Zealand primary schools.</w:t>
            </w:r>
          </w:p>
        </w:tc>
        <w:tc>
          <w:tcPr>
            <w:tcW w:w="1519" w:type="dxa"/>
            <w:shd w:val="clear" w:color="auto" w:fill="FFFFFF" w:themeFill="background1"/>
          </w:tcPr>
          <w:p w14:paraId="0E6056B4" w14:textId="3E969617" w:rsidR="00A46252" w:rsidRPr="00CC1ADD" w:rsidRDefault="00A46252">
            <w:pPr>
              <w:spacing w:before="40" w:after="40"/>
              <w:rPr>
                <w:rFonts w:cstheme="minorHAnsi"/>
                <w:sz w:val="20"/>
                <w:szCs w:val="20"/>
              </w:rPr>
            </w:pPr>
            <w:r w:rsidRPr="00CC1ADD">
              <w:rPr>
                <w:rFonts w:cstheme="minorHAnsi"/>
                <w:sz w:val="20"/>
                <w:szCs w:val="20"/>
              </w:rPr>
              <w:t>Primary school students</w:t>
            </w:r>
          </w:p>
        </w:tc>
      </w:tr>
      <w:tr w:rsidR="00752513" w:rsidRPr="00CC1ADD" w14:paraId="40E2F7AA" w14:textId="77777777" w:rsidTr="00752513">
        <w:tc>
          <w:tcPr>
            <w:tcW w:w="1555" w:type="dxa"/>
            <w:shd w:val="clear" w:color="auto" w:fill="FFFFFF" w:themeFill="background1"/>
          </w:tcPr>
          <w:p w14:paraId="3DDF2E16" w14:textId="77777777" w:rsidR="00752513" w:rsidRPr="00CC1ADD" w:rsidRDefault="00752513" w:rsidP="005A3631">
            <w:pPr>
              <w:spacing w:before="40" w:after="40"/>
              <w:rPr>
                <w:rFonts w:cstheme="minorHAnsi"/>
                <w:sz w:val="20"/>
                <w:szCs w:val="20"/>
              </w:rPr>
            </w:pPr>
            <w:r w:rsidRPr="00CC1ADD">
              <w:rPr>
                <w:rFonts w:cstheme="minorHAnsi"/>
                <w:sz w:val="20"/>
                <w:szCs w:val="20"/>
              </w:rPr>
              <w:t>HeartSAFE reformulation programme</w:t>
            </w:r>
          </w:p>
        </w:tc>
        <w:tc>
          <w:tcPr>
            <w:tcW w:w="1275" w:type="dxa"/>
            <w:shd w:val="clear" w:color="auto" w:fill="FFFFFF" w:themeFill="background1"/>
          </w:tcPr>
          <w:p w14:paraId="35F7D936"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387" w:type="dxa"/>
            <w:shd w:val="clear" w:color="auto" w:fill="FFFFFF" w:themeFill="background1"/>
          </w:tcPr>
          <w:p w14:paraId="0054B095" w14:textId="77777777" w:rsidR="00752513" w:rsidRPr="00CC1ADD" w:rsidRDefault="00752513">
            <w:pPr>
              <w:spacing w:before="40" w:after="40"/>
              <w:rPr>
                <w:rFonts w:cstheme="minorHAnsi"/>
                <w:color w:val="222222"/>
                <w:sz w:val="20"/>
                <w:szCs w:val="20"/>
              </w:rPr>
            </w:pPr>
            <w:r w:rsidRPr="00CC1ADD">
              <w:rPr>
                <w:rFonts w:eastAsia="Times New Roman" w:cstheme="minorHAnsi"/>
                <w:sz w:val="20"/>
                <w:szCs w:val="20"/>
                <w:lang w:eastAsia="en-NZ"/>
              </w:rPr>
              <w:t>Funded by the Ministry of Health and led by New Zealand Heart Foundation, it sets targets for sodium reductions in processed foods.</w:t>
            </w:r>
          </w:p>
        </w:tc>
        <w:tc>
          <w:tcPr>
            <w:tcW w:w="1519" w:type="dxa"/>
            <w:shd w:val="clear" w:color="auto" w:fill="FFFFFF" w:themeFill="background1"/>
          </w:tcPr>
          <w:p w14:paraId="4C06EDF0" w14:textId="77777777" w:rsidR="00752513" w:rsidRPr="00CC1ADD" w:rsidRDefault="00752513">
            <w:pPr>
              <w:spacing w:before="40" w:after="40"/>
              <w:rPr>
                <w:rFonts w:cstheme="minorHAnsi"/>
                <w:sz w:val="20"/>
                <w:szCs w:val="20"/>
              </w:rPr>
            </w:pPr>
            <w:r w:rsidRPr="00CC1ADD">
              <w:rPr>
                <w:rFonts w:cstheme="minorHAnsi"/>
                <w:sz w:val="20"/>
                <w:szCs w:val="20"/>
              </w:rPr>
              <w:t>Food manufacturers and producers</w:t>
            </w:r>
          </w:p>
        </w:tc>
      </w:tr>
      <w:tr w:rsidR="00752513" w:rsidRPr="00CC1ADD" w14:paraId="5C68990B" w14:textId="77777777" w:rsidTr="00752513">
        <w:tc>
          <w:tcPr>
            <w:tcW w:w="1555" w:type="dxa"/>
            <w:shd w:val="clear" w:color="auto" w:fill="FFFFFF" w:themeFill="background1"/>
          </w:tcPr>
          <w:p w14:paraId="5E441710" w14:textId="77777777" w:rsidR="00752513" w:rsidRPr="00CC1ADD" w:rsidRDefault="00752513" w:rsidP="005A3631">
            <w:pPr>
              <w:spacing w:before="40" w:after="40"/>
              <w:rPr>
                <w:rFonts w:cstheme="minorHAnsi"/>
                <w:sz w:val="20"/>
                <w:szCs w:val="20"/>
              </w:rPr>
            </w:pPr>
            <w:r w:rsidRPr="00CC1ADD">
              <w:rPr>
                <w:rFonts w:cstheme="minorHAnsi"/>
                <w:bCs/>
                <w:sz w:val="20"/>
                <w:szCs w:val="20"/>
              </w:rPr>
              <w:t>Live Lighter campaign</w:t>
            </w:r>
          </w:p>
        </w:tc>
        <w:tc>
          <w:tcPr>
            <w:tcW w:w="1275" w:type="dxa"/>
            <w:shd w:val="clear" w:color="auto" w:fill="FFFFFF" w:themeFill="background1"/>
          </w:tcPr>
          <w:p w14:paraId="7535A6A3" w14:textId="77777777" w:rsidR="00752513" w:rsidRPr="00CC1ADD" w:rsidRDefault="00752513">
            <w:pPr>
              <w:spacing w:before="40" w:after="40"/>
              <w:rPr>
                <w:rFonts w:cstheme="minorHAnsi"/>
                <w:sz w:val="20"/>
                <w:szCs w:val="20"/>
              </w:rPr>
            </w:pPr>
            <w:r w:rsidRPr="00CC1ADD">
              <w:rPr>
                <w:rFonts w:cstheme="minorHAnsi"/>
                <w:bCs/>
                <w:sz w:val="20"/>
                <w:szCs w:val="20"/>
              </w:rPr>
              <w:t xml:space="preserve">WA, ACT, NT and Victoria </w:t>
            </w:r>
          </w:p>
        </w:tc>
        <w:tc>
          <w:tcPr>
            <w:tcW w:w="5387" w:type="dxa"/>
            <w:shd w:val="clear" w:color="auto" w:fill="FFFFFF" w:themeFill="background1"/>
          </w:tcPr>
          <w:p w14:paraId="2646B5A6" w14:textId="77777777" w:rsidR="00752513" w:rsidRPr="00CC1ADD" w:rsidRDefault="00752513">
            <w:pPr>
              <w:spacing w:before="40" w:after="40"/>
              <w:rPr>
                <w:rFonts w:cstheme="minorHAnsi"/>
                <w:sz w:val="20"/>
                <w:szCs w:val="20"/>
              </w:rPr>
            </w:pPr>
            <w:r w:rsidRPr="00CC1ADD">
              <w:rPr>
                <w:rFonts w:cstheme="minorHAnsi"/>
                <w:bCs/>
                <w:sz w:val="20"/>
                <w:szCs w:val="20"/>
              </w:rPr>
              <w:t xml:space="preserve">A campaign (developed in WA) that aims to promote healthy eating, physical activity and healthy weight through </w:t>
            </w:r>
            <w:r w:rsidRPr="00CC1ADD">
              <w:rPr>
                <w:rFonts w:cstheme="minorHAnsi"/>
                <w:sz w:val="20"/>
                <w:szCs w:val="20"/>
              </w:rPr>
              <w:t>mass media, advertising, social media, online and printed resources, advocacy and retailers. Online resources include sugar related education material on avoiding sugary drinks and tips to cut back on added sugar in the diet.</w:t>
            </w:r>
          </w:p>
        </w:tc>
        <w:tc>
          <w:tcPr>
            <w:tcW w:w="1519" w:type="dxa"/>
            <w:shd w:val="clear" w:color="auto" w:fill="FFFFFF" w:themeFill="background1"/>
          </w:tcPr>
          <w:p w14:paraId="01B373A8" w14:textId="77777777" w:rsidR="00752513" w:rsidRPr="00CC1ADD" w:rsidRDefault="00752513">
            <w:pPr>
              <w:spacing w:before="40" w:after="40"/>
              <w:rPr>
                <w:rFonts w:cstheme="minorHAnsi"/>
                <w:sz w:val="20"/>
                <w:szCs w:val="20"/>
              </w:rPr>
            </w:pPr>
            <w:r w:rsidRPr="00CC1ADD">
              <w:rPr>
                <w:rFonts w:cstheme="minorHAnsi"/>
                <w:sz w:val="20"/>
                <w:szCs w:val="20"/>
              </w:rPr>
              <w:t>Adults and parents of children 0 - 12 years</w:t>
            </w:r>
          </w:p>
        </w:tc>
      </w:tr>
      <w:tr w:rsidR="00752513" w:rsidRPr="00CC1ADD" w14:paraId="00EC6C6B" w14:textId="77777777" w:rsidTr="00752513">
        <w:tc>
          <w:tcPr>
            <w:tcW w:w="1555" w:type="dxa"/>
            <w:shd w:val="clear" w:color="auto" w:fill="FFFFFF" w:themeFill="background1"/>
          </w:tcPr>
          <w:p w14:paraId="33C430DD" w14:textId="77777777" w:rsidR="00752513" w:rsidRPr="00CC1ADD" w:rsidRDefault="00752513" w:rsidP="005A3631">
            <w:pPr>
              <w:spacing w:before="40" w:after="40"/>
              <w:rPr>
                <w:rFonts w:cstheme="minorHAnsi"/>
                <w:sz w:val="20"/>
                <w:szCs w:val="20"/>
              </w:rPr>
            </w:pPr>
            <w:r w:rsidRPr="00CC1ADD">
              <w:rPr>
                <w:rFonts w:cstheme="minorHAnsi"/>
                <w:sz w:val="20"/>
                <w:szCs w:val="20"/>
              </w:rPr>
              <w:t>Responsible Children’s Marketing Initiative</w:t>
            </w:r>
          </w:p>
        </w:tc>
        <w:tc>
          <w:tcPr>
            <w:tcW w:w="1275" w:type="dxa"/>
            <w:shd w:val="clear" w:color="auto" w:fill="FFFFFF" w:themeFill="background1"/>
          </w:tcPr>
          <w:p w14:paraId="08934E0E"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387" w:type="dxa"/>
            <w:shd w:val="clear" w:color="auto" w:fill="FFFFFF" w:themeFill="background1"/>
          </w:tcPr>
          <w:p w14:paraId="1626124E"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An initiative developed by the Australian food and beverage manufacturing industry in 2008 in response to concerns about the level of advertising of foods high in energy, fat, sugar and salt to children.</w:t>
            </w:r>
          </w:p>
          <w:p w14:paraId="4D98FC0C"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Signatories report against company action plans which highlight specific steps towards meeting commitment to responsible marketing of food and beverages to children.</w:t>
            </w:r>
          </w:p>
        </w:tc>
        <w:tc>
          <w:tcPr>
            <w:tcW w:w="1519" w:type="dxa"/>
            <w:shd w:val="clear" w:color="auto" w:fill="FFFFFF" w:themeFill="background1"/>
          </w:tcPr>
          <w:p w14:paraId="010A3DAB" w14:textId="77777777" w:rsidR="00752513" w:rsidRPr="00CC1ADD" w:rsidRDefault="00752513">
            <w:pPr>
              <w:spacing w:before="40" w:after="40"/>
              <w:rPr>
                <w:rFonts w:cstheme="minorHAnsi"/>
                <w:sz w:val="20"/>
                <w:szCs w:val="20"/>
              </w:rPr>
            </w:pPr>
            <w:r w:rsidRPr="00CC1ADD">
              <w:rPr>
                <w:rFonts w:cstheme="minorHAnsi"/>
                <w:sz w:val="20"/>
                <w:szCs w:val="20"/>
              </w:rPr>
              <w:t>Industry</w:t>
            </w:r>
          </w:p>
        </w:tc>
      </w:tr>
      <w:tr w:rsidR="00752513" w:rsidRPr="00CC1ADD" w14:paraId="601AC2CD" w14:textId="77777777" w:rsidTr="00752513">
        <w:tc>
          <w:tcPr>
            <w:tcW w:w="1555" w:type="dxa"/>
            <w:shd w:val="clear" w:color="auto" w:fill="FFFFFF" w:themeFill="background1"/>
          </w:tcPr>
          <w:p w14:paraId="0907E731" w14:textId="77777777" w:rsidR="00752513" w:rsidRPr="00CC1ADD" w:rsidRDefault="00752513" w:rsidP="005A3631">
            <w:pPr>
              <w:spacing w:before="40" w:after="40"/>
              <w:rPr>
                <w:rFonts w:cstheme="minorHAnsi"/>
                <w:sz w:val="20"/>
                <w:szCs w:val="20"/>
              </w:rPr>
            </w:pPr>
            <w:r w:rsidRPr="00CC1ADD">
              <w:rPr>
                <w:rFonts w:cstheme="minorHAnsi"/>
                <w:sz w:val="20"/>
                <w:szCs w:val="20"/>
              </w:rPr>
              <w:t>Victorian Salt Reduction Partnership</w:t>
            </w:r>
          </w:p>
        </w:tc>
        <w:tc>
          <w:tcPr>
            <w:tcW w:w="1275" w:type="dxa"/>
            <w:shd w:val="clear" w:color="auto" w:fill="FFFFFF" w:themeFill="background1"/>
          </w:tcPr>
          <w:p w14:paraId="0F3D091F" w14:textId="77777777" w:rsidR="00752513" w:rsidRPr="00CC1ADD" w:rsidRDefault="00752513">
            <w:pPr>
              <w:spacing w:before="40" w:after="40"/>
              <w:rPr>
                <w:rFonts w:cstheme="minorHAnsi"/>
                <w:sz w:val="20"/>
                <w:szCs w:val="20"/>
              </w:rPr>
            </w:pPr>
            <w:r w:rsidRPr="00CC1ADD">
              <w:rPr>
                <w:rFonts w:cstheme="minorHAnsi"/>
                <w:sz w:val="20"/>
                <w:szCs w:val="20"/>
              </w:rPr>
              <w:t>Victoria, Australia</w:t>
            </w:r>
          </w:p>
        </w:tc>
        <w:tc>
          <w:tcPr>
            <w:tcW w:w="5387" w:type="dxa"/>
            <w:shd w:val="clear" w:color="auto" w:fill="FFFFFF" w:themeFill="background1"/>
          </w:tcPr>
          <w:p w14:paraId="3393ABF2" w14:textId="77777777" w:rsidR="00752513" w:rsidRPr="00CC1ADD" w:rsidRDefault="00752513">
            <w:pPr>
              <w:spacing w:before="40" w:after="40"/>
              <w:rPr>
                <w:rFonts w:cstheme="minorHAnsi"/>
                <w:color w:val="222222"/>
                <w:sz w:val="20"/>
                <w:szCs w:val="20"/>
              </w:rPr>
            </w:pPr>
            <w:r w:rsidRPr="00CC1ADD">
              <w:rPr>
                <w:rFonts w:cstheme="minorHAnsi"/>
                <w:color w:val="222222"/>
                <w:sz w:val="20"/>
                <w:szCs w:val="20"/>
              </w:rPr>
              <w:t>A joint action plan of the VicHealth, National Heart Foundation, The George Institute, Deakin University, IPAN, Stroke Foundation, Kidney Health Australia, Baker Heart and Diabetes Institute, AHPS and HBPRCA to reduce salt intake in Victoria and Australia.</w:t>
            </w:r>
          </w:p>
        </w:tc>
        <w:tc>
          <w:tcPr>
            <w:tcW w:w="1519" w:type="dxa"/>
            <w:shd w:val="clear" w:color="auto" w:fill="FFFFFF" w:themeFill="background1"/>
          </w:tcPr>
          <w:p w14:paraId="433840CD"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bl>
    <w:p w14:paraId="7DB01380" w14:textId="77777777" w:rsidR="00752513" w:rsidRPr="00CC1ADD" w:rsidRDefault="00752513" w:rsidP="0017608D">
      <w:pPr>
        <w:keepLines/>
        <w:rPr>
          <w:rFonts w:cstheme="minorHAnsi"/>
          <w:b/>
          <w:sz w:val="20"/>
          <w:szCs w:val="20"/>
        </w:rPr>
      </w:pPr>
    </w:p>
    <w:p w14:paraId="66E91E51" w14:textId="77777777" w:rsidR="00752513" w:rsidRPr="00CC1ADD" w:rsidRDefault="00752513" w:rsidP="0017608D">
      <w:pPr>
        <w:keepNext/>
        <w:rPr>
          <w:rFonts w:cstheme="minorHAnsi"/>
          <w:b/>
          <w:sz w:val="20"/>
          <w:szCs w:val="20"/>
        </w:rPr>
      </w:pPr>
      <w:r w:rsidRPr="00CC1ADD">
        <w:rPr>
          <w:rFonts w:cstheme="minorHAnsi"/>
          <w:b/>
          <w:sz w:val="20"/>
          <w:szCs w:val="20"/>
        </w:rPr>
        <w:t>Government led initiatives</w:t>
      </w:r>
    </w:p>
    <w:p w14:paraId="183CFD58" w14:textId="77777777" w:rsidR="00752513" w:rsidRPr="00CC1ADD" w:rsidRDefault="00752513" w:rsidP="0017608D">
      <w:pPr>
        <w:keepNext/>
        <w:rPr>
          <w:rFonts w:cstheme="minorHAnsi"/>
          <w:b/>
          <w:sz w:val="20"/>
          <w:szCs w:val="20"/>
        </w:rPr>
      </w:pPr>
    </w:p>
    <w:tbl>
      <w:tblPr>
        <w:tblStyle w:val="TableGrid"/>
        <w:tblW w:w="0" w:type="auto"/>
        <w:tblLayout w:type="fixed"/>
        <w:tblLook w:val="04A0" w:firstRow="1" w:lastRow="0" w:firstColumn="1" w:lastColumn="0" w:noHBand="0" w:noVBand="1"/>
        <w:tblCaption w:val="Complementary initiatives - Govt"/>
        <w:tblDescription w:val="This table provides information about some of the ways retailers, food manufacturers, government and public health agencies in Australia and New Zealand have engaged with promotion of the HSR System. "/>
      </w:tblPr>
      <w:tblGrid>
        <w:gridCol w:w="1555"/>
        <w:gridCol w:w="1275"/>
        <w:gridCol w:w="5426"/>
        <w:gridCol w:w="1480"/>
      </w:tblGrid>
      <w:tr w:rsidR="00752513" w:rsidRPr="00CC1ADD" w14:paraId="1A21A84B" w14:textId="77777777" w:rsidTr="00752513">
        <w:trPr>
          <w:tblHeader/>
        </w:trPr>
        <w:tc>
          <w:tcPr>
            <w:tcW w:w="1555" w:type="dxa"/>
            <w:shd w:val="clear" w:color="auto" w:fill="516A8E"/>
          </w:tcPr>
          <w:p w14:paraId="76CFCC5E"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Type of Policy/Program</w:t>
            </w:r>
          </w:p>
        </w:tc>
        <w:tc>
          <w:tcPr>
            <w:tcW w:w="1275" w:type="dxa"/>
            <w:shd w:val="clear" w:color="auto" w:fill="516A8E"/>
          </w:tcPr>
          <w:p w14:paraId="1CE02338"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426" w:type="dxa"/>
            <w:shd w:val="clear" w:color="auto" w:fill="516A8E"/>
          </w:tcPr>
          <w:p w14:paraId="5DB3D290"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480" w:type="dxa"/>
            <w:shd w:val="clear" w:color="auto" w:fill="516A8E"/>
          </w:tcPr>
          <w:p w14:paraId="56A1D97E" w14:textId="77777777" w:rsidR="00752513" w:rsidRPr="00CC1ADD" w:rsidRDefault="00752513" w:rsidP="0017608D">
            <w:pPr>
              <w:pStyle w:val="Tabletext"/>
              <w:keepN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0B6BD748" w14:textId="77777777" w:rsidTr="00752513">
        <w:tc>
          <w:tcPr>
            <w:tcW w:w="1555" w:type="dxa"/>
            <w:shd w:val="clear" w:color="auto" w:fill="FFFFFF" w:themeFill="background1"/>
          </w:tcPr>
          <w:p w14:paraId="1841FFD8" w14:textId="77777777" w:rsidR="00752513" w:rsidRPr="00CC1ADD" w:rsidRDefault="00752513" w:rsidP="005A3631">
            <w:pPr>
              <w:spacing w:before="40" w:after="40"/>
              <w:rPr>
                <w:rFonts w:cstheme="minorHAnsi"/>
                <w:sz w:val="20"/>
                <w:szCs w:val="20"/>
              </w:rPr>
            </w:pPr>
            <w:r w:rsidRPr="00CC1ADD">
              <w:rPr>
                <w:rFonts w:cstheme="minorHAnsi"/>
                <w:sz w:val="20"/>
                <w:szCs w:val="20"/>
              </w:rPr>
              <w:t>Healthy Food Partnership</w:t>
            </w:r>
          </w:p>
        </w:tc>
        <w:tc>
          <w:tcPr>
            <w:tcW w:w="1275" w:type="dxa"/>
            <w:shd w:val="clear" w:color="auto" w:fill="FFFFFF" w:themeFill="background1"/>
          </w:tcPr>
          <w:p w14:paraId="3700B698"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26" w:type="dxa"/>
            <w:shd w:val="clear" w:color="auto" w:fill="FFFFFF" w:themeFill="background1"/>
          </w:tcPr>
          <w:p w14:paraId="3169B6BE" w14:textId="77777777" w:rsidR="00752513" w:rsidRPr="00CC1ADD" w:rsidRDefault="00752513">
            <w:pPr>
              <w:spacing w:before="40" w:after="40"/>
              <w:rPr>
                <w:rFonts w:eastAsia="Times New Roman" w:cstheme="minorHAnsi"/>
                <w:color w:val="222222"/>
                <w:sz w:val="20"/>
                <w:szCs w:val="20"/>
                <w:lang w:eastAsia="en-AU"/>
              </w:rPr>
            </w:pPr>
            <w:r w:rsidRPr="00CC1ADD">
              <w:rPr>
                <w:rFonts w:eastAsia="Times New Roman" w:cstheme="minorHAnsi"/>
                <w:color w:val="222222"/>
                <w:sz w:val="20"/>
                <w:szCs w:val="20"/>
                <w:lang w:eastAsia="en-AU"/>
              </w:rPr>
              <w:t xml:space="preserve">A joint initiative between government, </w:t>
            </w:r>
            <w:r>
              <w:rPr>
                <w:rFonts w:eastAsia="Times New Roman" w:cstheme="minorHAnsi"/>
                <w:color w:val="222222"/>
                <w:sz w:val="20"/>
                <w:szCs w:val="20"/>
                <w:lang w:eastAsia="en-AU"/>
              </w:rPr>
              <w:t xml:space="preserve">the </w:t>
            </w:r>
            <w:r w:rsidRPr="00CC1ADD">
              <w:rPr>
                <w:rFonts w:eastAsia="Times New Roman" w:cstheme="minorHAnsi"/>
                <w:color w:val="222222"/>
                <w:sz w:val="20"/>
                <w:szCs w:val="20"/>
                <w:lang w:eastAsia="en-AU"/>
              </w:rPr>
              <w:t>food industry and public health groups focusing on increased health knowledge, healthier choices and better health outcomes for Australian</w:t>
            </w:r>
            <w:r>
              <w:rPr>
                <w:rFonts w:eastAsia="Times New Roman" w:cstheme="minorHAnsi"/>
                <w:color w:val="222222"/>
                <w:sz w:val="20"/>
                <w:szCs w:val="20"/>
                <w:lang w:eastAsia="en-AU"/>
              </w:rPr>
              <w:t>s</w:t>
            </w:r>
            <w:r w:rsidRPr="00CC1ADD">
              <w:rPr>
                <w:rFonts w:eastAsia="Times New Roman" w:cstheme="minorHAnsi"/>
                <w:color w:val="222222"/>
                <w:sz w:val="20"/>
                <w:szCs w:val="20"/>
                <w:lang w:eastAsia="en-AU"/>
              </w:rPr>
              <w:t>. The focus of the Partnership includes:</w:t>
            </w:r>
          </w:p>
          <w:p w14:paraId="3F94627A" w14:textId="77777777" w:rsidR="00752513" w:rsidRPr="00CC1ADD" w:rsidRDefault="00752513" w:rsidP="007C5D73">
            <w:pPr>
              <w:pStyle w:val="ListParagraph"/>
              <w:numPr>
                <w:ilvl w:val="0"/>
                <w:numId w:val="16"/>
              </w:numPr>
              <w:spacing w:before="40" w:after="40"/>
              <w:rPr>
                <w:rFonts w:cstheme="minorHAnsi"/>
                <w:color w:val="222222"/>
                <w:sz w:val="20"/>
                <w:szCs w:val="20"/>
              </w:rPr>
            </w:pPr>
            <w:r w:rsidRPr="00CC1ADD">
              <w:rPr>
                <w:rFonts w:cstheme="minorHAnsi"/>
                <w:color w:val="222222"/>
                <w:sz w:val="20"/>
                <w:szCs w:val="20"/>
              </w:rPr>
              <w:t>portion control</w:t>
            </w:r>
          </w:p>
          <w:p w14:paraId="3A92B8CA" w14:textId="77777777" w:rsidR="00752513" w:rsidRPr="00CC1ADD" w:rsidRDefault="00752513" w:rsidP="007C5D73">
            <w:pPr>
              <w:pStyle w:val="ListParagraph"/>
              <w:numPr>
                <w:ilvl w:val="0"/>
                <w:numId w:val="16"/>
              </w:numPr>
              <w:spacing w:before="40" w:after="40"/>
              <w:rPr>
                <w:rFonts w:cstheme="minorHAnsi"/>
                <w:color w:val="222222"/>
                <w:sz w:val="20"/>
                <w:szCs w:val="20"/>
              </w:rPr>
            </w:pPr>
            <w:r w:rsidRPr="00CC1ADD">
              <w:rPr>
                <w:rFonts w:cstheme="minorHAnsi"/>
                <w:color w:val="222222"/>
                <w:sz w:val="20"/>
                <w:szCs w:val="20"/>
              </w:rPr>
              <w:t>communication, education and meal planning on whole foods and total diet</w:t>
            </w:r>
          </w:p>
          <w:p w14:paraId="29C7E863" w14:textId="77777777" w:rsidR="00752513" w:rsidRPr="00CC1ADD" w:rsidRDefault="00752513" w:rsidP="007C5D73">
            <w:pPr>
              <w:pStyle w:val="ListParagraph"/>
              <w:numPr>
                <w:ilvl w:val="0"/>
                <w:numId w:val="16"/>
              </w:numPr>
              <w:spacing w:before="40" w:after="40"/>
              <w:rPr>
                <w:rFonts w:cstheme="minorHAnsi"/>
                <w:sz w:val="20"/>
                <w:szCs w:val="20"/>
              </w:rPr>
            </w:pPr>
            <w:r w:rsidRPr="00CC1ADD">
              <w:rPr>
                <w:rFonts w:cstheme="minorHAnsi"/>
                <w:color w:val="222222"/>
                <w:sz w:val="20"/>
                <w:szCs w:val="20"/>
              </w:rPr>
              <w:t>reformulation activities.</w:t>
            </w:r>
          </w:p>
        </w:tc>
        <w:tc>
          <w:tcPr>
            <w:tcW w:w="1480" w:type="dxa"/>
            <w:shd w:val="clear" w:color="auto" w:fill="FFFFFF" w:themeFill="background1"/>
          </w:tcPr>
          <w:p w14:paraId="752AF0FC"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2609481A" w14:textId="77777777" w:rsidTr="00752513">
        <w:tc>
          <w:tcPr>
            <w:tcW w:w="1555" w:type="dxa"/>
            <w:shd w:val="clear" w:color="auto" w:fill="FFFFFF" w:themeFill="background1"/>
          </w:tcPr>
          <w:p w14:paraId="432E8FA4" w14:textId="77777777" w:rsidR="00752513" w:rsidRPr="00CC1ADD" w:rsidRDefault="00752513" w:rsidP="005A3631">
            <w:pPr>
              <w:spacing w:before="40" w:after="40"/>
              <w:rPr>
                <w:rFonts w:cstheme="minorHAnsi"/>
                <w:sz w:val="20"/>
                <w:szCs w:val="20"/>
              </w:rPr>
            </w:pPr>
            <w:r w:rsidRPr="00CC1ADD">
              <w:rPr>
                <w:rFonts w:cstheme="minorHAnsi"/>
                <w:sz w:val="20"/>
                <w:szCs w:val="20"/>
              </w:rPr>
              <w:t>Eatforhealth.gov.au</w:t>
            </w:r>
          </w:p>
          <w:p w14:paraId="6C49600A" w14:textId="77777777" w:rsidR="00752513" w:rsidRPr="00CC1ADD" w:rsidRDefault="00752513">
            <w:pPr>
              <w:spacing w:before="40" w:after="40"/>
              <w:rPr>
                <w:rFonts w:cstheme="minorHAnsi"/>
                <w:sz w:val="20"/>
                <w:szCs w:val="20"/>
              </w:rPr>
            </w:pPr>
          </w:p>
        </w:tc>
        <w:tc>
          <w:tcPr>
            <w:tcW w:w="1275" w:type="dxa"/>
            <w:shd w:val="clear" w:color="auto" w:fill="FFFFFF" w:themeFill="background1"/>
          </w:tcPr>
          <w:p w14:paraId="55F65B30" w14:textId="77777777" w:rsidR="00752513" w:rsidRPr="00CC1ADD" w:rsidRDefault="00752513">
            <w:pPr>
              <w:spacing w:before="40" w:after="40"/>
              <w:rPr>
                <w:rFonts w:cstheme="minorHAnsi"/>
                <w:sz w:val="20"/>
                <w:szCs w:val="20"/>
              </w:rPr>
            </w:pPr>
            <w:r w:rsidRPr="00CC1ADD">
              <w:rPr>
                <w:rFonts w:cstheme="minorHAnsi"/>
                <w:sz w:val="20"/>
                <w:szCs w:val="20"/>
              </w:rPr>
              <w:t>Australia</w:t>
            </w:r>
          </w:p>
        </w:tc>
        <w:tc>
          <w:tcPr>
            <w:tcW w:w="5426" w:type="dxa"/>
            <w:shd w:val="clear" w:color="auto" w:fill="FFFFFF" w:themeFill="background1"/>
          </w:tcPr>
          <w:p w14:paraId="67152E81" w14:textId="77777777" w:rsidR="00752513" w:rsidRPr="00CC1ADD" w:rsidRDefault="00752513">
            <w:pPr>
              <w:spacing w:before="40" w:after="40"/>
              <w:rPr>
                <w:rFonts w:eastAsia="Times New Roman" w:cstheme="minorHAnsi"/>
                <w:color w:val="222222"/>
                <w:sz w:val="20"/>
                <w:szCs w:val="20"/>
                <w:lang w:eastAsia="en-AU"/>
              </w:rPr>
            </w:pPr>
            <w:r w:rsidRPr="00CC1ADD">
              <w:rPr>
                <w:rFonts w:eastAsia="Times New Roman" w:cstheme="minorHAnsi"/>
                <w:color w:val="222222"/>
                <w:sz w:val="20"/>
                <w:szCs w:val="20"/>
                <w:lang w:eastAsia="en-AU"/>
              </w:rPr>
              <w:t xml:space="preserve">Australian Government website promoting the Australian Dietary Guidelines and providing supporting resources for health professionals and consumers, including brochures and posters for use in different settings. The website includes advice for consumers on how to translate ADG recommendations into everyday life. </w:t>
            </w:r>
          </w:p>
        </w:tc>
        <w:tc>
          <w:tcPr>
            <w:tcW w:w="1480" w:type="dxa"/>
            <w:shd w:val="clear" w:color="auto" w:fill="FFFFFF" w:themeFill="background1"/>
          </w:tcPr>
          <w:p w14:paraId="32A6048C"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ECF9F77" w14:textId="77777777" w:rsidTr="00752513">
        <w:trPr>
          <w:trHeight w:val="2631"/>
        </w:trPr>
        <w:tc>
          <w:tcPr>
            <w:tcW w:w="1555" w:type="dxa"/>
            <w:shd w:val="clear" w:color="auto" w:fill="FFFFFF" w:themeFill="background1"/>
          </w:tcPr>
          <w:p w14:paraId="4D1FCDBC"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Healthy kids industry pledge  </w:t>
            </w:r>
          </w:p>
        </w:tc>
        <w:tc>
          <w:tcPr>
            <w:tcW w:w="1275" w:type="dxa"/>
            <w:shd w:val="clear" w:color="auto" w:fill="FFFFFF" w:themeFill="background1"/>
          </w:tcPr>
          <w:p w14:paraId="5824794A" w14:textId="77777777" w:rsidR="00752513" w:rsidRPr="00CC1ADD" w:rsidRDefault="00752513">
            <w:pPr>
              <w:spacing w:before="40" w:after="40"/>
              <w:rPr>
                <w:rFonts w:cstheme="minorHAnsi"/>
                <w:sz w:val="20"/>
                <w:szCs w:val="20"/>
              </w:rPr>
            </w:pPr>
            <w:r w:rsidRPr="00CC1ADD">
              <w:rPr>
                <w:rFonts w:cstheme="minorHAnsi"/>
                <w:sz w:val="20"/>
                <w:szCs w:val="20"/>
              </w:rPr>
              <w:t xml:space="preserve">New Zealand </w:t>
            </w:r>
          </w:p>
        </w:tc>
        <w:tc>
          <w:tcPr>
            <w:tcW w:w="5426" w:type="dxa"/>
            <w:shd w:val="clear" w:color="auto" w:fill="FFFFFF" w:themeFill="background1"/>
          </w:tcPr>
          <w:p w14:paraId="0A4DFD7A" w14:textId="77777777" w:rsidR="00752513" w:rsidRPr="00CC1ADD" w:rsidRDefault="00752513">
            <w:pPr>
              <w:shd w:val="clear" w:color="auto" w:fill="FFFFFF"/>
              <w:spacing w:before="40" w:after="40"/>
              <w:rPr>
                <w:rFonts w:eastAsia="Times New Roman" w:cstheme="minorHAnsi"/>
                <w:sz w:val="20"/>
                <w:szCs w:val="20"/>
                <w:lang w:eastAsia="en-NZ"/>
              </w:rPr>
            </w:pPr>
            <w:r w:rsidRPr="00CC1ADD">
              <w:rPr>
                <w:rFonts w:eastAsia="Times New Roman" w:cstheme="minorHAnsi"/>
                <w:sz w:val="20"/>
                <w:szCs w:val="20"/>
                <w:lang w:eastAsia="en-NZ"/>
              </w:rPr>
              <w:t>As part of the New Zealand Government’s Childhood Obesity Plan, the Healthy kids industry pledge involves partnerships with the food and beverage industry to make commitments (relating to reformulation, labelling, education, marketing, addressing health inequalities and communication and public reporting) that will make a contribution to reducing the incidence of childhood obesity. Companies and industry groups already committed include the New Zealand Food and Grocery Council, Coca-Cola, McDonalds New Zealand, Nestle, Fonterra, Retail New Zealand and the Association of New Zealand Advertisers.</w:t>
            </w:r>
          </w:p>
        </w:tc>
        <w:tc>
          <w:tcPr>
            <w:tcW w:w="1480" w:type="dxa"/>
            <w:shd w:val="clear" w:color="auto" w:fill="FFFFFF" w:themeFill="background1"/>
          </w:tcPr>
          <w:p w14:paraId="6D01F2E1" w14:textId="77777777" w:rsidR="00752513" w:rsidRPr="00CC1ADD" w:rsidRDefault="00752513">
            <w:pPr>
              <w:spacing w:before="40" w:after="40"/>
              <w:rPr>
                <w:rFonts w:cstheme="minorHAnsi"/>
                <w:sz w:val="20"/>
                <w:szCs w:val="20"/>
              </w:rPr>
            </w:pPr>
            <w:r w:rsidRPr="00CC1ADD">
              <w:rPr>
                <w:rFonts w:cstheme="minorHAnsi"/>
                <w:sz w:val="20"/>
                <w:szCs w:val="20"/>
              </w:rPr>
              <w:t xml:space="preserve">New Zealand Children </w:t>
            </w:r>
          </w:p>
        </w:tc>
      </w:tr>
      <w:tr w:rsidR="00752513" w:rsidRPr="00CC1ADD" w14:paraId="2AF5BD0B" w14:textId="77777777" w:rsidTr="00752513">
        <w:trPr>
          <w:trHeight w:val="904"/>
        </w:trPr>
        <w:tc>
          <w:tcPr>
            <w:tcW w:w="1555" w:type="dxa"/>
            <w:shd w:val="clear" w:color="auto" w:fill="FFFFFF" w:themeFill="background1"/>
          </w:tcPr>
          <w:p w14:paraId="7E2590A3" w14:textId="77777777" w:rsidR="00752513" w:rsidRPr="00CC1ADD" w:rsidRDefault="00752513" w:rsidP="005A3631">
            <w:pPr>
              <w:spacing w:before="40" w:after="40"/>
              <w:rPr>
                <w:rFonts w:cstheme="minorHAnsi"/>
                <w:sz w:val="20"/>
                <w:szCs w:val="20"/>
              </w:rPr>
            </w:pPr>
            <w:r w:rsidRPr="00CC1ADD">
              <w:rPr>
                <w:rFonts w:cstheme="minorHAnsi"/>
                <w:sz w:val="20"/>
                <w:szCs w:val="20"/>
              </w:rPr>
              <w:t>Make Healthy Normal campaign</w:t>
            </w:r>
          </w:p>
        </w:tc>
        <w:tc>
          <w:tcPr>
            <w:tcW w:w="1275" w:type="dxa"/>
            <w:shd w:val="clear" w:color="auto" w:fill="FFFFFF" w:themeFill="background1"/>
          </w:tcPr>
          <w:p w14:paraId="022AB986" w14:textId="77777777" w:rsidR="00752513" w:rsidRPr="00CC1ADD" w:rsidRDefault="00752513">
            <w:pPr>
              <w:spacing w:before="40" w:after="40"/>
              <w:rPr>
                <w:rFonts w:cstheme="minorHAnsi"/>
                <w:sz w:val="20"/>
                <w:szCs w:val="20"/>
              </w:rPr>
            </w:pPr>
            <w:r w:rsidRPr="00CC1ADD">
              <w:rPr>
                <w:rFonts w:cstheme="minorHAnsi"/>
                <w:sz w:val="20"/>
                <w:szCs w:val="20"/>
              </w:rPr>
              <w:t>NSW</w:t>
            </w:r>
          </w:p>
        </w:tc>
        <w:tc>
          <w:tcPr>
            <w:tcW w:w="5426" w:type="dxa"/>
            <w:shd w:val="clear" w:color="auto" w:fill="FFFFFF" w:themeFill="background1"/>
          </w:tcPr>
          <w:p w14:paraId="3C1C0A58" w14:textId="04F494B4" w:rsidR="00752513" w:rsidRPr="00CC1ADD" w:rsidRDefault="00752513">
            <w:pPr>
              <w:spacing w:before="40" w:after="40"/>
              <w:rPr>
                <w:rFonts w:cstheme="minorHAnsi"/>
                <w:sz w:val="20"/>
                <w:szCs w:val="20"/>
              </w:rPr>
            </w:pPr>
            <w:r w:rsidRPr="00CC1ADD">
              <w:rPr>
                <w:rFonts w:cstheme="minorHAnsi"/>
                <w:sz w:val="20"/>
                <w:szCs w:val="20"/>
              </w:rPr>
              <w:t>A campaign that aims to support healthy eating and active living in NSW and includes targeted consumer messaging to replace sugar</w:t>
            </w:r>
            <w:r w:rsidR="00B33DA3">
              <w:rPr>
                <w:rFonts w:cstheme="minorHAnsi"/>
                <w:sz w:val="20"/>
                <w:szCs w:val="20"/>
              </w:rPr>
              <w:t>-</w:t>
            </w:r>
            <w:r w:rsidRPr="00CC1ADD">
              <w:rPr>
                <w:rFonts w:cstheme="minorHAnsi"/>
                <w:sz w:val="20"/>
                <w:szCs w:val="20"/>
              </w:rPr>
              <w:t>sweetened beverages with water.</w:t>
            </w:r>
          </w:p>
        </w:tc>
        <w:tc>
          <w:tcPr>
            <w:tcW w:w="1480" w:type="dxa"/>
            <w:shd w:val="clear" w:color="auto" w:fill="FFFFFF" w:themeFill="background1"/>
          </w:tcPr>
          <w:p w14:paraId="1AC5A272" w14:textId="77777777" w:rsidR="00752513" w:rsidRPr="00CC1ADD" w:rsidRDefault="00752513">
            <w:pPr>
              <w:spacing w:before="40" w:after="40"/>
              <w:rPr>
                <w:rFonts w:cstheme="minorHAnsi"/>
                <w:sz w:val="20"/>
                <w:szCs w:val="20"/>
              </w:rPr>
            </w:pPr>
            <w:r w:rsidRPr="00CC1ADD">
              <w:rPr>
                <w:rFonts w:cstheme="minorHAnsi"/>
                <w:sz w:val="20"/>
                <w:szCs w:val="20"/>
              </w:rPr>
              <w:t xml:space="preserve">Consumers </w:t>
            </w:r>
          </w:p>
        </w:tc>
      </w:tr>
      <w:tr w:rsidR="00752513" w:rsidRPr="00CC1ADD" w14:paraId="54C4686E" w14:textId="77777777" w:rsidTr="00752513">
        <w:trPr>
          <w:trHeight w:val="757"/>
        </w:trPr>
        <w:tc>
          <w:tcPr>
            <w:tcW w:w="1555" w:type="dxa"/>
            <w:shd w:val="clear" w:color="auto" w:fill="FFFFFF" w:themeFill="background1"/>
          </w:tcPr>
          <w:p w14:paraId="3062095E" w14:textId="77777777" w:rsidR="00752513" w:rsidRPr="00CC1ADD" w:rsidRDefault="00752513" w:rsidP="005A3631">
            <w:pPr>
              <w:spacing w:before="40" w:after="40"/>
              <w:rPr>
                <w:rFonts w:cstheme="minorHAnsi"/>
                <w:sz w:val="20"/>
                <w:szCs w:val="20"/>
              </w:rPr>
            </w:pPr>
            <w:r w:rsidRPr="00CC1ADD">
              <w:rPr>
                <w:rFonts w:cstheme="minorHAnsi"/>
                <w:sz w:val="20"/>
                <w:szCs w:val="20"/>
              </w:rPr>
              <w:t>Big Changes Starts Small</w:t>
            </w:r>
          </w:p>
        </w:tc>
        <w:tc>
          <w:tcPr>
            <w:tcW w:w="1275" w:type="dxa"/>
            <w:shd w:val="clear" w:color="auto" w:fill="FFFFFF" w:themeFill="background1"/>
          </w:tcPr>
          <w:p w14:paraId="3C0E21BB"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426" w:type="dxa"/>
            <w:shd w:val="clear" w:color="auto" w:fill="FFFFFF" w:themeFill="background1"/>
          </w:tcPr>
          <w:p w14:paraId="0530E0D3" w14:textId="77777777" w:rsidR="00752513" w:rsidRPr="00CC1ADD" w:rsidRDefault="00752513">
            <w:pPr>
              <w:spacing w:before="40" w:after="40"/>
              <w:rPr>
                <w:rFonts w:cstheme="minorHAnsi"/>
                <w:sz w:val="20"/>
                <w:szCs w:val="20"/>
              </w:rPr>
            </w:pPr>
            <w:r w:rsidRPr="00CC1ADD">
              <w:rPr>
                <w:rFonts w:cstheme="minorHAnsi"/>
                <w:sz w:val="20"/>
                <w:szCs w:val="20"/>
              </w:rPr>
              <w:t>A national social marketing campaign that was one of the 22 initiatives in the Government obesity plan to raise awareness of childhood obesity in New Zealand, run by the Health Promotion Agency.</w:t>
            </w:r>
          </w:p>
        </w:tc>
        <w:tc>
          <w:tcPr>
            <w:tcW w:w="1480" w:type="dxa"/>
            <w:shd w:val="clear" w:color="auto" w:fill="FFFFFF" w:themeFill="background1"/>
          </w:tcPr>
          <w:p w14:paraId="3F2DA29E"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4961DD7F" w14:textId="77777777" w:rsidTr="00752513">
        <w:trPr>
          <w:trHeight w:val="998"/>
        </w:trPr>
        <w:tc>
          <w:tcPr>
            <w:tcW w:w="1555" w:type="dxa"/>
            <w:shd w:val="clear" w:color="auto" w:fill="FFFFFF" w:themeFill="background1"/>
          </w:tcPr>
          <w:p w14:paraId="0DE7266C" w14:textId="77777777" w:rsidR="00752513" w:rsidRPr="00CC1ADD" w:rsidRDefault="00752513" w:rsidP="005A3631">
            <w:pPr>
              <w:spacing w:before="40" w:after="40"/>
              <w:rPr>
                <w:rFonts w:cstheme="minorHAnsi"/>
                <w:sz w:val="20"/>
                <w:szCs w:val="20"/>
              </w:rPr>
            </w:pPr>
            <w:r w:rsidRPr="00CC1ADD">
              <w:rPr>
                <w:rFonts w:cstheme="minorHAnsi"/>
                <w:sz w:val="20"/>
                <w:szCs w:val="20"/>
              </w:rPr>
              <w:t>Healthier Happier Campaign</w:t>
            </w:r>
          </w:p>
        </w:tc>
        <w:tc>
          <w:tcPr>
            <w:tcW w:w="1275" w:type="dxa"/>
            <w:shd w:val="clear" w:color="auto" w:fill="FFFFFF" w:themeFill="background1"/>
          </w:tcPr>
          <w:p w14:paraId="77B9A445" w14:textId="77777777" w:rsidR="00752513" w:rsidRPr="00CC1ADD" w:rsidRDefault="00752513">
            <w:pPr>
              <w:spacing w:before="40" w:after="40"/>
              <w:rPr>
                <w:rFonts w:cstheme="minorHAnsi"/>
                <w:sz w:val="20"/>
                <w:szCs w:val="20"/>
              </w:rPr>
            </w:pPr>
            <w:r w:rsidRPr="00CC1ADD">
              <w:rPr>
                <w:rFonts w:cstheme="minorHAnsi"/>
                <w:sz w:val="20"/>
                <w:szCs w:val="20"/>
              </w:rPr>
              <w:t>Queensland</w:t>
            </w:r>
          </w:p>
        </w:tc>
        <w:tc>
          <w:tcPr>
            <w:tcW w:w="5426" w:type="dxa"/>
            <w:shd w:val="clear" w:color="auto" w:fill="FFFFFF" w:themeFill="background1"/>
          </w:tcPr>
          <w:p w14:paraId="27DFDD42" w14:textId="77777777" w:rsidR="00752513" w:rsidRPr="00CC1ADD" w:rsidRDefault="00752513">
            <w:pPr>
              <w:spacing w:before="40" w:after="40"/>
              <w:rPr>
                <w:rFonts w:cstheme="minorHAnsi"/>
                <w:sz w:val="20"/>
                <w:szCs w:val="20"/>
              </w:rPr>
            </w:pPr>
            <w:r w:rsidRPr="00CC1ADD">
              <w:rPr>
                <w:rFonts w:cstheme="minorHAnsi"/>
                <w:sz w:val="20"/>
                <w:szCs w:val="20"/>
              </w:rPr>
              <w:t>Social marketing campaign including a website, TVC, social media encouraging Queenslanders to add more fruit and vegetables to their meals, have smaller portion sizes, cut back on sugary drinks and increase levels of physical activity.</w:t>
            </w:r>
          </w:p>
        </w:tc>
        <w:tc>
          <w:tcPr>
            <w:tcW w:w="1480" w:type="dxa"/>
            <w:shd w:val="clear" w:color="auto" w:fill="FFFFFF" w:themeFill="background1"/>
          </w:tcPr>
          <w:p w14:paraId="5237FFEC"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bl>
    <w:p w14:paraId="4A7B2608" w14:textId="77777777" w:rsidR="00752513" w:rsidRPr="00CC1ADD" w:rsidRDefault="00752513" w:rsidP="005A3631">
      <w:pPr>
        <w:rPr>
          <w:rFonts w:cstheme="minorHAnsi"/>
          <w:b/>
          <w:sz w:val="20"/>
          <w:szCs w:val="20"/>
        </w:rPr>
      </w:pPr>
    </w:p>
    <w:p w14:paraId="716ED306" w14:textId="77777777" w:rsidR="00752513" w:rsidRPr="00CC1ADD" w:rsidRDefault="00752513" w:rsidP="005D75D3">
      <w:pPr>
        <w:keepLines/>
        <w:rPr>
          <w:rFonts w:cstheme="minorHAnsi"/>
          <w:b/>
          <w:sz w:val="20"/>
          <w:szCs w:val="20"/>
        </w:rPr>
      </w:pPr>
      <w:r w:rsidRPr="00CC1ADD">
        <w:rPr>
          <w:rFonts w:cstheme="minorHAnsi"/>
          <w:b/>
          <w:sz w:val="20"/>
          <w:szCs w:val="20"/>
        </w:rPr>
        <w:t>Settings based food and drink policies</w:t>
      </w:r>
    </w:p>
    <w:p w14:paraId="43A29061" w14:textId="77777777" w:rsidR="00752513" w:rsidRPr="00CC1ADD" w:rsidRDefault="00752513" w:rsidP="005D75D3">
      <w:pPr>
        <w:keepLines/>
        <w:rPr>
          <w:rFonts w:cstheme="minorHAnsi"/>
          <w:b/>
          <w:sz w:val="20"/>
          <w:szCs w:val="20"/>
        </w:rPr>
      </w:pPr>
    </w:p>
    <w:tbl>
      <w:tblPr>
        <w:tblStyle w:val="TableGrid"/>
        <w:tblW w:w="0" w:type="auto"/>
        <w:tblLook w:val="04A0" w:firstRow="1" w:lastRow="0" w:firstColumn="1" w:lastColumn="0" w:noHBand="0" w:noVBand="1"/>
        <w:tblCaption w:val="Policies"/>
        <w:tblDescription w:val="This table provides information about some of the ways retailers, food manufacturers, government and public health agencies in Australia and New Zealand have engaged with promotion of the HSR System."/>
      </w:tblPr>
      <w:tblGrid>
        <w:gridCol w:w="1555"/>
        <w:gridCol w:w="1294"/>
        <w:gridCol w:w="5368"/>
        <w:gridCol w:w="1519"/>
      </w:tblGrid>
      <w:tr w:rsidR="00752513" w:rsidRPr="00CC1ADD" w14:paraId="2BE41C5C" w14:textId="77777777" w:rsidTr="00752513">
        <w:trPr>
          <w:tblHeader/>
        </w:trPr>
        <w:tc>
          <w:tcPr>
            <w:tcW w:w="1555" w:type="dxa"/>
            <w:shd w:val="clear" w:color="auto" w:fill="516A8E"/>
          </w:tcPr>
          <w:p w14:paraId="4E89B52D" w14:textId="77777777" w:rsidR="00752513" w:rsidRPr="00CC1ADD" w:rsidRDefault="00752513" w:rsidP="005A3631">
            <w:pPr>
              <w:pStyle w:val="Tabletext"/>
              <w:spacing w:before="40" w:after="40" w:line="240" w:lineRule="auto"/>
              <w:rPr>
                <w:rFonts w:cstheme="minorHAnsi"/>
                <w:b/>
                <w:color w:val="FFFFFF" w:themeColor="background1"/>
                <w:szCs w:val="20"/>
              </w:rPr>
            </w:pPr>
            <w:bookmarkStart w:id="182" w:name="Type3"/>
            <w:bookmarkEnd w:id="182"/>
            <w:r w:rsidRPr="00CC1ADD">
              <w:rPr>
                <w:rFonts w:cstheme="minorHAnsi"/>
                <w:b/>
                <w:color w:val="FFFFFF" w:themeColor="background1"/>
                <w:szCs w:val="20"/>
              </w:rPr>
              <w:t>Type of Policy/Program</w:t>
            </w:r>
          </w:p>
        </w:tc>
        <w:tc>
          <w:tcPr>
            <w:tcW w:w="1294" w:type="dxa"/>
            <w:shd w:val="clear" w:color="auto" w:fill="516A8E"/>
          </w:tcPr>
          <w:p w14:paraId="13F85452"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368" w:type="dxa"/>
            <w:shd w:val="clear" w:color="auto" w:fill="516A8E"/>
          </w:tcPr>
          <w:p w14:paraId="38C78084"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519" w:type="dxa"/>
            <w:shd w:val="clear" w:color="auto" w:fill="516A8E"/>
          </w:tcPr>
          <w:p w14:paraId="589A20AB"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5A8961AA" w14:textId="77777777" w:rsidTr="00752513">
        <w:tc>
          <w:tcPr>
            <w:tcW w:w="1555" w:type="dxa"/>
          </w:tcPr>
          <w:p w14:paraId="6920BFE6" w14:textId="77777777" w:rsidR="00752513" w:rsidRPr="00CC1ADD" w:rsidRDefault="00752513" w:rsidP="005A3631">
            <w:pPr>
              <w:spacing w:before="40" w:after="40"/>
              <w:rPr>
                <w:rFonts w:cstheme="minorHAnsi"/>
                <w:sz w:val="20"/>
                <w:szCs w:val="20"/>
              </w:rPr>
            </w:pPr>
            <w:r w:rsidRPr="00CC1ADD">
              <w:rPr>
                <w:rFonts w:cstheme="minorHAnsi"/>
                <w:sz w:val="20"/>
                <w:szCs w:val="20"/>
              </w:rPr>
              <w:t>kJ information (menu labelling)</w:t>
            </w:r>
          </w:p>
          <w:p w14:paraId="286EC986" w14:textId="77777777" w:rsidR="00752513" w:rsidRPr="00CC1ADD" w:rsidRDefault="00752513">
            <w:pPr>
              <w:spacing w:before="40" w:after="40"/>
              <w:rPr>
                <w:rFonts w:cstheme="minorHAnsi"/>
                <w:sz w:val="20"/>
                <w:szCs w:val="20"/>
              </w:rPr>
            </w:pPr>
          </w:p>
        </w:tc>
        <w:tc>
          <w:tcPr>
            <w:tcW w:w="1294" w:type="dxa"/>
          </w:tcPr>
          <w:p w14:paraId="3D35F3E5" w14:textId="77777777" w:rsidR="00752513" w:rsidRPr="00CC1ADD" w:rsidRDefault="00752513">
            <w:pPr>
              <w:spacing w:before="40" w:after="40"/>
              <w:rPr>
                <w:rFonts w:cstheme="minorHAnsi"/>
                <w:sz w:val="20"/>
                <w:szCs w:val="20"/>
              </w:rPr>
            </w:pPr>
            <w:r w:rsidRPr="00CC1ADD">
              <w:rPr>
                <w:rFonts w:cstheme="minorHAnsi"/>
                <w:sz w:val="20"/>
                <w:szCs w:val="20"/>
              </w:rPr>
              <w:t>NSW, Victoria, Queensland, SA, ACT</w:t>
            </w:r>
          </w:p>
        </w:tc>
        <w:tc>
          <w:tcPr>
            <w:tcW w:w="5368" w:type="dxa"/>
          </w:tcPr>
          <w:p w14:paraId="59DA6657" w14:textId="3BB6D9FA" w:rsidR="00752513" w:rsidRPr="00CC1ADD" w:rsidRDefault="00752513">
            <w:pPr>
              <w:spacing w:before="40" w:after="40"/>
              <w:rPr>
                <w:rFonts w:cstheme="minorHAnsi"/>
                <w:sz w:val="20"/>
                <w:szCs w:val="20"/>
              </w:rPr>
            </w:pPr>
            <w:r w:rsidRPr="00CC1ADD">
              <w:rPr>
                <w:rFonts w:cstheme="minorHAnsi"/>
                <w:sz w:val="20"/>
                <w:szCs w:val="20"/>
              </w:rPr>
              <w:t>In 201</w:t>
            </w:r>
            <w:r w:rsidR="00CF3274">
              <w:rPr>
                <w:rFonts w:cstheme="minorHAnsi"/>
                <w:sz w:val="20"/>
                <w:szCs w:val="20"/>
              </w:rPr>
              <w:t>0</w:t>
            </w:r>
            <w:r w:rsidRPr="00CC1ADD">
              <w:rPr>
                <w:rFonts w:cstheme="minorHAnsi"/>
                <w:sz w:val="20"/>
                <w:szCs w:val="20"/>
              </w:rPr>
              <w:t xml:space="preserve">, NSW was the first state to legislate mandatory kilojoule (kJ) menu labelling to </w:t>
            </w:r>
            <w:r w:rsidR="00CF3274">
              <w:rPr>
                <w:rFonts w:cstheme="minorHAnsi"/>
                <w:sz w:val="20"/>
                <w:szCs w:val="20"/>
              </w:rPr>
              <w:t>support consumers to identify</w:t>
            </w:r>
            <w:r w:rsidR="00CF3274" w:rsidRPr="00CC1ADD">
              <w:rPr>
                <w:rFonts w:cstheme="minorHAnsi"/>
                <w:sz w:val="20"/>
                <w:szCs w:val="20"/>
              </w:rPr>
              <w:t xml:space="preserve"> </w:t>
            </w:r>
            <w:r w:rsidRPr="00CC1ADD">
              <w:rPr>
                <w:rFonts w:cstheme="minorHAnsi"/>
                <w:sz w:val="20"/>
                <w:szCs w:val="20"/>
              </w:rPr>
              <w:t>healthier food and drink choices at major fast food outlets.</w:t>
            </w:r>
          </w:p>
          <w:p w14:paraId="2A9502C1" w14:textId="77777777" w:rsidR="00752513" w:rsidRPr="00CC1ADD" w:rsidRDefault="00752513">
            <w:pPr>
              <w:spacing w:before="40" w:after="40"/>
              <w:rPr>
                <w:rFonts w:cstheme="minorHAnsi"/>
                <w:sz w:val="20"/>
                <w:szCs w:val="20"/>
              </w:rPr>
            </w:pPr>
            <w:r w:rsidRPr="00CC1ADD">
              <w:rPr>
                <w:rFonts w:cstheme="minorHAnsi"/>
                <w:sz w:val="20"/>
                <w:szCs w:val="20"/>
              </w:rPr>
              <w:t xml:space="preserve">Since then, Victoria, Queensland, South Australia and the Australian Capital Territory have also implemented a kJ Menu Labelling Scheme. </w:t>
            </w:r>
          </w:p>
          <w:p w14:paraId="31977636" w14:textId="77777777" w:rsidR="00752513" w:rsidRPr="00CC1ADD" w:rsidRDefault="00752513">
            <w:pPr>
              <w:spacing w:before="40" w:after="40"/>
              <w:rPr>
                <w:rFonts w:cstheme="minorHAnsi"/>
                <w:sz w:val="20"/>
                <w:szCs w:val="20"/>
              </w:rPr>
            </w:pPr>
            <w:r w:rsidRPr="00CC1ADD">
              <w:rPr>
                <w:rFonts w:cstheme="minorHAnsi"/>
                <w:sz w:val="20"/>
                <w:szCs w:val="20"/>
              </w:rPr>
              <w:t xml:space="preserve">Whilst the kJ Menu </w:t>
            </w:r>
            <w:r>
              <w:rPr>
                <w:rFonts w:cstheme="minorHAnsi"/>
                <w:sz w:val="20"/>
                <w:szCs w:val="20"/>
              </w:rPr>
              <w:t>l</w:t>
            </w:r>
            <w:r w:rsidRPr="00CC1ADD">
              <w:rPr>
                <w:rFonts w:cstheme="minorHAnsi"/>
                <w:sz w:val="20"/>
                <w:szCs w:val="20"/>
              </w:rPr>
              <w:t xml:space="preserve">abelling </w:t>
            </w:r>
            <w:r>
              <w:rPr>
                <w:rFonts w:cstheme="minorHAnsi"/>
                <w:sz w:val="20"/>
                <w:szCs w:val="20"/>
              </w:rPr>
              <w:t>s</w:t>
            </w:r>
            <w:r w:rsidRPr="00CC1ADD">
              <w:rPr>
                <w:rFonts w:cstheme="minorHAnsi"/>
                <w:sz w:val="20"/>
                <w:szCs w:val="20"/>
              </w:rPr>
              <w:t xml:space="preserve">cheme is not mandatory in Tasmania, the Northern Territory and Western Australia, some fast food companies have introduced a kJ menu board in restaurants. </w:t>
            </w:r>
          </w:p>
        </w:tc>
        <w:tc>
          <w:tcPr>
            <w:tcW w:w="1519" w:type="dxa"/>
          </w:tcPr>
          <w:p w14:paraId="1A9ED621" w14:textId="77777777" w:rsidR="00752513" w:rsidRPr="00CC1ADD" w:rsidRDefault="00752513">
            <w:pPr>
              <w:spacing w:before="40" w:after="40"/>
              <w:rPr>
                <w:rFonts w:cstheme="minorHAnsi"/>
                <w:sz w:val="20"/>
                <w:szCs w:val="20"/>
              </w:rPr>
            </w:pPr>
            <w:r w:rsidRPr="00CC1ADD">
              <w:rPr>
                <w:rFonts w:cstheme="minorHAnsi"/>
                <w:sz w:val="20"/>
                <w:szCs w:val="20"/>
              </w:rPr>
              <w:t>Consumers</w:t>
            </w:r>
          </w:p>
        </w:tc>
      </w:tr>
      <w:tr w:rsidR="00752513" w:rsidRPr="00CC1ADD" w14:paraId="7DC242C5" w14:textId="77777777" w:rsidTr="00752513">
        <w:tc>
          <w:tcPr>
            <w:tcW w:w="1555" w:type="dxa"/>
          </w:tcPr>
          <w:p w14:paraId="6374A101" w14:textId="77777777" w:rsidR="00752513" w:rsidRPr="00CC1ADD" w:rsidRDefault="00752513" w:rsidP="005A3631">
            <w:pPr>
              <w:spacing w:before="40" w:after="40"/>
              <w:rPr>
                <w:rFonts w:cstheme="minorHAnsi"/>
                <w:b/>
                <w:sz w:val="20"/>
                <w:szCs w:val="20"/>
              </w:rPr>
            </w:pPr>
            <w:r w:rsidRPr="00CC1ADD">
              <w:rPr>
                <w:rFonts w:cstheme="minorHAnsi"/>
                <w:sz w:val="20"/>
                <w:szCs w:val="20"/>
              </w:rPr>
              <w:t>Healthy food and drink policies in Government work places and public facilities</w:t>
            </w:r>
          </w:p>
        </w:tc>
        <w:tc>
          <w:tcPr>
            <w:tcW w:w="1294" w:type="dxa"/>
          </w:tcPr>
          <w:p w14:paraId="0C5192EF" w14:textId="77777777" w:rsidR="00752513" w:rsidRPr="00CC1ADD" w:rsidRDefault="00752513">
            <w:pPr>
              <w:spacing w:before="40" w:after="40"/>
              <w:rPr>
                <w:rFonts w:cstheme="minorHAnsi"/>
                <w:sz w:val="20"/>
                <w:szCs w:val="20"/>
              </w:rPr>
            </w:pPr>
            <w:r w:rsidRPr="00CC1ADD">
              <w:rPr>
                <w:rFonts w:cstheme="minorHAnsi"/>
                <w:sz w:val="20"/>
                <w:szCs w:val="20"/>
              </w:rPr>
              <w:t>Various Australian States and Territories, and New Zealand</w:t>
            </w:r>
          </w:p>
          <w:p w14:paraId="307EA00F" w14:textId="77777777" w:rsidR="00752513" w:rsidRPr="00CC1ADD" w:rsidRDefault="00752513">
            <w:pPr>
              <w:spacing w:before="40" w:after="40"/>
              <w:rPr>
                <w:rFonts w:cstheme="minorHAnsi"/>
                <w:b/>
                <w:sz w:val="20"/>
                <w:szCs w:val="20"/>
              </w:rPr>
            </w:pPr>
          </w:p>
        </w:tc>
        <w:tc>
          <w:tcPr>
            <w:tcW w:w="5368" w:type="dxa"/>
          </w:tcPr>
          <w:p w14:paraId="04CF3300" w14:textId="77777777" w:rsidR="00752513" w:rsidRPr="00CC1ADD" w:rsidRDefault="00752513">
            <w:pPr>
              <w:spacing w:before="40" w:after="40"/>
              <w:rPr>
                <w:rFonts w:cstheme="minorHAnsi"/>
                <w:sz w:val="20"/>
                <w:szCs w:val="20"/>
              </w:rPr>
            </w:pPr>
            <w:r w:rsidRPr="00CC1ADD">
              <w:rPr>
                <w:rFonts w:cstheme="minorHAnsi"/>
                <w:sz w:val="20"/>
                <w:szCs w:val="20"/>
              </w:rPr>
              <w:t xml:space="preserve">Mandatory and voluntary policies for food service facilities, including cafeterias, kiosks, and vending machines in government run facilities including public schools, public health sites such as hospitals, health centres, recreation centres, public events and sports facilities. Policies include limiting/restricting the availability of unhealthy foods and drinks (including those high in added/total sugar) and increasing the availability of healthy food. Implementation is varied according to local health districts and jurisdictions. </w:t>
            </w:r>
          </w:p>
          <w:p w14:paraId="1BE4286C" w14:textId="77777777" w:rsidR="00752513" w:rsidRPr="00CC1ADD" w:rsidRDefault="00752513">
            <w:pPr>
              <w:spacing w:before="40" w:after="40"/>
              <w:rPr>
                <w:rFonts w:cstheme="minorHAnsi"/>
                <w:sz w:val="20"/>
                <w:szCs w:val="20"/>
              </w:rPr>
            </w:pPr>
            <w:r w:rsidRPr="00CC1ADD">
              <w:rPr>
                <w:rFonts w:cstheme="minorHAnsi"/>
                <w:sz w:val="20"/>
                <w:szCs w:val="20"/>
              </w:rPr>
              <w:t>Some jurisdictions include additional guidelines for:</w:t>
            </w:r>
          </w:p>
          <w:p w14:paraId="1AEF6B2A" w14:textId="77777777" w:rsidR="00752513" w:rsidRPr="00CC1ADD" w:rsidRDefault="00752513" w:rsidP="007C5D73">
            <w:pPr>
              <w:pStyle w:val="ListParagraph"/>
              <w:numPr>
                <w:ilvl w:val="0"/>
                <w:numId w:val="14"/>
              </w:numPr>
              <w:spacing w:before="40" w:after="40"/>
              <w:rPr>
                <w:rFonts w:cstheme="minorHAnsi"/>
                <w:sz w:val="20"/>
                <w:szCs w:val="20"/>
              </w:rPr>
            </w:pPr>
            <w:r w:rsidRPr="00CC1ADD">
              <w:rPr>
                <w:rFonts w:cstheme="minorHAnsi"/>
                <w:sz w:val="20"/>
                <w:szCs w:val="20"/>
              </w:rPr>
              <w:t xml:space="preserve">fundraising, advertising and sponsorship  </w:t>
            </w:r>
          </w:p>
          <w:p w14:paraId="6DEED903" w14:textId="77777777" w:rsidR="00752513" w:rsidRPr="00CC1ADD" w:rsidRDefault="00752513" w:rsidP="007C5D73">
            <w:pPr>
              <w:pStyle w:val="ListParagraph"/>
              <w:numPr>
                <w:ilvl w:val="0"/>
                <w:numId w:val="14"/>
              </w:numPr>
              <w:spacing w:before="40" w:after="40"/>
              <w:rPr>
                <w:rFonts w:cstheme="minorHAnsi"/>
                <w:sz w:val="20"/>
                <w:szCs w:val="20"/>
              </w:rPr>
            </w:pPr>
            <w:r w:rsidRPr="00CC1ADD">
              <w:rPr>
                <w:rFonts w:cstheme="minorHAnsi"/>
                <w:sz w:val="20"/>
                <w:szCs w:val="20"/>
              </w:rPr>
              <w:t>workplace health education programs</w:t>
            </w:r>
          </w:p>
          <w:p w14:paraId="7F082F1D" w14:textId="77777777" w:rsidR="00752513" w:rsidRPr="00CC1ADD" w:rsidRDefault="00752513" w:rsidP="007C5D73">
            <w:pPr>
              <w:pStyle w:val="ListParagraph"/>
              <w:numPr>
                <w:ilvl w:val="0"/>
                <w:numId w:val="14"/>
              </w:numPr>
              <w:spacing w:before="40" w:after="40"/>
              <w:rPr>
                <w:rFonts w:cstheme="minorHAnsi"/>
                <w:sz w:val="20"/>
                <w:szCs w:val="20"/>
              </w:rPr>
            </w:pPr>
            <w:r w:rsidRPr="00CC1ADD">
              <w:rPr>
                <w:rFonts w:cstheme="minorHAnsi"/>
                <w:sz w:val="20"/>
                <w:szCs w:val="20"/>
              </w:rPr>
              <w:t xml:space="preserve">retail food outlets (e.g. cafeterias, cafes, coffee shops - implemented by WA, Victoria and SA). </w:t>
            </w:r>
          </w:p>
        </w:tc>
        <w:tc>
          <w:tcPr>
            <w:tcW w:w="1519" w:type="dxa"/>
          </w:tcPr>
          <w:p w14:paraId="78046271" w14:textId="77777777" w:rsidR="00752513" w:rsidRPr="00CC1ADD" w:rsidRDefault="00752513">
            <w:pPr>
              <w:spacing w:before="40" w:after="40"/>
              <w:rPr>
                <w:rFonts w:cstheme="minorHAnsi"/>
                <w:sz w:val="20"/>
                <w:szCs w:val="20"/>
              </w:rPr>
            </w:pPr>
            <w:r w:rsidRPr="00CC1ADD">
              <w:rPr>
                <w:rFonts w:cstheme="minorHAnsi"/>
                <w:sz w:val="20"/>
                <w:szCs w:val="20"/>
              </w:rPr>
              <w:t xml:space="preserve">Staff working at these facilities and visitors </w:t>
            </w:r>
          </w:p>
          <w:p w14:paraId="5B419371" w14:textId="77777777" w:rsidR="00752513" w:rsidRPr="00CC1ADD" w:rsidRDefault="00752513">
            <w:pPr>
              <w:spacing w:before="40" w:after="40"/>
              <w:rPr>
                <w:rFonts w:cstheme="minorHAnsi"/>
                <w:b/>
                <w:sz w:val="20"/>
                <w:szCs w:val="20"/>
              </w:rPr>
            </w:pPr>
          </w:p>
        </w:tc>
      </w:tr>
      <w:tr w:rsidR="00752513" w:rsidRPr="00CC1ADD" w14:paraId="02A7CFA8" w14:textId="77777777" w:rsidTr="00752513">
        <w:tc>
          <w:tcPr>
            <w:tcW w:w="1555" w:type="dxa"/>
          </w:tcPr>
          <w:p w14:paraId="20886EE9"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Healthy eating guidelines for government schools </w:t>
            </w:r>
          </w:p>
          <w:p w14:paraId="2D13B77D" w14:textId="77777777" w:rsidR="00752513" w:rsidRPr="00CC1ADD" w:rsidRDefault="00752513">
            <w:pPr>
              <w:spacing w:before="40" w:after="40"/>
              <w:rPr>
                <w:rFonts w:cstheme="minorHAnsi"/>
                <w:sz w:val="20"/>
                <w:szCs w:val="20"/>
              </w:rPr>
            </w:pPr>
          </w:p>
        </w:tc>
        <w:tc>
          <w:tcPr>
            <w:tcW w:w="1294" w:type="dxa"/>
          </w:tcPr>
          <w:p w14:paraId="6872FDE4" w14:textId="77777777" w:rsidR="00752513" w:rsidRPr="00CC1ADD" w:rsidRDefault="00752513">
            <w:pPr>
              <w:spacing w:before="40" w:after="40"/>
              <w:rPr>
                <w:rFonts w:cstheme="minorHAnsi"/>
                <w:sz w:val="20"/>
                <w:szCs w:val="20"/>
              </w:rPr>
            </w:pPr>
            <w:r w:rsidRPr="00CC1ADD">
              <w:rPr>
                <w:rFonts w:cstheme="minorHAnsi"/>
                <w:sz w:val="20"/>
                <w:szCs w:val="20"/>
              </w:rPr>
              <w:t xml:space="preserve">Australian Government, various States and Territories </w:t>
            </w:r>
          </w:p>
          <w:p w14:paraId="1E82F89C" w14:textId="77777777" w:rsidR="00752513" w:rsidRPr="00CC1ADD" w:rsidRDefault="00752513">
            <w:pPr>
              <w:spacing w:before="40" w:after="40"/>
              <w:rPr>
                <w:rFonts w:cstheme="minorHAnsi"/>
                <w:b/>
                <w:sz w:val="20"/>
                <w:szCs w:val="20"/>
              </w:rPr>
            </w:pPr>
          </w:p>
        </w:tc>
        <w:tc>
          <w:tcPr>
            <w:tcW w:w="5368" w:type="dxa"/>
          </w:tcPr>
          <w:p w14:paraId="218837EA" w14:textId="77777777" w:rsidR="00752513" w:rsidRPr="00CC1ADD" w:rsidRDefault="00752513">
            <w:pPr>
              <w:spacing w:before="40" w:after="40"/>
              <w:rPr>
                <w:rFonts w:cstheme="minorHAnsi"/>
                <w:sz w:val="20"/>
                <w:szCs w:val="20"/>
              </w:rPr>
            </w:pPr>
            <w:r w:rsidRPr="00CC1ADD">
              <w:rPr>
                <w:rFonts w:cstheme="minorHAnsi"/>
                <w:sz w:val="20"/>
                <w:szCs w:val="20"/>
              </w:rPr>
              <w:t xml:space="preserve">The National Healthy School Canteen guidelines and resources provide national guidance and training to help canteen managers to make healthier food and drink choices for school canteens. Implementation of the NHSC guidelines is at the discretion of each state or territory government. Some states and territories have implemented the NHSC guidelines in full, others incorporated components of the guidelines within their own system. Under the Guidelines, foods and drinks high in sugar are banned from sale in school canteens, vending machines and preschools. </w:t>
            </w:r>
          </w:p>
          <w:p w14:paraId="01D5CB2D" w14:textId="13E7569A" w:rsidR="00752513" w:rsidRPr="00CC1ADD" w:rsidRDefault="00752513">
            <w:pPr>
              <w:spacing w:before="40" w:after="40"/>
              <w:rPr>
                <w:rFonts w:cstheme="minorHAnsi"/>
                <w:sz w:val="20"/>
                <w:szCs w:val="20"/>
              </w:rPr>
            </w:pPr>
            <w:r w:rsidRPr="00CC1ADD">
              <w:rPr>
                <w:rFonts w:cstheme="minorHAnsi"/>
                <w:sz w:val="20"/>
                <w:szCs w:val="20"/>
              </w:rPr>
              <w:t xml:space="preserve">NSW has recently </w:t>
            </w:r>
            <w:r w:rsidR="00CF3274">
              <w:rPr>
                <w:rFonts w:cstheme="minorHAnsi"/>
                <w:sz w:val="20"/>
                <w:szCs w:val="20"/>
              </w:rPr>
              <w:t>relaunched the NSW Healthy School Canteen Strategy, which classifies</w:t>
            </w:r>
            <w:r w:rsidRPr="00CC1ADD">
              <w:rPr>
                <w:rFonts w:cstheme="minorHAnsi"/>
                <w:sz w:val="20"/>
                <w:szCs w:val="20"/>
              </w:rPr>
              <w:t xml:space="preserve"> foods according to the Australian Dietary Guidelines concepts of </w:t>
            </w:r>
            <w:r w:rsidR="00CF3274">
              <w:rPr>
                <w:rFonts w:cstheme="minorHAnsi"/>
                <w:sz w:val="20"/>
                <w:szCs w:val="20"/>
              </w:rPr>
              <w:t>FFG</w:t>
            </w:r>
            <w:r w:rsidR="00CF3274" w:rsidRPr="00CC1ADD">
              <w:rPr>
                <w:rFonts w:cstheme="minorHAnsi"/>
                <w:sz w:val="20"/>
                <w:szCs w:val="20"/>
              </w:rPr>
              <w:t xml:space="preserve"> </w:t>
            </w:r>
            <w:r w:rsidRPr="00CC1ADD">
              <w:rPr>
                <w:rFonts w:cstheme="minorHAnsi"/>
                <w:sz w:val="20"/>
                <w:szCs w:val="20"/>
              </w:rPr>
              <w:t>(</w:t>
            </w:r>
            <w:r w:rsidR="00CF3274">
              <w:rPr>
                <w:rFonts w:cstheme="minorHAnsi"/>
                <w:sz w:val="20"/>
                <w:szCs w:val="20"/>
              </w:rPr>
              <w:t>E</w:t>
            </w:r>
            <w:r w:rsidRPr="00CC1ADD">
              <w:rPr>
                <w:rFonts w:cstheme="minorHAnsi"/>
                <w:sz w:val="20"/>
                <w:szCs w:val="20"/>
              </w:rPr>
              <w:t>veryday) and discretionary (</w:t>
            </w:r>
            <w:r w:rsidR="00CF3274">
              <w:rPr>
                <w:rFonts w:cstheme="minorHAnsi"/>
                <w:sz w:val="20"/>
                <w:szCs w:val="20"/>
              </w:rPr>
              <w:t>O</w:t>
            </w:r>
            <w:r w:rsidRPr="00CC1ADD">
              <w:rPr>
                <w:rFonts w:cstheme="minorHAnsi"/>
                <w:sz w:val="20"/>
                <w:szCs w:val="20"/>
              </w:rPr>
              <w:t xml:space="preserve">ccasional), supported by the use of </w:t>
            </w:r>
            <w:r w:rsidR="008A3672">
              <w:rPr>
                <w:rFonts w:cstheme="minorHAnsi"/>
                <w:sz w:val="20"/>
                <w:szCs w:val="20"/>
              </w:rPr>
              <w:t xml:space="preserve">portion size and </w:t>
            </w:r>
            <w:r w:rsidRPr="00CC1ADD">
              <w:rPr>
                <w:rFonts w:cstheme="minorHAnsi"/>
                <w:sz w:val="20"/>
                <w:szCs w:val="20"/>
              </w:rPr>
              <w:t>the HSR to select healthier versions of some foods</w:t>
            </w:r>
            <w:r w:rsidR="008A3672">
              <w:rPr>
                <w:rFonts w:cstheme="minorHAnsi"/>
                <w:sz w:val="20"/>
                <w:szCs w:val="20"/>
              </w:rPr>
              <w:t xml:space="preserve"> and drinks.</w:t>
            </w:r>
          </w:p>
        </w:tc>
        <w:tc>
          <w:tcPr>
            <w:tcW w:w="1519" w:type="dxa"/>
          </w:tcPr>
          <w:p w14:paraId="01E0358C" w14:textId="77777777" w:rsidR="00752513" w:rsidRPr="00CC1ADD" w:rsidRDefault="00752513">
            <w:pPr>
              <w:spacing w:before="40" w:after="40"/>
              <w:rPr>
                <w:rFonts w:cstheme="minorHAnsi"/>
                <w:sz w:val="20"/>
                <w:szCs w:val="20"/>
              </w:rPr>
            </w:pPr>
            <w:r w:rsidRPr="00CC1ADD">
              <w:rPr>
                <w:rFonts w:cstheme="minorHAnsi"/>
                <w:sz w:val="20"/>
                <w:szCs w:val="20"/>
              </w:rPr>
              <w:t>School children</w:t>
            </w:r>
          </w:p>
          <w:p w14:paraId="1172F82F" w14:textId="77777777" w:rsidR="00752513" w:rsidRPr="00CC1ADD" w:rsidRDefault="00752513">
            <w:pPr>
              <w:spacing w:before="40" w:after="40"/>
              <w:rPr>
                <w:rFonts w:cstheme="minorHAnsi"/>
                <w:sz w:val="20"/>
                <w:szCs w:val="20"/>
              </w:rPr>
            </w:pPr>
          </w:p>
        </w:tc>
      </w:tr>
      <w:tr w:rsidR="00752513" w:rsidRPr="00CC1ADD" w14:paraId="6D2C1CCB" w14:textId="77777777" w:rsidTr="00752513">
        <w:trPr>
          <w:trHeight w:val="1735"/>
        </w:trPr>
        <w:tc>
          <w:tcPr>
            <w:tcW w:w="1555" w:type="dxa"/>
          </w:tcPr>
          <w:p w14:paraId="7AD60ECD"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Healthy Food Provision in early childhood settings </w:t>
            </w:r>
          </w:p>
        </w:tc>
        <w:tc>
          <w:tcPr>
            <w:tcW w:w="1294" w:type="dxa"/>
          </w:tcPr>
          <w:p w14:paraId="0102D405" w14:textId="77777777" w:rsidR="00752513" w:rsidRPr="00CC1ADD" w:rsidRDefault="00752513">
            <w:pPr>
              <w:spacing w:before="40" w:after="40"/>
              <w:rPr>
                <w:rFonts w:cstheme="minorHAnsi"/>
                <w:sz w:val="20"/>
                <w:szCs w:val="20"/>
              </w:rPr>
            </w:pPr>
            <w:r w:rsidRPr="00CC1ADD">
              <w:rPr>
                <w:rFonts w:cstheme="minorHAnsi"/>
                <w:sz w:val="20"/>
                <w:szCs w:val="20"/>
              </w:rPr>
              <w:t>Australian Government, States and Territories</w:t>
            </w:r>
          </w:p>
        </w:tc>
        <w:tc>
          <w:tcPr>
            <w:tcW w:w="5368" w:type="dxa"/>
          </w:tcPr>
          <w:p w14:paraId="648C7A70" w14:textId="77777777" w:rsidR="00752513" w:rsidRPr="00CC1ADD" w:rsidRDefault="00752513">
            <w:pPr>
              <w:spacing w:before="40" w:after="40"/>
              <w:rPr>
                <w:rFonts w:cstheme="minorHAnsi"/>
                <w:sz w:val="20"/>
                <w:szCs w:val="20"/>
              </w:rPr>
            </w:pPr>
            <w:r w:rsidRPr="00CC1ADD">
              <w:rPr>
                <w:rFonts w:cstheme="minorHAnsi"/>
                <w:sz w:val="20"/>
                <w:szCs w:val="20"/>
              </w:rPr>
              <w:t>A National Quality Standard requires all services to actively promote healthy eating and provide adequate, nutritious food specific for early childhood (0-5 years), based on recommendations in the Australian Dietary Guidelines.</w:t>
            </w:r>
          </w:p>
          <w:p w14:paraId="7C42047C" w14:textId="275DBC95" w:rsidR="00752513" w:rsidRPr="00CC1ADD" w:rsidRDefault="00752513">
            <w:pPr>
              <w:spacing w:before="40" w:after="40"/>
              <w:rPr>
                <w:rFonts w:cstheme="minorHAnsi"/>
                <w:sz w:val="20"/>
                <w:szCs w:val="20"/>
              </w:rPr>
            </w:pPr>
            <w:r w:rsidRPr="00CC1ADD">
              <w:rPr>
                <w:rFonts w:cstheme="minorHAnsi"/>
                <w:sz w:val="20"/>
                <w:szCs w:val="20"/>
              </w:rPr>
              <w:t xml:space="preserve">Get up and Grow: Healthy Eating and Physical Activity for Early Childhood resources are also available from the </w:t>
            </w:r>
            <w:r w:rsidR="001B1041">
              <w:rPr>
                <w:rFonts w:cstheme="minorHAnsi"/>
                <w:sz w:val="20"/>
                <w:szCs w:val="20"/>
              </w:rPr>
              <w:t xml:space="preserve">Commonwealth </w:t>
            </w:r>
            <w:r w:rsidRPr="00CC1ADD">
              <w:rPr>
                <w:rFonts w:cstheme="minorHAnsi"/>
                <w:sz w:val="20"/>
                <w:szCs w:val="20"/>
              </w:rPr>
              <w:t>Department of Health website.</w:t>
            </w:r>
          </w:p>
        </w:tc>
        <w:tc>
          <w:tcPr>
            <w:tcW w:w="1519" w:type="dxa"/>
          </w:tcPr>
          <w:p w14:paraId="0BB300A3" w14:textId="77777777" w:rsidR="00752513" w:rsidRPr="00CC1ADD" w:rsidRDefault="00752513">
            <w:pPr>
              <w:spacing w:before="40" w:after="40"/>
              <w:rPr>
                <w:rFonts w:cstheme="minorHAnsi"/>
                <w:sz w:val="20"/>
                <w:szCs w:val="20"/>
              </w:rPr>
            </w:pPr>
            <w:r w:rsidRPr="00CC1ADD">
              <w:rPr>
                <w:rFonts w:cstheme="minorHAnsi"/>
                <w:sz w:val="20"/>
                <w:szCs w:val="20"/>
              </w:rPr>
              <w:t>All children in organised care aged 0-5 years</w:t>
            </w:r>
          </w:p>
        </w:tc>
      </w:tr>
      <w:tr w:rsidR="00752513" w:rsidRPr="00CC1ADD" w14:paraId="52593E23" w14:textId="77777777" w:rsidTr="00752513">
        <w:tc>
          <w:tcPr>
            <w:tcW w:w="1555" w:type="dxa"/>
          </w:tcPr>
          <w:p w14:paraId="50597EB2"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Fuelled4 Life </w:t>
            </w:r>
          </w:p>
        </w:tc>
        <w:tc>
          <w:tcPr>
            <w:tcW w:w="1294" w:type="dxa"/>
          </w:tcPr>
          <w:p w14:paraId="145E62AF" w14:textId="77777777" w:rsidR="00752513" w:rsidRPr="00CC1ADD" w:rsidRDefault="00752513">
            <w:pPr>
              <w:spacing w:before="40" w:after="40"/>
              <w:rPr>
                <w:rFonts w:cstheme="minorHAnsi"/>
                <w:sz w:val="20"/>
                <w:szCs w:val="20"/>
              </w:rPr>
            </w:pPr>
            <w:r w:rsidRPr="00CC1ADD">
              <w:rPr>
                <w:rFonts w:cstheme="minorHAnsi"/>
                <w:sz w:val="20"/>
                <w:szCs w:val="20"/>
              </w:rPr>
              <w:t xml:space="preserve">New Zealand </w:t>
            </w:r>
          </w:p>
        </w:tc>
        <w:tc>
          <w:tcPr>
            <w:tcW w:w="5368" w:type="dxa"/>
          </w:tcPr>
          <w:p w14:paraId="03FC9C42" w14:textId="2F8E3BEF" w:rsidR="00752513" w:rsidRPr="00CC1ADD" w:rsidRDefault="00752513">
            <w:pPr>
              <w:spacing w:before="40" w:after="40"/>
              <w:rPr>
                <w:rFonts w:cstheme="minorHAnsi"/>
                <w:sz w:val="20"/>
                <w:szCs w:val="20"/>
              </w:rPr>
            </w:pPr>
            <w:r w:rsidRPr="00CC1ADD">
              <w:rPr>
                <w:rFonts w:cstheme="minorHAnsi"/>
                <w:sz w:val="20"/>
                <w:szCs w:val="20"/>
              </w:rPr>
              <w:t>Managed by the Heart Foundation</w:t>
            </w:r>
            <w:r w:rsidR="00D84DE2">
              <w:rPr>
                <w:rFonts w:cstheme="minorHAnsi"/>
                <w:sz w:val="20"/>
                <w:szCs w:val="20"/>
              </w:rPr>
              <w:t>, Fuelled4 Life</w:t>
            </w:r>
            <w:r w:rsidRPr="00CC1ADD">
              <w:rPr>
                <w:rFonts w:cstheme="minorHAnsi"/>
                <w:sz w:val="20"/>
                <w:szCs w:val="20"/>
              </w:rPr>
              <w:t xml:space="preserve"> is a Food and Beverage Classification System (using ‘everyday’ or ‘sometimes’ categorisation) designed specifically for foods and beverages children commonly consume in an education setting. </w:t>
            </w:r>
          </w:p>
        </w:tc>
        <w:tc>
          <w:tcPr>
            <w:tcW w:w="1519" w:type="dxa"/>
          </w:tcPr>
          <w:p w14:paraId="0D034ACC" w14:textId="77777777" w:rsidR="00752513" w:rsidRPr="00CC1ADD" w:rsidRDefault="00752513">
            <w:pPr>
              <w:spacing w:before="40" w:after="40"/>
              <w:rPr>
                <w:rFonts w:cstheme="minorHAnsi"/>
                <w:sz w:val="20"/>
                <w:szCs w:val="20"/>
              </w:rPr>
            </w:pPr>
            <w:r w:rsidRPr="00CC1ADD">
              <w:rPr>
                <w:rFonts w:cstheme="minorHAnsi"/>
                <w:sz w:val="20"/>
                <w:szCs w:val="20"/>
              </w:rPr>
              <w:t xml:space="preserve">School and preschool aged children </w:t>
            </w:r>
          </w:p>
        </w:tc>
      </w:tr>
      <w:tr w:rsidR="00752513" w:rsidRPr="00CC1ADD" w14:paraId="654C1E46" w14:textId="77777777" w:rsidTr="00752513">
        <w:tc>
          <w:tcPr>
            <w:tcW w:w="1555" w:type="dxa"/>
          </w:tcPr>
          <w:p w14:paraId="44B1B03D" w14:textId="77777777" w:rsidR="00752513" w:rsidRPr="00CC1ADD" w:rsidRDefault="00752513" w:rsidP="005A3631">
            <w:pPr>
              <w:spacing w:before="40" w:after="40"/>
              <w:rPr>
                <w:rFonts w:cstheme="minorHAnsi"/>
                <w:sz w:val="20"/>
                <w:szCs w:val="20"/>
              </w:rPr>
            </w:pPr>
            <w:r w:rsidRPr="00CC1ADD">
              <w:rPr>
                <w:rFonts w:cstheme="minorHAnsi"/>
                <w:sz w:val="20"/>
                <w:szCs w:val="20"/>
              </w:rPr>
              <w:t>Healthy Lifestyles – Drink Water promotion</w:t>
            </w:r>
          </w:p>
        </w:tc>
        <w:tc>
          <w:tcPr>
            <w:tcW w:w="1294" w:type="dxa"/>
          </w:tcPr>
          <w:p w14:paraId="6FC2E0BC" w14:textId="77777777" w:rsidR="00752513" w:rsidRPr="00CC1ADD" w:rsidRDefault="00752513">
            <w:pPr>
              <w:spacing w:before="40" w:after="40"/>
              <w:rPr>
                <w:rFonts w:cstheme="minorHAnsi"/>
                <w:sz w:val="20"/>
                <w:szCs w:val="20"/>
              </w:rPr>
            </w:pPr>
            <w:r w:rsidRPr="00CC1ADD">
              <w:rPr>
                <w:rFonts w:cstheme="minorHAnsi"/>
                <w:sz w:val="20"/>
                <w:szCs w:val="20"/>
              </w:rPr>
              <w:t>New Zealand</w:t>
            </w:r>
          </w:p>
          <w:p w14:paraId="22347E91" w14:textId="77777777" w:rsidR="00752513" w:rsidRPr="00CC1ADD" w:rsidRDefault="00752513">
            <w:pPr>
              <w:spacing w:before="40" w:after="40"/>
              <w:rPr>
                <w:rFonts w:cstheme="minorHAnsi"/>
                <w:sz w:val="20"/>
                <w:szCs w:val="20"/>
              </w:rPr>
            </w:pPr>
          </w:p>
        </w:tc>
        <w:tc>
          <w:tcPr>
            <w:tcW w:w="5368" w:type="dxa"/>
          </w:tcPr>
          <w:p w14:paraId="52E8344D" w14:textId="77777777" w:rsidR="00752513" w:rsidRPr="00CC1ADD" w:rsidRDefault="00752513">
            <w:pPr>
              <w:spacing w:before="40" w:after="40"/>
              <w:rPr>
                <w:rFonts w:cstheme="minorHAnsi"/>
                <w:sz w:val="20"/>
                <w:szCs w:val="20"/>
              </w:rPr>
            </w:pPr>
            <w:r w:rsidRPr="00CC1ADD">
              <w:rPr>
                <w:rFonts w:cstheme="minorHAnsi"/>
                <w:sz w:val="20"/>
                <w:szCs w:val="20"/>
              </w:rPr>
              <w:t>Encouraging all schools in New Zealand to provide water and plain milk only. Includes infographic posters and guidance on how to implement plain water drink policy in schools.</w:t>
            </w:r>
          </w:p>
        </w:tc>
        <w:tc>
          <w:tcPr>
            <w:tcW w:w="1519" w:type="dxa"/>
          </w:tcPr>
          <w:p w14:paraId="312B4D95" w14:textId="77777777" w:rsidR="00752513" w:rsidRPr="00CC1ADD" w:rsidRDefault="00752513">
            <w:pPr>
              <w:spacing w:before="40" w:after="40"/>
              <w:rPr>
                <w:rFonts w:cstheme="minorHAnsi"/>
                <w:sz w:val="20"/>
                <w:szCs w:val="20"/>
              </w:rPr>
            </w:pPr>
            <w:r w:rsidRPr="00CC1ADD">
              <w:rPr>
                <w:rFonts w:cstheme="minorHAnsi"/>
                <w:sz w:val="20"/>
                <w:szCs w:val="20"/>
              </w:rPr>
              <w:t>School children</w:t>
            </w:r>
          </w:p>
        </w:tc>
      </w:tr>
      <w:tr w:rsidR="00752513" w:rsidRPr="00CC1ADD" w14:paraId="3A7FF49F" w14:textId="77777777" w:rsidTr="00752513">
        <w:tc>
          <w:tcPr>
            <w:tcW w:w="1555" w:type="dxa"/>
          </w:tcPr>
          <w:p w14:paraId="343258C5" w14:textId="77777777" w:rsidR="00752513" w:rsidRPr="00CC1ADD" w:rsidRDefault="00752513" w:rsidP="005A3631">
            <w:pPr>
              <w:spacing w:before="40" w:after="40"/>
              <w:rPr>
                <w:rFonts w:cstheme="minorHAnsi"/>
                <w:sz w:val="20"/>
                <w:szCs w:val="20"/>
              </w:rPr>
            </w:pPr>
            <w:r w:rsidRPr="00CC1ADD">
              <w:rPr>
                <w:rFonts w:cstheme="minorHAnsi"/>
                <w:sz w:val="20"/>
                <w:szCs w:val="20"/>
              </w:rPr>
              <w:t>The Victorian Healthy Eating Enterprise (VHEE)</w:t>
            </w:r>
          </w:p>
        </w:tc>
        <w:tc>
          <w:tcPr>
            <w:tcW w:w="1294" w:type="dxa"/>
          </w:tcPr>
          <w:p w14:paraId="0A844247" w14:textId="77777777" w:rsidR="00752513" w:rsidRPr="00CC1ADD" w:rsidRDefault="00752513">
            <w:pPr>
              <w:spacing w:before="40" w:after="40"/>
              <w:rPr>
                <w:rFonts w:cstheme="minorHAnsi"/>
                <w:sz w:val="20"/>
                <w:szCs w:val="20"/>
              </w:rPr>
            </w:pPr>
            <w:r w:rsidRPr="00CC1ADD">
              <w:rPr>
                <w:rFonts w:cstheme="minorHAnsi"/>
                <w:sz w:val="20"/>
                <w:szCs w:val="20"/>
              </w:rPr>
              <w:t>Victoria</w:t>
            </w:r>
          </w:p>
        </w:tc>
        <w:tc>
          <w:tcPr>
            <w:tcW w:w="5368" w:type="dxa"/>
          </w:tcPr>
          <w:p w14:paraId="0EEF66ED" w14:textId="77777777" w:rsidR="00752513" w:rsidRPr="00CC1ADD" w:rsidRDefault="00752513">
            <w:pPr>
              <w:spacing w:before="40" w:after="40"/>
              <w:rPr>
                <w:rFonts w:cstheme="minorHAnsi"/>
                <w:sz w:val="20"/>
                <w:szCs w:val="20"/>
              </w:rPr>
            </w:pPr>
            <w:r w:rsidRPr="00CC1ADD">
              <w:rPr>
                <w:rFonts w:cstheme="minorHAnsi"/>
                <w:sz w:val="20"/>
                <w:szCs w:val="20"/>
              </w:rPr>
              <w:t>A coordinated platform to support healthy eating targeting state-wide and local organisations and workforce (beyond the health sector) promoting access to nutritious food in Victoria.</w:t>
            </w:r>
          </w:p>
          <w:p w14:paraId="114C505E" w14:textId="77777777" w:rsidR="00752513" w:rsidRPr="00CC1ADD" w:rsidRDefault="00752513">
            <w:pPr>
              <w:spacing w:before="40" w:after="40"/>
              <w:rPr>
                <w:rFonts w:cstheme="minorHAnsi"/>
                <w:sz w:val="20"/>
                <w:szCs w:val="20"/>
              </w:rPr>
            </w:pPr>
            <w:r w:rsidRPr="00CC1ADD">
              <w:rPr>
                <w:rFonts w:cstheme="minorHAnsi"/>
                <w:sz w:val="20"/>
                <w:szCs w:val="20"/>
              </w:rPr>
              <w:t>Priority areas:</w:t>
            </w:r>
          </w:p>
          <w:p w14:paraId="37B3D774" w14:textId="77777777" w:rsidR="00752513" w:rsidRPr="00CC1ADD" w:rsidRDefault="00752513" w:rsidP="007C5D73">
            <w:pPr>
              <w:numPr>
                <w:ilvl w:val="0"/>
                <w:numId w:val="15"/>
              </w:numPr>
              <w:spacing w:before="40" w:after="40"/>
              <w:contextualSpacing/>
              <w:rPr>
                <w:rFonts w:eastAsia="Calibri" w:cstheme="minorHAnsi"/>
                <w:sz w:val="20"/>
                <w:szCs w:val="20"/>
              </w:rPr>
            </w:pPr>
            <w:r w:rsidRPr="00CC1ADD">
              <w:rPr>
                <w:rFonts w:eastAsia="Calibri" w:cstheme="minorHAnsi"/>
                <w:sz w:val="20"/>
                <w:szCs w:val="20"/>
              </w:rPr>
              <w:t>increasing fruit and vegetables</w:t>
            </w:r>
          </w:p>
          <w:p w14:paraId="095D448D" w14:textId="77777777" w:rsidR="00752513" w:rsidRPr="00CC1ADD" w:rsidRDefault="00752513" w:rsidP="007C5D73">
            <w:pPr>
              <w:numPr>
                <w:ilvl w:val="0"/>
                <w:numId w:val="15"/>
              </w:numPr>
              <w:spacing w:before="40" w:after="40"/>
              <w:contextualSpacing/>
              <w:rPr>
                <w:rFonts w:eastAsia="Calibri" w:cstheme="minorHAnsi"/>
                <w:sz w:val="20"/>
                <w:szCs w:val="20"/>
              </w:rPr>
            </w:pPr>
            <w:r w:rsidRPr="00CC1ADD">
              <w:rPr>
                <w:rFonts w:eastAsia="Calibri" w:cstheme="minorHAnsi"/>
                <w:sz w:val="20"/>
                <w:szCs w:val="20"/>
              </w:rPr>
              <w:t>reducing sugar-sweetened beverages</w:t>
            </w:r>
          </w:p>
          <w:p w14:paraId="5A1B8CAB" w14:textId="77777777" w:rsidR="00752513" w:rsidRPr="00CC1ADD" w:rsidRDefault="00752513" w:rsidP="007C5D73">
            <w:pPr>
              <w:numPr>
                <w:ilvl w:val="0"/>
                <w:numId w:val="15"/>
              </w:numPr>
              <w:spacing w:before="40" w:after="40"/>
              <w:contextualSpacing/>
              <w:rPr>
                <w:rFonts w:cstheme="minorHAnsi"/>
                <w:sz w:val="20"/>
                <w:szCs w:val="20"/>
              </w:rPr>
            </w:pPr>
            <w:r w:rsidRPr="00CC1ADD">
              <w:rPr>
                <w:rFonts w:cstheme="minorHAnsi"/>
                <w:sz w:val="20"/>
                <w:szCs w:val="20"/>
              </w:rPr>
              <w:t>increase access to nutritious food.</w:t>
            </w:r>
          </w:p>
        </w:tc>
        <w:tc>
          <w:tcPr>
            <w:tcW w:w="1519" w:type="dxa"/>
          </w:tcPr>
          <w:p w14:paraId="6DF065D8" w14:textId="2CF2050C" w:rsidR="00752513" w:rsidRPr="00CC1ADD" w:rsidRDefault="00752513">
            <w:pPr>
              <w:spacing w:before="40" w:after="40"/>
              <w:rPr>
                <w:rFonts w:cstheme="minorHAnsi"/>
                <w:sz w:val="20"/>
                <w:szCs w:val="20"/>
              </w:rPr>
            </w:pPr>
            <w:r w:rsidRPr="00CC1ADD">
              <w:rPr>
                <w:rFonts w:cstheme="minorHAnsi"/>
                <w:sz w:val="20"/>
                <w:szCs w:val="20"/>
              </w:rPr>
              <w:t>NGOs, local government, community and health services, health professionals and food relief organisations</w:t>
            </w:r>
          </w:p>
        </w:tc>
      </w:tr>
      <w:tr w:rsidR="00752513" w:rsidRPr="00CC1ADD" w14:paraId="59621CC0" w14:textId="77777777" w:rsidTr="00752513">
        <w:tc>
          <w:tcPr>
            <w:tcW w:w="1555" w:type="dxa"/>
          </w:tcPr>
          <w:p w14:paraId="59D859FE" w14:textId="77777777" w:rsidR="00752513" w:rsidRPr="00CC1ADD" w:rsidRDefault="00752513" w:rsidP="005A3631">
            <w:pPr>
              <w:spacing w:before="40" w:after="40"/>
              <w:rPr>
                <w:rFonts w:cstheme="minorHAnsi"/>
                <w:sz w:val="20"/>
                <w:szCs w:val="20"/>
              </w:rPr>
            </w:pPr>
            <w:r w:rsidRPr="00CC1ADD">
              <w:rPr>
                <w:rFonts w:cstheme="minorHAnsi"/>
                <w:sz w:val="20"/>
                <w:szCs w:val="20"/>
              </w:rPr>
              <w:t>Healthy Eating Advisory Service</w:t>
            </w:r>
          </w:p>
        </w:tc>
        <w:tc>
          <w:tcPr>
            <w:tcW w:w="1294" w:type="dxa"/>
          </w:tcPr>
          <w:p w14:paraId="5C014422" w14:textId="77777777" w:rsidR="00752513" w:rsidRPr="00CC1ADD" w:rsidRDefault="00752513">
            <w:pPr>
              <w:spacing w:before="40" w:after="40"/>
              <w:rPr>
                <w:rFonts w:cstheme="minorHAnsi"/>
                <w:sz w:val="20"/>
                <w:szCs w:val="20"/>
              </w:rPr>
            </w:pPr>
            <w:r w:rsidRPr="00CC1ADD">
              <w:rPr>
                <w:rFonts w:cstheme="minorHAnsi"/>
                <w:sz w:val="20"/>
                <w:szCs w:val="20"/>
              </w:rPr>
              <w:t>Victoria</w:t>
            </w:r>
          </w:p>
        </w:tc>
        <w:tc>
          <w:tcPr>
            <w:tcW w:w="5368" w:type="dxa"/>
          </w:tcPr>
          <w:p w14:paraId="379FA48B" w14:textId="77777777" w:rsidR="00752513" w:rsidRPr="00CC1ADD" w:rsidRDefault="00752513">
            <w:pPr>
              <w:spacing w:before="40" w:after="40"/>
              <w:rPr>
                <w:rFonts w:cstheme="minorHAnsi"/>
                <w:sz w:val="20"/>
                <w:szCs w:val="20"/>
              </w:rPr>
            </w:pPr>
            <w:r w:rsidRPr="00CC1ADD">
              <w:rPr>
                <w:rFonts w:cstheme="minorHAnsi"/>
                <w:sz w:val="20"/>
                <w:szCs w:val="20"/>
              </w:rPr>
              <w:t xml:space="preserve">A state service providing practical support to key settings and organisations to meet Government nutrition policies and guidelines. </w:t>
            </w:r>
          </w:p>
        </w:tc>
        <w:tc>
          <w:tcPr>
            <w:tcW w:w="1519" w:type="dxa"/>
          </w:tcPr>
          <w:p w14:paraId="02783A52" w14:textId="33AD6E43" w:rsidR="00752513" w:rsidRPr="00CC1ADD" w:rsidRDefault="00752513">
            <w:pPr>
              <w:spacing w:before="40" w:after="40"/>
              <w:rPr>
                <w:rFonts w:cstheme="minorHAnsi"/>
                <w:sz w:val="20"/>
                <w:szCs w:val="20"/>
              </w:rPr>
            </w:pPr>
            <w:r w:rsidRPr="00CC1ADD">
              <w:rPr>
                <w:rFonts w:cstheme="minorHAnsi"/>
                <w:sz w:val="20"/>
                <w:szCs w:val="20"/>
              </w:rPr>
              <w:t>Schools, workplaces</w:t>
            </w:r>
            <w:r w:rsidR="0029129A">
              <w:rPr>
                <w:rFonts w:cstheme="minorHAnsi"/>
                <w:sz w:val="20"/>
                <w:szCs w:val="20"/>
              </w:rPr>
              <w:t xml:space="preserve">, </w:t>
            </w:r>
            <w:r w:rsidRPr="00CC1ADD">
              <w:rPr>
                <w:rFonts w:cstheme="minorHAnsi"/>
                <w:sz w:val="20"/>
                <w:szCs w:val="20"/>
              </w:rPr>
              <w:t>recreation centres and health services</w:t>
            </w:r>
          </w:p>
        </w:tc>
      </w:tr>
      <w:tr w:rsidR="00752513" w:rsidRPr="00CC1ADD" w14:paraId="276FC138" w14:textId="77777777" w:rsidTr="00752513">
        <w:tc>
          <w:tcPr>
            <w:tcW w:w="1555" w:type="dxa"/>
          </w:tcPr>
          <w:p w14:paraId="23F5DE1A"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Premier’s Healthy Kids Menus Initiative </w:t>
            </w:r>
          </w:p>
        </w:tc>
        <w:tc>
          <w:tcPr>
            <w:tcW w:w="1294" w:type="dxa"/>
          </w:tcPr>
          <w:p w14:paraId="2A564897" w14:textId="77777777" w:rsidR="00752513" w:rsidRPr="00CC1ADD" w:rsidRDefault="00752513">
            <w:pPr>
              <w:spacing w:before="40" w:after="40"/>
              <w:rPr>
                <w:rFonts w:cstheme="minorHAnsi"/>
                <w:sz w:val="20"/>
                <w:szCs w:val="20"/>
              </w:rPr>
            </w:pPr>
            <w:r w:rsidRPr="00CC1ADD">
              <w:rPr>
                <w:rFonts w:cstheme="minorHAnsi"/>
                <w:sz w:val="20"/>
                <w:szCs w:val="20"/>
              </w:rPr>
              <w:t xml:space="preserve">SA </w:t>
            </w:r>
          </w:p>
        </w:tc>
        <w:tc>
          <w:tcPr>
            <w:tcW w:w="5368" w:type="dxa"/>
          </w:tcPr>
          <w:p w14:paraId="4B2B84B9" w14:textId="77777777" w:rsidR="00752513" w:rsidRPr="00CC1ADD" w:rsidRDefault="00752513">
            <w:pPr>
              <w:spacing w:before="40" w:after="40"/>
              <w:rPr>
                <w:rFonts w:cstheme="minorHAnsi"/>
                <w:sz w:val="20"/>
                <w:szCs w:val="20"/>
              </w:rPr>
            </w:pPr>
            <w:r w:rsidRPr="00CC1ADD">
              <w:rPr>
                <w:rFonts w:cstheme="minorHAnsi"/>
                <w:sz w:val="20"/>
                <w:szCs w:val="20"/>
              </w:rPr>
              <w:t>Aims to increase the provision of, and access to, healthy menu options for children in SA restaurants, cafes, hotels and clubs. Criteria specific to sugar reduction include:</w:t>
            </w:r>
          </w:p>
          <w:p w14:paraId="5F8F8C11" w14:textId="77777777" w:rsidR="00752513" w:rsidRPr="00CC1ADD" w:rsidRDefault="00752513" w:rsidP="007C5D73">
            <w:pPr>
              <w:numPr>
                <w:ilvl w:val="0"/>
                <w:numId w:val="15"/>
              </w:numPr>
              <w:spacing w:before="40" w:after="40"/>
              <w:contextualSpacing/>
              <w:rPr>
                <w:rFonts w:eastAsia="Calibri" w:cstheme="minorHAnsi"/>
                <w:sz w:val="20"/>
                <w:szCs w:val="20"/>
              </w:rPr>
            </w:pPr>
            <w:r>
              <w:rPr>
                <w:rFonts w:eastAsia="Calibri" w:cstheme="minorHAnsi"/>
                <w:sz w:val="20"/>
                <w:szCs w:val="20"/>
              </w:rPr>
              <w:t>f</w:t>
            </w:r>
            <w:r w:rsidRPr="00CC1ADD">
              <w:rPr>
                <w:rFonts w:eastAsia="Calibri" w:cstheme="minorHAnsi"/>
                <w:sz w:val="20"/>
                <w:szCs w:val="20"/>
              </w:rPr>
              <w:t>ree tap water is easily accessible</w:t>
            </w:r>
          </w:p>
          <w:p w14:paraId="20FD405E" w14:textId="77777777" w:rsidR="00752513" w:rsidRPr="00CC1ADD" w:rsidRDefault="00752513" w:rsidP="007C5D73">
            <w:pPr>
              <w:numPr>
                <w:ilvl w:val="0"/>
                <w:numId w:val="15"/>
              </w:numPr>
              <w:spacing w:before="40" w:after="40"/>
              <w:contextualSpacing/>
              <w:rPr>
                <w:rFonts w:eastAsia="Calibri" w:cstheme="minorHAnsi"/>
                <w:sz w:val="20"/>
                <w:szCs w:val="20"/>
              </w:rPr>
            </w:pPr>
            <w:r>
              <w:rPr>
                <w:rFonts w:eastAsia="Calibri" w:cstheme="minorHAnsi"/>
                <w:sz w:val="20"/>
                <w:szCs w:val="20"/>
              </w:rPr>
              <w:t>m</w:t>
            </w:r>
            <w:r w:rsidRPr="00CC1ADD">
              <w:rPr>
                <w:rFonts w:eastAsia="Calibri" w:cstheme="minorHAnsi"/>
                <w:sz w:val="20"/>
                <w:szCs w:val="20"/>
              </w:rPr>
              <w:t>eal deals do not include soft drinks containing sugar or artificial sweeteners</w:t>
            </w:r>
          </w:p>
          <w:p w14:paraId="2E9B27F9" w14:textId="77777777" w:rsidR="00752513" w:rsidRPr="00CC1ADD" w:rsidRDefault="00752513" w:rsidP="007C5D73">
            <w:pPr>
              <w:numPr>
                <w:ilvl w:val="0"/>
                <w:numId w:val="15"/>
              </w:numPr>
              <w:spacing w:before="40" w:after="40"/>
              <w:contextualSpacing/>
              <w:rPr>
                <w:rFonts w:eastAsia="Calibri" w:cstheme="minorHAnsi"/>
                <w:sz w:val="20"/>
                <w:szCs w:val="20"/>
              </w:rPr>
            </w:pPr>
            <w:r>
              <w:rPr>
                <w:rFonts w:eastAsia="Calibri" w:cstheme="minorHAnsi"/>
                <w:sz w:val="20"/>
                <w:szCs w:val="20"/>
              </w:rPr>
              <w:t>g</w:t>
            </w:r>
            <w:r w:rsidRPr="00CC1ADD">
              <w:rPr>
                <w:rFonts w:eastAsia="Calibri" w:cstheme="minorHAnsi"/>
                <w:sz w:val="20"/>
                <w:szCs w:val="20"/>
              </w:rPr>
              <w:t>uidance on desserts on the menu.</w:t>
            </w:r>
          </w:p>
        </w:tc>
        <w:tc>
          <w:tcPr>
            <w:tcW w:w="1519" w:type="dxa"/>
          </w:tcPr>
          <w:p w14:paraId="11593C6C" w14:textId="77777777" w:rsidR="00752513" w:rsidRPr="00CC1ADD" w:rsidRDefault="00752513">
            <w:pPr>
              <w:spacing w:before="40" w:after="40"/>
              <w:rPr>
                <w:rFonts w:cstheme="minorHAnsi"/>
                <w:sz w:val="20"/>
                <w:szCs w:val="20"/>
              </w:rPr>
            </w:pPr>
            <w:r w:rsidRPr="00CC1ADD">
              <w:rPr>
                <w:rFonts w:cstheme="minorHAnsi"/>
                <w:sz w:val="20"/>
                <w:szCs w:val="20"/>
              </w:rPr>
              <w:t>Children</w:t>
            </w:r>
          </w:p>
        </w:tc>
      </w:tr>
      <w:tr w:rsidR="00752513" w:rsidRPr="00CC1ADD" w14:paraId="346CE964" w14:textId="77777777" w:rsidTr="00752513">
        <w:tc>
          <w:tcPr>
            <w:tcW w:w="1555" w:type="dxa"/>
          </w:tcPr>
          <w:p w14:paraId="05544DD9" w14:textId="77777777" w:rsidR="00752513" w:rsidRPr="00CC1ADD" w:rsidRDefault="00752513" w:rsidP="005A3631">
            <w:pPr>
              <w:spacing w:before="40" w:after="40"/>
              <w:rPr>
                <w:rFonts w:cstheme="minorHAnsi"/>
                <w:sz w:val="20"/>
                <w:szCs w:val="20"/>
              </w:rPr>
            </w:pPr>
            <w:r w:rsidRPr="00CC1ADD">
              <w:rPr>
                <w:rFonts w:cstheme="minorHAnsi"/>
                <w:sz w:val="20"/>
                <w:szCs w:val="20"/>
              </w:rPr>
              <w:t>Healthy Children Initiative</w:t>
            </w:r>
          </w:p>
        </w:tc>
        <w:tc>
          <w:tcPr>
            <w:tcW w:w="1294" w:type="dxa"/>
          </w:tcPr>
          <w:p w14:paraId="0E3B42C5" w14:textId="77777777" w:rsidR="00752513" w:rsidRPr="00CC1ADD" w:rsidRDefault="00752513">
            <w:pPr>
              <w:spacing w:before="40" w:after="40"/>
              <w:rPr>
                <w:rFonts w:cstheme="minorHAnsi"/>
                <w:sz w:val="20"/>
                <w:szCs w:val="20"/>
              </w:rPr>
            </w:pPr>
            <w:r w:rsidRPr="00CC1ADD">
              <w:rPr>
                <w:rFonts w:cstheme="minorHAnsi"/>
                <w:sz w:val="20"/>
                <w:szCs w:val="20"/>
              </w:rPr>
              <w:t>NSW</w:t>
            </w:r>
          </w:p>
        </w:tc>
        <w:tc>
          <w:tcPr>
            <w:tcW w:w="5368" w:type="dxa"/>
          </w:tcPr>
          <w:p w14:paraId="127D373E" w14:textId="442892A6" w:rsidR="00752513" w:rsidRPr="00CC1ADD" w:rsidRDefault="008A3672">
            <w:pPr>
              <w:spacing w:before="40" w:after="40"/>
              <w:rPr>
                <w:rFonts w:cstheme="minorHAnsi"/>
                <w:sz w:val="20"/>
                <w:szCs w:val="20"/>
              </w:rPr>
            </w:pPr>
            <w:r>
              <w:rPr>
                <w:rFonts w:cstheme="minorHAnsi"/>
                <w:sz w:val="20"/>
                <w:szCs w:val="20"/>
              </w:rPr>
              <w:t xml:space="preserve">The NSW Healthy Children Initiative (HCI) was established in 2011 to provide a coordinated approach to childhood obesity prevention across NSW. </w:t>
            </w:r>
            <w:r w:rsidR="00752513" w:rsidRPr="00CC1ADD">
              <w:rPr>
                <w:rFonts w:cstheme="minorHAnsi"/>
                <w:sz w:val="20"/>
                <w:szCs w:val="20"/>
              </w:rPr>
              <w:t>Key program messages encourage the consumption of water over sugar</w:t>
            </w:r>
            <w:r w:rsidR="00B33DA3">
              <w:rPr>
                <w:rFonts w:cstheme="minorHAnsi"/>
                <w:sz w:val="20"/>
                <w:szCs w:val="20"/>
              </w:rPr>
              <w:noBreakHyphen/>
            </w:r>
            <w:r w:rsidR="00752513" w:rsidRPr="00CC1ADD">
              <w:rPr>
                <w:rFonts w:cstheme="minorHAnsi"/>
                <w:sz w:val="20"/>
                <w:szCs w:val="20"/>
              </w:rPr>
              <w:t>sweetened drinks.</w:t>
            </w:r>
          </w:p>
        </w:tc>
        <w:tc>
          <w:tcPr>
            <w:tcW w:w="1519" w:type="dxa"/>
          </w:tcPr>
          <w:p w14:paraId="68BCF76C" w14:textId="77777777" w:rsidR="00752513" w:rsidRPr="00CC1ADD" w:rsidRDefault="00752513">
            <w:pPr>
              <w:spacing w:before="40" w:after="40"/>
              <w:rPr>
                <w:rFonts w:cstheme="minorHAnsi"/>
                <w:sz w:val="20"/>
                <w:szCs w:val="20"/>
              </w:rPr>
            </w:pPr>
            <w:r w:rsidRPr="00CC1ADD">
              <w:rPr>
                <w:rFonts w:cstheme="minorHAnsi"/>
                <w:sz w:val="20"/>
                <w:szCs w:val="20"/>
              </w:rPr>
              <w:t>Children aged 0-16 years</w:t>
            </w:r>
          </w:p>
        </w:tc>
      </w:tr>
    </w:tbl>
    <w:p w14:paraId="51425E2B" w14:textId="77777777" w:rsidR="00752513" w:rsidRPr="00CC1ADD" w:rsidRDefault="00752513" w:rsidP="005D75D3">
      <w:pPr>
        <w:pStyle w:val="mpcNormal"/>
        <w:keepNext w:val="0"/>
      </w:pPr>
    </w:p>
    <w:p w14:paraId="7A238457" w14:textId="77777777" w:rsidR="00752513" w:rsidRPr="00CC1ADD" w:rsidRDefault="00752513">
      <w:pPr>
        <w:rPr>
          <w:rFonts w:cstheme="minorHAnsi"/>
          <w:b/>
          <w:sz w:val="20"/>
          <w:szCs w:val="20"/>
        </w:rPr>
      </w:pPr>
      <w:r w:rsidRPr="00CC1ADD">
        <w:rPr>
          <w:rFonts w:cstheme="minorHAnsi"/>
          <w:b/>
          <w:sz w:val="20"/>
          <w:szCs w:val="20"/>
        </w:rPr>
        <w:t>Resources focusing on beverages</w:t>
      </w:r>
    </w:p>
    <w:p w14:paraId="3F98ECF3" w14:textId="77777777" w:rsidR="00752513" w:rsidRPr="00CC1ADD" w:rsidRDefault="00752513">
      <w:pPr>
        <w:rPr>
          <w:rFonts w:cstheme="minorHAnsi"/>
          <w:sz w:val="20"/>
          <w:szCs w:val="20"/>
        </w:rPr>
      </w:pPr>
    </w:p>
    <w:tbl>
      <w:tblPr>
        <w:tblStyle w:val="TableGrid"/>
        <w:tblW w:w="0" w:type="auto"/>
        <w:tblLook w:val="04A0" w:firstRow="1" w:lastRow="0" w:firstColumn="1" w:lastColumn="0" w:noHBand="0" w:noVBand="1"/>
        <w:tblCaption w:val="Beverages"/>
        <w:tblDescription w:val="This table provides information about some of the ways retailers, food manufacturers, government and public health agencies in Australia and New Zealand have engaged with promotion of the HSR System. "/>
      </w:tblPr>
      <w:tblGrid>
        <w:gridCol w:w="1551"/>
        <w:gridCol w:w="1515"/>
        <w:gridCol w:w="5172"/>
        <w:gridCol w:w="1498"/>
      </w:tblGrid>
      <w:tr w:rsidR="00752513" w:rsidRPr="00CC1ADD" w14:paraId="1575D26F" w14:textId="77777777" w:rsidTr="00752513">
        <w:trPr>
          <w:tblHeader/>
        </w:trPr>
        <w:tc>
          <w:tcPr>
            <w:tcW w:w="1553" w:type="dxa"/>
            <w:shd w:val="clear" w:color="auto" w:fill="516A8E"/>
          </w:tcPr>
          <w:p w14:paraId="68C6FD1E" w14:textId="77777777" w:rsidR="00752513" w:rsidRPr="00CC1ADD" w:rsidRDefault="00752513">
            <w:pPr>
              <w:pStyle w:val="Tabletext"/>
              <w:spacing w:before="40" w:after="40" w:line="240" w:lineRule="auto"/>
              <w:rPr>
                <w:rFonts w:cstheme="minorHAnsi"/>
                <w:b/>
                <w:color w:val="FFFFFF" w:themeColor="background1"/>
                <w:szCs w:val="20"/>
              </w:rPr>
            </w:pPr>
            <w:bookmarkStart w:id="183" w:name="Type4"/>
            <w:bookmarkEnd w:id="183"/>
            <w:r w:rsidRPr="00CC1ADD">
              <w:rPr>
                <w:rFonts w:cstheme="minorHAnsi"/>
                <w:b/>
                <w:color w:val="FFFFFF" w:themeColor="background1"/>
                <w:szCs w:val="20"/>
              </w:rPr>
              <w:t>Type of Policy/Program</w:t>
            </w:r>
          </w:p>
        </w:tc>
        <w:tc>
          <w:tcPr>
            <w:tcW w:w="1277" w:type="dxa"/>
            <w:shd w:val="clear" w:color="auto" w:fill="516A8E"/>
          </w:tcPr>
          <w:p w14:paraId="34E955BF"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Jurisdiction</w:t>
            </w:r>
          </w:p>
        </w:tc>
        <w:tc>
          <w:tcPr>
            <w:tcW w:w="5387" w:type="dxa"/>
            <w:shd w:val="clear" w:color="auto" w:fill="516A8E"/>
          </w:tcPr>
          <w:p w14:paraId="768B3ECD"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Description summary</w:t>
            </w:r>
          </w:p>
        </w:tc>
        <w:tc>
          <w:tcPr>
            <w:tcW w:w="1519" w:type="dxa"/>
            <w:shd w:val="clear" w:color="auto" w:fill="516A8E"/>
          </w:tcPr>
          <w:p w14:paraId="56F52413" w14:textId="77777777" w:rsidR="00752513" w:rsidRPr="00CC1ADD" w:rsidRDefault="00752513">
            <w:pPr>
              <w:pStyle w:val="Tabletext"/>
              <w:spacing w:before="40" w:after="40" w:line="240" w:lineRule="auto"/>
              <w:rPr>
                <w:rFonts w:cstheme="minorHAnsi"/>
                <w:b/>
                <w:color w:val="FFFFFF" w:themeColor="background1"/>
                <w:szCs w:val="20"/>
              </w:rPr>
            </w:pPr>
            <w:r w:rsidRPr="00CC1ADD">
              <w:rPr>
                <w:rFonts w:cstheme="minorHAnsi"/>
                <w:b/>
                <w:color w:val="FFFFFF" w:themeColor="background1"/>
                <w:szCs w:val="20"/>
              </w:rPr>
              <w:t>Target audience</w:t>
            </w:r>
          </w:p>
        </w:tc>
      </w:tr>
      <w:tr w:rsidR="00752513" w:rsidRPr="00CC1ADD" w14:paraId="2ACD4062" w14:textId="77777777" w:rsidTr="00752513">
        <w:trPr>
          <w:cantSplit/>
        </w:trPr>
        <w:tc>
          <w:tcPr>
            <w:tcW w:w="1553" w:type="dxa"/>
          </w:tcPr>
          <w:p w14:paraId="6416A485" w14:textId="77777777" w:rsidR="00752513" w:rsidRPr="00CC1ADD" w:rsidRDefault="00752513" w:rsidP="005A3631">
            <w:pPr>
              <w:spacing w:before="40" w:after="40"/>
              <w:rPr>
                <w:rFonts w:cstheme="minorHAnsi"/>
                <w:sz w:val="20"/>
                <w:szCs w:val="20"/>
              </w:rPr>
            </w:pPr>
            <w:r w:rsidRPr="00CC1ADD">
              <w:rPr>
                <w:rFonts w:cstheme="minorHAnsi"/>
                <w:sz w:val="20"/>
                <w:szCs w:val="20"/>
              </w:rPr>
              <w:t>Sugary Drinks - Healthy Bodies Need Healthy Drinks</w:t>
            </w:r>
          </w:p>
        </w:tc>
        <w:tc>
          <w:tcPr>
            <w:tcW w:w="1277" w:type="dxa"/>
          </w:tcPr>
          <w:p w14:paraId="53B264FF" w14:textId="77777777" w:rsidR="00752513" w:rsidRPr="00CC1ADD" w:rsidRDefault="00752513">
            <w:pPr>
              <w:spacing w:before="40" w:after="40"/>
              <w:rPr>
                <w:rFonts w:cstheme="minorHAnsi"/>
                <w:sz w:val="20"/>
                <w:szCs w:val="20"/>
              </w:rPr>
            </w:pPr>
            <w:r w:rsidRPr="00CC1ADD">
              <w:rPr>
                <w:rFonts w:cstheme="minorHAnsi"/>
                <w:sz w:val="20"/>
                <w:szCs w:val="20"/>
              </w:rPr>
              <w:t>Commonwealth</w:t>
            </w:r>
          </w:p>
        </w:tc>
        <w:tc>
          <w:tcPr>
            <w:tcW w:w="5387" w:type="dxa"/>
          </w:tcPr>
          <w:p w14:paraId="7DD96CF0" w14:textId="77777777" w:rsidR="00752513" w:rsidRPr="00CC1ADD" w:rsidRDefault="00752513">
            <w:pPr>
              <w:spacing w:before="40" w:after="40"/>
              <w:rPr>
                <w:rFonts w:cstheme="minorHAnsi"/>
                <w:sz w:val="20"/>
                <w:szCs w:val="20"/>
              </w:rPr>
            </w:pPr>
            <w:r w:rsidRPr="00CC1ADD">
              <w:rPr>
                <w:rFonts w:cstheme="minorHAnsi"/>
                <w:sz w:val="20"/>
                <w:szCs w:val="20"/>
              </w:rPr>
              <w:t>Online resource package that promotes healthy drink choices and discourages excessive consumption of sugar-sweetened drinks among Aboriginal and Torres Strait Islander school aged children, their families and communities. Includes brochures, activities, music videos, posters and song lyrics.</w:t>
            </w:r>
          </w:p>
        </w:tc>
        <w:tc>
          <w:tcPr>
            <w:tcW w:w="1519" w:type="dxa"/>
          </w:tcPr>
          <w:p w14:paraId="19353F62" w14:textId="77777777" w:rsidR="00752513" w:rsidRPr="00CC1ADD" w:rsidRDefault="00752513">
            <w:pPr>
              <w:spacing w:before="40" w:after="40"/>
              <w:rPr>
                <w:rFonts w:cstheme="minorHAnsi"/>
                <w:sz w:val="20"/>
                <w:szCs w:val="20"/>
              </w:rPr>
            </w:pPr>
            <w:r w:rsidRPr="00CC1ADD">
              <w:rPr>
                <w:rFonts w:cstheme="minorHAnsi"/>
                <w:sz w:val="20"/>
                <w:szCs w:val="20"/>
              </w:rPr>
              <w:t>Aboriginal and Torres Strait Islander peoples</w:t>
            </w:r>
          </w:p>
        </w:tc>
      </w:tr>
      <w:tr w:rsidR="00752513" w:rsidRPr="00CC1ADD" w14:paraId="7418A8A1" w14:textId="77777777" w:rsidTr="00752513">
        <w:tc>
          <w:tcPr>
            <w:tcW w:w="1553" w:type="dxa"/>
          </w:tcPr>
          <w:p w14:paraId="1F2BC8C5" w14:textId="77777777" w:rsidR="00752513" w:rsidRPr="00CC1ADD" w:rsidRDefault="00752513" w:rsidP="005A3631">
            <w:pPr>
              <w:spacing w:before="40" w:after="40"/>
              <w:rPr>
                <w:rFonts w:cstheme="minorHAnsi"/>
                <w:sz w:val="20"/>
                <w:szCs w:val="20"/>
              </w:rPr>
            </w:pPr>
            <w:r w:rsidRPr="00CC1ADD">
              <w:rPr>
                <w:rFonts w:cstheme="minorHAnsi"/>
                <w:sz w:val="20"/>
                <w:szCs w:val="20"/>
              </w:rPr>
              <w:t>Swap Soft Drinks for Water initiative</w:t>
            </w:r>
          </w:p>
        </w:tc>
        <w:tc>
          <w:tcPr>
            <w:tcW w:w="1277" w:type="dxa"/>
          </w:tcPr>
          <w:p w14:paraId="6DC1E6E2" w14:textId="77777777" w:rsidR="00752513" w:rsidRPr="00CC1ADD" w:rsidRDefault="00752513">
            <w:pPr>
              <w:spacing w:before="40" w:after="40"/>
              <w:rPr>
                <w:rFonts w:cstheme="minorHAnsi"/>
                <w:sz w:val="20"/>
                <w:szCs w:val="20"/>
              </w:rPr>
            </w:pPr>
            <w:r w:rsidRPr="00CC1ADD">
              <w:rPr>
                <w:rFonts w:cstheme="minorHAnsi"/>
                <w:sz w:val="20"/>
                <w:szCs w:val="20"/>
              </w:rPr>
              <w:t>NT</w:t>
            </w:r>
          </w:p>
        </w:tc>
        <w:tc>
          <w:tcPr>
            <w:tcW w:w="5387" w:type="dxa"/>
          </w:tcPr>
          <w:p w14:paraId="42C36A95" w14:textId="77777777" w:rsidR="00752513" w:rsidRPr="00CC1ADD" w:rsidRDefault="00752513">
            <w:pPr>
              <w:spacing w:before="40" w:after="40"/>
              <w:rPr>
                <w:rFonts w:cstheme="minorHAnsi"/>
                <w:sz w:val="20"/>
                <w:szCs w:val="20"/>
              </w:rPr>
            </w:pPr>
            <w:r w:rsidRPr="00CC1ADD">
              <w:rPr>
                <w:rFonts w:cstheme="minorHAnsi"/>
                <w:sz w:val="20"/>
                <w:szCs w:val="20"/>
              </w:rPr>
              <w:t>Online information sheets and promotional resources on replacing soft drinks with water, for use by different health promotion sectors including schools, child care, community groups, stores, council (through Sport and Recreation Officers) and health centres.</w:t>
            </w:r>
          </w:p>
        </w:tc>
        <w:tc>
          <w:tcPr>
            <w:tcW w:w="1519" w:type="dxa"/>
          </w:tcPr>
          <w:p w14:paraId="5DDCA0FB" w14:textId="77777777" w:rsidR="00752513" w:rsidRPr="00CC1ADD" w:rsidRDefault="00752513">
            <w:pPr>
              <w:spacing w:before="40" w:after="40"/>
              <w:rPr>
                <w:rFonts w:cstheme="minorHAnsi"/>
                <w:sz w:val="20"/>
                <w:szCs w:val="20"/>
              </w:rPr>
            </w:pPr>
            <w:r w:rsidRPr="00CC1ADD">
              <w:rPr>
                <w:rFonts w:cstheme="minorHAnsi"/>
                <w:sz w:val="20"/>
                <w:szCs w:val="20"/>
              </w:rPr>
              <w:t xml:space="preserve">Consumers </w:t>
            </w:r>
          </w:p>
        </w:tc>
      </w:tr>
      <w:tr w:rsidR="00752513" w:rsidRPr="00CC1ADD" w14:paraId="7A8E52AA" w14:textId="77777777" w:rsidTr="00752513">
        <w:tc>
          <w:tcPr>
            <w:tcW w:w="1553" w:type="dxa"/>
          </w:tcPr>
          <w:p w14:paraId="710A1475" w14:textId="77777777" w:rsidR="00752513" w:rsidRPr="00CC1ADD" w:rsidRDefault="00752513" w:rsidP="005A3631">
            <w:pPr>
              <w:spacing w:before="40" w:after="40"/>
              <w:rPr>
                <w:rFonts w:cstheme="minorHAnsi"/>
                <w:sz w:val="20"/>
                <w:szCs w:val="20"/>
              </w:rPr>
            </w:pPr>
            <w:r w:rsidRPr="00CC1ADD">
              <w:rPr>
                <w:rFonts w:cstheme="minorHAnsi"/>
                <w:sz w:val="20"/>
                <w:szCs w:val="20"/>
              </w:rPr>
              <w:t>H30 Challenge</w:t>
            </w:r>
          </w:p>
        </w:tc>
        <w:tc>
          <w:tcPr>
            <w:tcW w:w="1277" w:type="dxa"/>
          </w:tcPr>
          <w:p w14:paraId="2ABFC2F8" w14:textId="77777777" w:rsidR="00752513" w:rsidRPr="00CC1ADD" w:rsidRDefault="00752513">
            <w:pPr>
              <w:spacing w:before="40" w:after="40"/>
              <w:rPr>
                <w:rFonts w:cstheme="minorHAnsi"/>
                <w:sz w:val="20"/>
                <w:szCs w:val="20"/>
              </w:rPr>
            </w:pPr>
            <w:r w:rsidRPr="00CC1ADD">
              <w:rPr>
                <w:rFonts w:cstheme="minorHAnsi"/>
                <w:sz w:val="20"/>
                <w:szCs w:val="20"/>
              </w:rPr>
              <w:t>Victoria</w:t>
            </w:r>
          </w:p>
        </w:tc>
        <w:tc>
          <w:tcPr>
            <w:tcW w:w="5387" w:type="dxa"/>
          </w:tcPr>
          <w:p w14:paraId="19A75E51" w14:textId="77777777" w:rsidR="00752513" w:rsidRPr="00CC1ADD" w:rsidRDefault="00752513">
            <w:pPr>
              <w:spacing w:before="40" w:after="40"/>
              <w:rPr>
                <w:rFonts w:cstheme="minorHAnsi"/>
                <w:sz w:val="20"/>
                <w:szCs w:val="20"/>
              </w:rPr>
            </w:pPr>
            <w:r w:rsidRPr="00CC1ADD">
              <w:rPr>
                <w:rFonts w:cstheme="minorHAnsi"/>
                <w:sz w:val="20"/>
                <w:szCs w:val="20"/>
              </w:rPr>
              <w:t>VicHealth campaign encouraging Victorians to make a 30-day pledge to replace every sugary drink they would normally drink with water.</w:t>
            </w:r>
          </w:p>
        </w:tc>
        <w:tc>
          <w:tcPr>
            <w:tcW w:w="1519" w:type="dxa"/>
          </w:tcPr>
          <w:p w14:paraId="44DA0212" w14:textId="77777777" w:rsidR="00752513" w:rsidRPr="00CC1ADD" w:rsidRDefault="00752513">
            <w:pPr>
              <w:spacing w:before="40" w:after="40"/>
              <w:rPr>
                <w:rFonts w:cstheme="minorHAnsi"/>
                <w:sz w:val="20"/>
                <w:szCs w:val="20"/>
              </w:rPr>
            </w:pPr>
            <w:r w:rsidRPr="00CC1ADD">
              <w:rPr>
                <w:rFonts w:cstheme="minorHAnsi"/>
                <w:sz w:val="20"/>
                <w:szCs w:val="20"/>
              </w:rPr>
              <w:t>VIC population</w:t>
            </w:r>
          </w:p>
        </w:tc>
      </w:tr>
      <w:tr w:rsidR="00752513" w:rsidRPr="00CC1ADD" w14:paraId="2DCBD5DE" w14:textId="77777777" w:rsidTr="00752513">
        <w:tc>
          <w:tcPr>
            <w:tcW w:w="1553" w:type="dxa"/>
          </w:tcPr>
          <w:p w14:paraId="410633B3" w14:textId="77777777" w:rsidR="00752513" w:rsidRPr="00CC1ADD" w:rsidRDefault="00752513" w:rsidP="005A3631">
            <w:pPr>
              <w:spacing w:before="40" w:after="40"/>
              <w:rPr>
                <w:rFonts w:cstheme="minorHAnsi"/>
                <w:sz w:val="20"/>
                <w:szCs w:val="20"/>
              </w:rPr>
            </w:pPr>
            <w:r w:rsidRPr="00CC1ADD">
              <w:rPr>
                <w:rFonts w:cstheme="minorHAnsi"/>
                <w:sz w:val="20"/>
                <w:szCs w:val="20"/>
              </w:rPr>
              <w:t>Good Habits for Life – Sugar Swap Challenge</w:t>
            </w:r>
          </w:p>
        </w:tc>
        <w:tc>
          <w:tcPr>
            <w:tcW w:w="1277" w:type="dxa"/>
          </w:tcPr>
          <w:p w14:paraId="25FA4241" w14:textId="77777777" w:rsidR="00752513" w:rsidRPr="00CC1ADD" w:rsidRDefault="00752513">
            <w:pPr>
              <w:spacing w:before="40" w:after="40"/>
              <w:rPr>
                <w:rFonts w:cstheme="minorHAnsi"/>
                <w:sz w:val="20"/>
                <w:szCs w:val="20"/>
              </w:rPr>
            </w:pPr>
            <w:r w:rsidRPr="00CC1ADD">
              <w:rPr>
                <w:rFonts w:cstheme="minorHAnsi"/>
                <w:sz w:val="20"/>
                <w:szCs w:val="20"/>
              </w:rPr>
              <w:t>ACT</w:t>
            </w:r>
          </w:p>
        </w:tc>
        <w:tc>
          <w:tcPr>
            <w:tcW w:w="5387" w:type="dxa"/>
          </w:tcPr>
          <w:p w14:paraId="0CCC847E" w14:textId="77777777" w:rsidR="00752513" w:rsidRPr="00CC1ADD" w:rsidRDefault="00752513">
            <w:pPr>
              <w:spacing w:before="40" w:after="40"/>
              <w:rPr>
                <w:rFonts w:cstheme="minorHAnsi"/>
                <w:sz w:val="20"/>
                <w:szCs w:val="20"/>
              </w:rPr>
            </w:pPr>
            <w:r w:rsidRPr="00CC1ADD">
              <w:rPr>
                <w:rFonts w:cstheme="minorHAnsi"/>
                <w:sz w:val="20"/>
                <w:szCs w:val="20"/>
              </w:rPr>
              <w:t>Online resources and advice for families to recognise added sugar in their food and drinks, and to ‘swap them out’ for healthier alternatives for one month. Includes an online sugar swap game for children.</w:t>
            </w:r>
          </w:p>
        </w:tc>
        <w:tc>
          <w:tcPr>
            <w:tcW w:w="1519" w:type="dxa"/>
          </w:tcPr>
          <w:p w14:paraId="1D039730" w14:textId="77777777" w:rsidR="00752513" w:rsidRPr="00CC1ADD" w:rsidRDefault="00752513">
            <w:pPr>
              <w:spacing w:before="40" w:after="40"/>
              <w:rPr>
                <w:rFonts w:cstheme="minorHAnsi"/>
                <w:sz w:val="20"/>
                <w:szCs w:val="20"/>
              </w:rPr>
            </w:pPr>
            <w:r w:rsidRPr="00CC1ADD">
              <w:rPr>
                <w:rFonts w:cstheme="minorHAnsi"/>
                <w:sz w:val="20"/>
                <w:szCs w:val="20"/>
              </w:rPr>
              <w:t>Parents and carers with children 0 - 8 years</w:t>
            </w:r>
          </w:p>
        </w:tc>
      </w:tr>
      <w:tr w:rsidR="00752513" w:rsidRPr="00CC1ADD" w14:paraId="788FE001" w14:textId="77777777" w:rsidTr="00752513">
        <w:tc>
          <w:tcPr>
            <w:tcW w:w="1553" w:type="dxa"/>
          </w:tcPr>
          <w:p w14:paraId="7FD87FC9" w14:textId="77777777" w:rsidR="00752513" w:rsidRPr="00CC1ADD" w:rsidRDefault="00752513" w:rsidP="005A3631">
            <w:pPr>
              <w:spacing w:before="40" w:after="40"/>
              <w:rPr>
                <w:rFonts w:cstheme="minorHAnsi"/>
                <w:sz w:val="20"/>
                <w:szCs w:val="20"/>
              </w:rPr>
            </w:pPr>
            <w:r w:rsidRPr="00CC1ADD">
              <w:rPr>
                <w:rFonts w:cstheme="minorHAnsi"/>
                <w:sz w:val="20"/>
                <w:szCs w:val="20"/>
              </w:rPr>
              <w:t xml:space="preserve">100% water resources Health Promotion </w:t>
            </w:r>
          </w:p>
        </w:tc>
        <w:tc>
          <w:tcPr>
            <w:tcW w:w="1277" w:type="dxa"/>
          </w:tcPr>
          <w:p w14:paraId="2FAB2F91" w14:textId="77777777" w:rsidR="00752513" w:rsidRPr="00CC1ADD" w:rsidRDefault="00752513">
            <w:pPr>
              <w:spacing w:before="40" w:after="40"/>
              <w:rPr>
                <w:rFonts w:cstheme="minorHAnsi"/>
                <w:sz w:val="20"/>
                <w:szCs w:val="20"/>
              </w:rPr>
            </w:pPr>
            <w:r w:rsidRPr="00CC1ADD">
              <w:rPr>
                <w:rFonts w:cstheme="minorHAnsi"/>
                <w:sz w:val="20"/>
                <w:szCs w:val="20"/>
              </w:rPr>
              <w:t>New Zealand</w:t>
            </w:r>
          </w:p>
        </w:tc>
        <w:tc>
          <w:tcPr>
            <w:tcW w:w="5387" w:type="dxa"/>
          </w:tcPr>
          <w:p w14:paraId="554C96BB" w14:textId="77777777" w:rsidR="00752513" w:rsidRPr="00CC1ADD" w:rsidRDefault="00752513">
            <w:pPr>
              <w:spacing w:before="40" w:after="40"/>
              <w:rPr>
                <w:rFonts w:cstheme="minorHAnsi"/>
                <w:sz w:val="20"/>
                <w:szCs w:val="20"/>
              </w:rPr>
            </w:pPr>
            <w:r w:rsidRPr="00CC1ADD">
              <w:rPr>
                <w:rFonts w:cstheme="minorHAnsi"/>
                <w:sz w:val="20"/>
                <w:szCs w:val="20"/>
              </w:rPr>
              <w:t>Online resources including sugary drink infographics and suite of ‘100% Water’ posters encouraging consumers to choose water instead of sugary drinks.</w:t>
            </w:r>
          </w:p>
        </w:tc>
        <w:tc>
          <w:tcPr>
            <w:tcW w:w="1519" w:type="dxa"/>
          </w:tcPr>
          <w:p w14:paraId="763F6197" w14:textId="77777777" w:rsidR="00752513" w:rsidRPr="00CC1ADD" w:rsidRDefault="00752513">
            <w:pPr>
              <w:spacing w:before="40" w:after="40"/>
              <w:rPr>
                <w:rFonts w:cstheme="minorHAnsi"/>
                <w:sz w:val="20"/>
                <w:szCs w:val="20"/>
              </w:rPr>
            </w:pPr>
            <w:r w:rsidRPr="00CC1ADD">
              <w:rPr>
                <w:rFonts w:cstheme="minorHAnsi"/>
                <w:sz w:val="20"/>
                <w:szCs w:val="20"/>
              </w:rPr>
              <w:t xml:space="preserve">Consumers </w:t>
            </w:r>
          </w:p>
        </w:tc>
      </w:tr>
      <w:tr w:rsidR="00752513" w:rsidRPr="00CC1ADD" w14:paraId="77398600" w14:textId="77777777" w:rsidTr="00752513">
        <w:tc>
          <w:tcPr>
            <w:tcW w:w="1553" w:type="dxa"/>
          </w:tcPr>
          <w:p w14:paraId="429173D5" w14:textId="1E54B076" w:rsidR="00752513" w:rsidRPr="00CC1ADD" w:rsidRDefault="00752513" w:rsidP="005A3631">
            <w:pPr>
              <w:spacing w:before="40" w:after="40"/>
              <w:rPr>
                <w:rFonts w:cstheme="minorHAnsi"/>
                <w:sz w:val="20"/>
                <w:szCs w:val="20"/>
              </w:rPr>
            </w:pPr>
            <w:r w:rsidRPr="00CC1ADD">
              <w:rPr>
                <w:rFonts w:cstheme="minorHAnsi"/>
                <w:sz w:val="20"/>
                <w:szCs w:val="20"/>
              </w:rPr>
              <w:t>Move Well Eat Well program</w:t>
            </w:r>
          </w:p>
        </w:tc>
        <w:tc>
          <w:tcPr>
            <w:tcW w:w="1277" w:type="dxa"/>
          </w:tcPr>
          <w:p w14:paraId="61159AC1" w14:textId="77777777" w:rsidR="00752513" w:rsidRPr="00CC1ADD" w:rsidRDefault="00752513">
            <w:pPr>
              <w:spacing w:before="40" w:after="40"/>
              <w:rPr>
                <w:rFonts w:cstheme="minorHAnsi"/>
                <w:sz w:val="20"/>
                <w:szCs w:val="20"/>
              </w:rPr>
            </w:pPr>
            <w:r w:rsidRPr="00CC1ADD">
              <w:rPr>
                <w:rFonts w:cstheme="minorHAnsi"/>
                <w:sz w:val="20"/>
                <w:szCs w:val="20"/>
              </w:rPr>
              <w:t>Tasmania</w:t>
            </w:r>
          </w:p>
        </w:tc>
        <w:tc>
          <w:tcPr>
            <w:tcW w:w="5387" w:type="dxa"/>
          </w:tcPr>
          <w:p w14:paraId="14DEB8EE" w14:textId="638ED05B" w:rsidR="00752513" w:rsidRPr="00CC1ADD" w:rsidRDefault="00D83FE0">
            <w:pPr>
              <w:spacing w:before="40" w:after="40"/>
              <w:rPr>
                <w:rFonts w:cstheme="minorHAnsi"/>
                <w:sz w:val="20"/>
                <w:szCs w:val="20"/>
              </w:rPr>
            </w:pPr>
            <w:r>
              <w:rPr>
                <w:rFonts w:cstheme="minorHAnsi"/>
                <w:sz w:val="20"/>
                <w:szCs w:val="20"/>
              </w:rPr>
              <w:t>Resource</w:t>
            </w:r>
            <w:r w:rsidRPr="00CC1ADD">
              <w:rPr>
                <w:rFonts w:cstheme="minorHAnsi"/>
                <w:sz w:val="20"/>
                <w:szCs w:val="20"/>
              </w:rPr>
              <w:t xml:space="preserve"> </w:t>
            </w:r>
            <w:r w:rsidR="00752513" w:rsidRPr="00CC1ADD">
              <w:rPr>
                <w:rFonts w:cstheme="minorHAnsi"/>
                <w:sz w:val="20"/>
                <w:szCs w:val="20"/>
              </w:rPr>
              <w:t>promoting healthy eating and physical activity which also includes a ‘Think before you drink’ poster promoted through early childhood and primary school programs.</w:t>
            </w:r>
          </w:p>
        </w:tc>
        <w:tc>
          <w:tcPr>
            <w:tcW w:w="1519" w:type="dxa"/>
          </w:tcPr>
          <w:p w14:paraId="3F693BA2" w14:textId="77777777" w:rsidR="00752513" w:rsidRPr="00CC1ADD" w:rsidRDefault="00752513">
            <w:pPr>
              <w:spacing w:before="40" w:after="40"/>
              <w:rPr>
                <w:rFonts w:cstheme="minorHAnsi"/>
                <w:sz w:val="20"/>
                <w:szCs w:val="20"/>
              </w:rPr>
            </w:pPr>
            <w:r w:rsidRPr="00CC1ADD">
              <w:rPr>
                <w:rFonts w:cstheme="minorHAnsi"/>
                <w:sz w:val="20"/>
                <w:szCs w:val="20"/>
              </w:rPr>
              <w:t>Children aged 0 – 12 years</w:t>
            </w:r>
          </w:p>
          <w:p w14:paraId="43218008" w14:textId="77777777" w:rsidR="00752513" w:rsidRPr="00CC1ADD" w:rsidRDefault="00752513">
            <w:pPr>
              <w:spacing w:before="40" w:after="40"/>
              <w:rPr>
                <w:rFonts w:cstheme="minorHAnsi"/>
                <w:sz w:val="20"/>
                <w:szCs w:val="20"/>
              </w:rPr>
            </w:pPr>
          </w:p>
        </w:tc>
      </w:tr>
    </w:tbl>
    <w:p w14:paraId="4C0A3301" w14:textId="77777777" w:rsidR="00F37134" w:rsidRPr="004560A4" w:rsidRDefault="004560A4" w:rsidP="00F37134">
      <w:pPr>
        <w:pStyle w:val="mpcheading1"/>
      </w:pPr>
      <w:r>
        <w:br w:type="column"/>
      </w:r>
      <w:bookmarkStart w:id="184" w:name="AppendixD"/>
      <w:bookmarkStart w:id="185" w:name="_Toc9955085"/>
      <w:bookmarkEnd w:id="184"/>
      <w:r w:rsidR="00F37134" w:rsidRPr="004560A4">
        <w:t xml:space="preserve">Appendix </w:t>
      </w:r>
      <w:r w:rsidR="00F37134">
        <w:t>D</w:t>
      </w:r>
      <w:r w:rsidR="00F37134" w:rsidRPr="004560A4">
        <w:t xml:space="preserve">: </w:t>
      </w:r>
      <w:r w:rsidR="00F37134">
        <w:t>Issues and options raised throughout the Review</w:t>
      </w:r>
      <w:bookmarkEnd w:id="185"/>
      <w:r w:rsidR="00F37134" w:rsidRPr="004560A4">
        <w:t xml:space="preserve">  </w:t>
      </w:r>
    </w:p>
    <w:p w14:paraId="3E5390A5" w14:textId="77777777" w:rsidR="00F37134" w:rsidRPr="0013165D" w:rsidRDefault="00F37134" w:rsidP="00F37134">
      <w:pPr>
        <w:pStyle w:val="mpcNormal"/>
      </w:pPr>
      <w:r w:rsidRPr="004560A4">
        <w:t>Over the course of th</w:t>
      </w:r>
      <w:r w:rsidRPr="0013165D">
        <w:t>e Review</w:t>
      </w:r>
      <w:r>
        <w:t>,</w:t>
      </w:r>
      <w:r w:rsidRPr="004560A4">
        <w:t xml:space="preserve"> stak</w:t>
      </w:r>
      <w:r w:rsidRPr="0013165D">
        <w:t>eholders made a range of suggestions for improvements to the HSR</w:t>
      </w:r>
      <w:r>
        <w:t xml:space="preserve"> System</w:t>
      </w:r>
      <w:r w:rsidRPr="004560A4">
        <w:t>. Not all of th</w:t>
      </w:r>
      <w:r w:rsidRPr="0013165D">
        <w:t xml:space="preserve">ese suggestions have been addressed in the body of the Review Report. This Appendix summarises the Review response to </w:t>
      </w:r>
      <w:r>
        <w:t>key</w:t>
      </w:r>
      <w:r w:rsidRPr="0013165D">
        <w:t xml:space="preserve"> issues raised. </w:t>
      </w:r>
    </w:p>
    <w:p w14:paraId="26E0D745" w14:textId="77777777" w:rsidR="00F37134" w:rsidRPr="005D75D3" w:rsidRDefault="00F37134" w:rsidP="00F37134">
      <w:pPr>
        <w:pStyle w:val="mpcNormal"/>
      </w:pPr>
    </w:p>
    <w:p w14:paraId="1AAF36EE" w14:textId="77777777" w:rsidR="00F37134" w:rsidRDefault="00F37134" w:rsidP="00F37134">
      <w:pPr>
        <w:pStyle w:val="mpcheading2"/>
        <w:spacing w:after="0"/>
      </w:pPr>
      <w:bookmarkStart w:id="186" w:name="System"/>
      <w:bookmarkStart w:id="187" w:name="_Toc9955086"/>
      <w:bookmarkEnd w:id="186"/>
      <w:r w:rsidRPr="00C52B5B">
        <w:t>HSR</w:t>
      </w:r>
      <w:r w:rsidRPr="002F049C">
        <w:t xml:space="preserve"> System</w:t>
      </w:r>
      <w:bookmarkEnd w:id="187"/>
    </w:p>
    <w:p w14:paraId="4EDAF92A" w14:textId="77777777" w:rsidR="00F37134" w:rsidRPr="002F049C" w:rsidRDefault="00F37134" w:rsidP="00F37134"/>
    <w:p w14:paraId="41959CA5" w14:textId="77777777" w:rsidR="00F37134" w:rsidRPr="006B533C" w:rsidRDefault="00F37134" w:rsidP="00F37134">
      <w:pPr>
        <w:pStyle w:val="mpcheading3"/>
      </w:pPr>
      <w:r>
        <w:t>Adopting</w:t>
      </w:r>
      <w:r w:rsidRPr="006B533C">
        <w:t xml:space="preserve"> a traffic light system as per the UK</w:t>
      </w:r>
    </w:p>
    <w:p w14:paraId="23A73E5C" w14:textId="77777777" w:rsidR="00F37134" w:rsidRDefault="00F37134" w:rsidP="00F37134">
      <w:pPr>
        <w:rPr>
          <w:rFonts w:cstheme="minorHAnsi"/>
          <w:sz w:val="22"/>
          <w:szCs w:val="22"/>
        </w:rPr>
      </w:pPr>
    </w:p>
    <w:p w14:paraId="62100FC9" w14:textId="77777777" w:rsidR="00F37134" w:rsidRDefault="00F37134" w:rsidP="00F37134">
      <w:pPr>
        <w:pStyle w:val="mpcNormal"/>
      </w:pPr>
      <w:r>
        <w:t xml:space="preserve">Prior to the introduction of the HSR, a range of FoPL systems were examined. After significant consultation (and review of the evidence), governments agreed the introduction of the HSR rather than a traffic light labelling system.  </w:t>
      </w:r>
    </w:p>
    <w:p w14:paraId="1D3A6CFC" w14:textId="77777777" w:rsidR="00F37134" w:rsidRDefault="00F37134" w:rsidP="00F37134">
      <w:pPr>
        <w:pStyle w:val="mpcNormal"/>
      </w:pPr>
    </w:p>
    <w:p w14:paraId="6573C6A7" w14:textId="77777777" w:rsidR="00F37134" w:rsidRDefault="00F37134" w:rsidP="00F37134">
      <w:pPr>
        <w:pStyle w:val="mpcNormal"/>
      </w:pPr>
      <w:r>
        <w:t>The Review does not propose re-visiting this decision. T</w:t>
      </w:r>
      <w:r w:rsidRPr="003E33CA">
        <w:t>he HSR System is generally performing well</w:t>
      </w:r>
      <w:r>
        <w:t xml:space="preserve"> such that </w:t>
      </w:r>
      <w:r w:rsidRPr="003E33CA">
        <w:t>large</w:t>
      </w:r>
      <w:r w:rsidRPr="003E33CA">
        <w:noBreakHyphen/>
        <w:t>scale changes that would fundamentally disrupt or replace the existing System</w:t>
      </w:r>
      <w:r>
        <w:t xml:space="preserve"> </w:t>
      </w:r>
      <w:r w:rsidRPr="003E33CA">
        <w:t xml:space="preserve">are not </w:t>
      </w:r>
      <w:r>
        <w:t>recommended.</w:t>
      </w:r>
    </w:p>
    <w:p w14:paraId="2598DCF8" w14:textId="77777777" w:rsidR="00F37134" w:rsidRDefault="00F37134" w:rsidP="00F37134">
      <w:pPr>
        <w:pStyle w:val="mpcNormal"/>
      </w:pPr>
    </w:p>
    <w:p w14:paraId="7461E9F0" w14:textId="77777777" w:rsidR="00F37134" w:rsidRDefault="00F37134" w:rsidP="00F37134">
      <w:pPr>
        <w:pStyle w:val="mpcNormal"/>
      </w:pPr>
      <w:r w:rsidRPr="00A107E7">
        <w:t>Research</w:t>
      </w:r>
      <w:r>
        <w:t xml:space="preserve"> also continues to be published indicating that:</w:t>
      </w:r>
    </w:p>
    <w:p w14:paraId="6B587FD7" w14:textId="77777777" w:rsidR="00F37134" w:rsidRDefault="00F37134" w:rsidP="00F37134">
      <w:pPr>
        <w:pStyle w:val="mpcNormal"/>
      </w:pPr>
    </w:p>
    <w:p w14:paraId="3D2D4B6C" w14:textId="77777777" w:rsidR="00F37134" w:rsidRPr="005D75D3" w:rsidRDefault="00F37134" w:rsidP="00F37134">
      <w:pPr>
        <w:numPr>
          <w:ilvl w:val="0"/>
          <w:numId w:val="39"/>
        </w:numPr>
        <w:rPr>
          <w:sz w:val="22"/>
          <w:szCs w:val="22"/>
        </w:rPr>
      </w:pPr>
      <w:r w:rsidRPr="005D75D3">
        <w:rPr>
          <w:sz w:val="22"/>
          <w:szCs w:val="22"/>
        </w:rPr>
        <w:t>consumers find the HSR System easier to understand than traffic light labelling</w:t>
      </w:r>
      <w:r w:rsidRPr="005D75D3">
        <w:rPr>
          <w:rStyle w:val="FootnoteReference"/>
          <w:sz w:val="22"/>
          <w:szCs w:val="22"/>
        </w:rPr>
        <w:footnoteReference w:id="140"/>
      </w:r>
    </w:p>
    <w:p w14:paraId="0DB352DE" w14:textId="77777777" w:rsidR="00F37134" w:rsidRPr="005D75D3" w:rsidRDefault="00F37134" w:rsidP="00F37134">
      <w:pPr>
        <w:numPr>
          <w:ilvl w:val="0"/>
          <w:numId w:val="39"/>
        </w:numPr>
        <w:rPr>
          <w:sz w:val="22"/>
          <w:szCs w:val="22"/>
        </w:rPr>
      </w:pPr>
      <w:r w:rsidRPr="005D75D3">
        <w:rPr>
          <w:sz w:val="22"/>
          <w:szCs w:val="22"/>
        </w:rPr>
        <w:t>the HSR System is preferred to traffic light labelling, better enabling consumers to determine healthier product options and resulting in healthier choices</w:t>
      </w:r>
      <w:r w:rsidRPr="005D75D3">
        <w:rPr>
          <w:rStyle w:val="FootnoteReference"/>
          <w:sz w:val="22"/>
          <w:szCs w:val="22"/>
        </w:rPr>
        <w:footnoteReference w:id="141"/>
      </w:r>
      <w:r w:rsidRPr="005D75D3">
        <w:rPr>
          <w:rStyle w:val="FootnoteReference"/>
          <w:sz w:val="22"/>
          <w:szCs w:val="22"/>
        </w:rPr>
        <w:t>,</w:t>
      </w:r>
      <w:r w:rsidRPr="005D75D3">
        <w:rPr>
          <w:rStyle w:val="FootnoteReference"/>
          <w:sz w:val="22"/>
          <w:szCs w:val="22"/>
        </w:rPr>
        <w:footnoteReference w:id="142"/>
      </w:r>
      <w:r w:rsidRPr="005D75D3">
        <w:rPr>
          <w:rStyle w:val="FootnoteReference"/>
          <w:sz w:val="22"/>
          <w:szCs w:val="22"/>
        </w:rPr>
        <w:t>,</w:t>
      </w:r>
      <w:r w:rsidRPr="005D75D3">
        <w:rPr>
          <w:rStyle w:val="FootnoteReference"/>
          <w:sz w:val="22"/>
          <w:szCs w:val="22"/>
        </w:rPr>
        <w:footnoteReference w:id="143"/>
      </w:r>
      <w:r w:rsidRPr="005D75D3">
        <w:rPr>
          <w:sz w:val="22"/>
          <w:szCs w:val="22"/>
        </w:rPr>
        <w:t>.</w:t>
      </w:r>
    </w:p>
    <w:p w14:paraId="337EBFF4" w14:textId="77777777" w:rsidR="00F37134" w:rsidRDefault="00F37134" w:rsidP="00F37134">
      <w:pPr>
        <w:rPr>
          <w:rFonts w:cstheme="minorHAnsi"/>
          <w:sz w:val="22"/>
          <w:szCs w:val="22"/>
        </w:rPr>
      </w:pPr>
    </w:p>
    <w:p w14:paraId="2096BB0D" w14:textId="77777777" w:rsidR="00F37134" w:rsidRPr="00EE0D83" w:rsidRDefault="00F37134" w:rsidP="00F37134">
      <w:pPr>
        <w:pStyle w:val="mpcheading3"/>
      </w:pPr>
      <w:r>
        <w:t>Differentiating between foods based on</w:t>
      </w:r>
      <w:r w:rsidRPr="00EE0D83">
        <w:t xml:space="preserve"> the</w:t>
      </w:r>
      <w:r>
        <w:t>ir</w:t>
      </w:r>
      <w:r w:rsidRPr="00EE0D83">
        <w:t xml:space="preserve"> level of processing</w:t>
      </w:r>
    </w:p>
    <w:p w14:paraId="5192992B" w14:textId="77777777" w:rsidR="00F37134" w:rsidRDefault="00F37134" w:rsidP="00F37134">
      <w:pPr>
        <w:rPr>
          <w:rFonts w:cstheme="minorHAnsi"/>
          <w:sz w:val="22"/>
          <w:szCs w:val="22"/>
        </w:rPr>
      </w:pPr>
    </w:p>
    <w:p w14:paraId="000AF059" w14:textId="77777777" w:rsidR="00F37134" w:rsidRPr="00E01B4B" w:rsidRDefault="00F37134" w:rsidP="00F37134">
      <w:pPr>
        <w:pStyle w:val="mpcNormal"/>
      </w:pPr>
      <w:r>
        <w:t>The Review acknowledges that increasing attention is being paid to the role of food processing in global food supplies and dietary patterns. Some stakeholders have referenced the NOVA food classification system (that c</w:t>
      </w:r>
      <w:r w:rsidRPr="00E01B4B">
        <w:t>ategorises foods according to the extent and purpose of food processing, rather than in terms of nutrients) as a preferred basis for the HS</w:t>
      </w:r>
      <w:r>
        <w:t>R.</w:t>
      </w:r>
    </w:p>
    <w:p w14:paraId="3EB3451F" w14:textId="77777777" w:rsidR="00F37134" w:rsidRDefault="00F37134" w:rsidP="00F37134">
      <w:pPr>
        <w:pStyle w:val="mpcNormal"/>
      </w:pPr>
    </w:p>
    <w:p w14:paraId="7E6F9857" w14:textId="77777777" w:rsidR="00F37134" w:rsidRDefault="00F37134" w:rsidP="00F37134">
      <w:pPr>
        <w:pStyle w:val="mpcNormal"/>
      </w:pPr>
      <w:r>
        <w:t>While NOVA has been used to assess the nutrient profile of diets and assist in the development of dietary guidelines in some countries, it has not been used as the basis for a FoPL system and would not readily enable consumers to choose between processed packaged foods (given that its focus is on limiting the consumption of processed foods and avoiding ultra-processed products).</w:t>
      </w:r>
    </w:p>
    <w:p w14:paraId="1A344688" w14:textId="77777777" w:rsidR="00F37134" w:rsidRDefault="00F37134" w:rsidP="00F37134">
      <w:pPr>
        <w:pStyle w:val="mpcNormal"/>
      </w:pPr>
    </w:p>
    <w:p w14:paraId="62828BDF" w14:textId="77777777" w:rsidR="00F37134" w:rsidRDefault="00F37134" w:rsidP="00F37134">
      <w:pPr>
        <w:pStyle w:val="mpcNormal"/>
      </w:pPr>
      <w:r>
        <w:t>Consistent with some of the underpinning tenets of NOVA, the Review recommends that Government communications about the HSR continue to be positioned in the context of broader healthy eating messages encouraging people to select FFG foods and to use the HSR when comparing like packaged foods.</w:t>
      </w:r>
    </w:p>
    <w:p w14:paraId="453CDA41" w14:textId="2F985EB5" w:rsidR="00F37134" w:rsidRDefault="00F37134" w:rsidP="00F37134">
      <w:pPr>
        <w:rPr>
          <w:rFonts w:cstheme="minorHAnsi"/>
          <w:sz w:val="22"/>
          <w:szCs w:val="22"/>
        </w:rPr>
      </w:pPr>
    </w:p>
    <w:p w14:paraId="037605AC" w14:textId="56EB39E8" w:rsidR="009C3C77" w:rsidRDefault="009C3C77" w:rsidP="00B365C9">
      <w:pPr>
        <w:pStyle w:val="mpcheading3"/>
        <w:keepNext/>
      </w:pPr>
      <w:r>
        <w:t>Creating additional HSR Categories</w:t>
      </w:r>
    </w:p>
    <w:p w14:paraId="13409243" w14:textId="77777777" w:rsidR="00365393" w:rsidRDefault="00365393" w:rsidP="00B365C9">
      <w:pPr>
        <w:pStyle w:val="mpcheading4"/>
      </w:pPr>
    </w:p>
    <w:p w14:paraId="19194C87" w14:textId="7C1380C9" w:rsidR="009C3C77" w:rsidRPr="008843CF" w:rsidRDefault="009C3C77" w:rsidP="00B365C9">
      <w:pPr>
        <w:pStyle w:val="mpcheading4"/>
      </w:pPr>
      <w:r w:rsidRPr="008843CF">
        <w:t>Issue</w:t>
      </w:r>
    </w:p>
    <w:p w14:paraId="1D1F9C04" w14:textId="60B1145A" w:rsidR="009C3C77" w:rsidRPr="009C3C77" w:rsidRDefault="009C3C77" w:rsidP="00B365C9">
      <w:pPr>
        <w:keepNext/>
        <w:rPr>
          <w:rFonts w:cstheme="minorHAnsi"/>
          <w:sz w:val="22"/>
          <w:szCs w:val="22"/>
          <w:highlight w:val="yellow"/>
        </w:rPr>
      </w:pPr>
    </w:p>
    <w:p w14:paraId="46901687" w14:textId="5F7217E8" w:rsidR="007F1B7D" w:rsidRPr="00CC1ADD" w:rsidRDefault="007F1B7D" w:rsidP="00B365C9">
      <w:pPr>
        <w:pStyle w:val="mpcNormal"/>
      </w:pPr>
      <w:r w:rsidRPr="00CC1ADD">
        <w:t xml:space="preserve">The HSR Calculator is adjusted for </w:t>
      </w:r>
      <w:r>
        <w:t xml:space="preserve">six </w:t>
      </w:r>
      <w:r w:rsidRPr="00CC1ADD">
        <w:t xml:space="preserve">different HSR </w:t>
      </w:r>
      <w:r>
        <w:t>c</w:t>
      </w:r>
      <w:r w:rsidRPr="00CC1ADD">
        <w:t xml:space="preserve">ategories to account for the differing nutrient compositions of different types of foods. </w:t>
      </w:r>
    </w:p>
    <w:p w14:paraId="20BD0818" w14:textId="5AE33B08" w:rsidR="007F1B7D" w:rsidRDefault="007F1B7D" w:rsidP="007F1B7D">
      <w:pPr>
        <w:pStyle w:val="mpcNormal"/>
        <w:keepNext w:val="0"/>
      </w:pPr>
    </w:p>
    <w:p w14:paraId="4AB63717" w14:textId="77777777" w:rsidR="00FC405C" w:rsidRPr="00FC4168" w:rsidRDefault="00FC405C" w:rsidP="00FC405C">
      <w:pPr>
        <w:pStyle w:val="mpcheading4"/>
      </w:pPr>
      <w:r w:rsidRPr="00FC4168">
        <w:t>Options explored</w:t>
      </w:r>
    </w:p>
    <w:p w14:paraId="7E0DC336" w14:textId="77777777" w:rsidR="00FC405C" w:rsidRPr="00CC1ADD" w:rsidRDefault="00FC405C" w:rsidP="007F1B7D">
      <w:pPr>
        <w:pStyle w:val="mpcNormal"/>
        <w:keepNext w:val="0"/>
      </w:pPr>
    </w:p>
    <w:p w14:paraId="0F8EA9EC" w14:textId="77777777" w:rsidR="004702C5" w:rsidRDefault="007F1B7D" w:rsidP="007F1B7D">
      <w:pPr>
        <w:pStyle w:val="mpcNormal"/>
        <w:keepNext w:val="0"/>
      </w:pPr>
      <w:r>
        <w:t xml:space="preserve">Some stakeholders </w:t>
      </w:r>
      <w:r w:rsidRPr="00CC1ADD">
        <w:t>have suggested that Category 2 is too large</w:t>
      </w:r>
      <w:r>
        <w:t xml:space="preserve"> and</w:t>
      </w:r>
      <w:r w:rsidRPr="00CC1ADD">
        <w:t xml:space="preserve"> cover</w:t>
      </w:r>
      <w:r>
        <w:t>s</w:t>
      </w:r>
      <w:r w:rsidRPr="00CC1ADD">
        <w:t xml:space="preserve"> a diverse range of foods</w:t>
      </w:r>
      <w:r>
        <w:t>,</w:t>
      </w:r>
      <w:r w:rsidRPr="00CC1ADD">
        <w:t xml:space="preserve"> which makes it difficult for the Calculator to accurately score all foods in this </w:t>
      </w:r>
      <w:r>
        <w:t>c</w:t>
      </w:r>
      <w:r w:rsidRPr="00CC1ADD">
        <w:t xml:space="preserve">ategory. </w:t>
      </w:r>
    </w:p>
    <w:p w14:paraId="3EF585FF" w14:textId="77777777" w:rsidR="004702C5" w:rsidRDefault="004702C5" w:rsidP="007F1B7D">
      <w:pPr>
        <w:pStyle w:val="mpcNormal"/>
        <w:keepNext w:val="0"/>
      </w:pPr>
    </w:p>
    <w:p w14:paraId="007EA503" w14:textId="5AC4A8F5" w:rsidR="008F3D40" w:rsidRPr="008F3D40" w:rsidRDefault="008843CF" w:rsidP="005008DE">
      <w:pPr>
        <w:pStyle w:val="mpcNormal"/>
        <w:keepNext w:val="0"/>
      </w:pPr>
      <w:r w:rsidRPr="00CC1ADD">
        <w:t>To address this, the Review explored the creation of additional categories or sub-categories</w:t>
      </w:r>
      <w:r w:rsidR="005008DE">
        <w:t>,</w:t>
      </w:r>
      <w:r w:rsidR="008F3D40">
        <w:t xml:space="preserve"> </w:t>
      </w:r>
      <w:r w:rsidR="005008DE">
        <w:t>such that eligible fruits and vegetables</w:t>
      </w:r>
      <w:r w:rsidR="008F3D40">
        <w:t xml:space="preserve"> </w:t>
      </w:r>
      <w:r w:rsidR="005008DE">
        <w:t xml:space="preserve">would score an HSR of 5. </w:t>
      </w:r>
      <w:r w:rsidR="008F3D40" w:rsidRPr="008F3D40">
        <w:t>However, this had the unintended consequence of driving up the HSR</w:t>
      </w:r>
      <w:r w:rsidR="005008DE">
        <w:t>s</w:t>
      </w:r>
      <w:r w:rsidR="008F3D40" w:rsidRPr="008F3D40">
        <w:t xml:space="preserve"> of some </w:t>
      </w:r>
      <w:r w:rsidR="004A019F">
        <w:t xml:space="preserve">ineligible </w:t>
      </w:r>
      <w:r w:rsidR="008F3D40" w:rsidRPr="008F3D40">
        <w:t xml:space="preserve">foods </w:t>
      </w:r>
      <w:r w:rsidR="005008DE">
        <w:t>(</w:t>
      </w:r>
      <w:r w:rsidR="008F3D40" w:rsidRPr="008F3D40">
        <w:t>such as dried fruits and beer battered wedges</w:t>
      </w:r>
      <w:r w:rsidR="005008DE">
        <w:t>)</w:t>
      </w:r>
      <w:r w:rsidR="008F3D40" w:rsidRPr="008F3D40">
        <w:t>.</w:t>
      </w:r>
      <w:r w:rsidR="005008DE">
        <w:t xml:space="preserve"> </w:t>
      </w:r>
      <w:r w:rsidR="008F3D40" w:rsidRPr="008F3D40">
        <w:t xml:space="preserve">While </w:t>
      </w:r>
      <w:r w:rsidR="005008DE">
        <w:t xml:space="preserve">the </w:t>
      </w:r>
      <w:r w:rsidR="008F3D40" w:rsidRPr="008F3D40">
        <w:t xml:space="preserve">creation of </w:t>
      </w:r>
      <w:r w:rsidR="005008DE">
        <w:t>additional</w:t>
      </w:r>
      <w:r w:rsidR="008F3D40" w:rsidRPr="008F3D40">
        <w:t xml:space="preserve"> sub</w:t>
      </w:r>
      <w:r w:rsidR="005008DE">
        <w:noBreakHyphen/>
      </w:r>
      <w:r w:rsidR="008F3D40" w:rsidRPr="008F3D40">
        <w:t xml:space="preserve">categories would not necessarily impact a large number of products, it </w:t>
      </w:r>
      <w:r w:rsidR="005008DE">
        <w:t>creates</w:t>
      </w:r>
      <w:r w:rsidR="008F3D40" w:rsidRPr="008F3D40">
        <w:t xml:space="preserve"> complexity for stakeholders</w:t>
      </w:r>
      <w:r w:rsidR="005008DE">
        <w:t xml:space="preserve"> (particularly for manufacturers seeking to determine </w:t>
      </w:r>
      <w:r w:rsidR="004702C5">
        <w:t xml:space="preserve">the </w:t>
      </w:r>
      <w:r w:rsidR="005008DE">
        <w:t xml:space="preserve">category </w:t>
      </w:r>
      <w:r w:rsidR="004702C5">
        <w:t xml:space="preserve">of </w:t>
      </w:r>
      <w:r w:rsidR="005008DE">
        <w:t>a product)</w:t>
      </w:r>
      <w:r w:rsidR="008F3D40" w:rsidRPr="008F3D40">
        <w:t>. By contrast, using policy to address a discrete issue (to increase the HSRs of some fruits and vegetables) is a more targeted approach and impacts on a narrow range of manufacturers and products. </w:t>
      </w:r>
    </w:p>
    <w:p w14:paraId="30750BC7" w14:textId="77777777" w:rsidR="008F3D40" w:rsidRDefault="008F3D40" w:rsidP="007F1B7D">
      <w:pPr>
        <w:pStyle w:val="mpcNormal"/>
        <w:keepNext w:val="0"/>
      </w:pPr>
    </w:p>
    <w:p w14:paraId="7D35058A" w14:textId="607998CC" w:rsidR="008843CF" w:rsidRDefault="005008DE" w:rsidP="007F1B7D">
      <w:pPr>
        <w:pStyle w:val="mpcNormal"/>
        <w:keepNext w:val="0"/>
      </w:pPr>
      <w:r>
        <w:t>In addition, t</w:t>
      </w:r>
      <w:r w:rsidR="008843CF">
        <w:t>he Review found:</w:t>
      </w:r>
    </w:p>
    <w:p w14:paraId="4E8557F8" w14:textId="6C8CB243" w:rsidR="008843CF" w:rsidRDefault="008843CF" w:rsidP="007F1B7D">
      <w:pPr>
        <w:pStyle w:val="mpcNormal"/>
        <w:keepNext w:val="0"/>
      </w:pPr>
    </w:p>
    <w:p w14:paraId="381424D0" w14:textId="5A5AD71F" w:rsidR="008843CF" w:rsidRDefault="008843CF" w:rsidP="008843CF">
      <w:pPr>
        <w:pStyle w:val="mpcNormal"/>
        <w:keepNext w:val="0"/>
        <w:numPr>
          <w:ilvl w:val="0"/>
          <w:numId w:val="53"/>
        </w:numPr>
      </w:pPr>
      <w:r>
        <w:t xml:space="preserve">The creation of additional categories would require </w:t>
      </w:r>
      <w:r w:rsidR="007F1B7D" w:rsidRPr="00CC1ADD">
        <w:t xml:space="preserve">further </w:t>
      </w:r>
      <w:r w:rsidR="007F1B7D">
        <w:t>definition of</w:t>
      </w:r>
      <w:r w:rsidR="007F1B7D" w:rsidRPr="00CC1ADD">
        <w:t xml:space="preserve"> what is included/excluded in each </w:t>
      </w:r>
      <w:r w:rsidR="007F1B7D">
        <w:t>c</w:t>
      </w:r>
      <w:r w:rsidR="007F1B7D" w:rsidRPr="00CC1ADD">
        <w:t>ategory</w:t>
      </w:r>
      <w:r>
        <w:t xml:space="preserve">. </w:t>
      </w:r>
      <w:r w:rsidRPr="008843CF">
        <w:t xml:space="preserve">Food categories are very difficult to define </w:t>
      </w:r>
      <w:r w:rsidR="00B365C9" w:rsidRPr="008843CF">
        <w:t>accurately,</w:t>
      </w:r>
      <w:r>
        <w:t xml:space="preserve"> and the creation of additional categories is likely to </w:t>
      </w:r>
      <w:r w:rsidR="007F1B7D" w:rsidRPr="00CC1ADD">
        <w:t xml:space="preserve">exacerbate existing challenges </w:t>
      </w:r>
      <w:r w:rsidR="007F1B7D">
        <w:t>experienced in determining</w:t>
      </w:r>
      <w:r w:rsidR="007F1B7D" w:rsidRPr="00CC1ADD">
        <w:t xml:space="preserve"> which </w:t>
      </w:r>
      <w:r w:rsidR="007F1B7D">
        <w:t>c</w:t>
      </w:r>
      <w:r w:rsidR="007F1B7D" w:rsidRPr="00CC1ADD">
        <w:t xml:space="preserve">ategory certain foods belong to and the intersection between </w:t>
      </w:r>
      <w:r w:rsidR="007F1B7D">
        <w:t>c</w:t>
      </w:r>
      <w:r w:rsidR="007F1B7D" w:rsidRPr="00CC1ADD">
        <w:t xml:space="preserve">ategories. </w:t>
      </w:r>
    </w:p>
    <w:p w14:paraId="57514478" w14:textId="63BC9EC9" w:rsidR="008843CF" w:rsidRPr="008843CF" w:rsidRDefault="007F1B7D" w:rsidP="008843CF">
      <w:pPr>
        <w:pStyle w:val="mpcNormal"/>
        <w:keepNext w:val="0"/>
        <w:numPr>
          <w:ilvl w:val="0"/>
          <w:numId w:val="53"/>
        </w:numPr>
      </w:pPr>
      <w:r w:rsidRPr="008843CF">
        <w:rPr>
          <w:shd w:val="clear" w:color="auto" w:fill="FFFFFF"/>
        </w:rPr>
        <w:t>Regulatory bodies designing nutrient profile models for use in food legislation generally favour models with as few categories as possible to simplify enforcement. </w:t>
      </w:r>
    </w:p>
    <w:p w14:paraId="56247423" w14:textId="4D294ED3" w:rsidR="008843CF" w:rsidRDefault="00B365C9" w:rsidP="008843CF">
      <w:pPr>
        <w:pStyle w:val="mpcNormal"/>
        <w:keepNext w:val="0"/>
        <w:numPr>
          <w:ilvl w:val="0"/>
          <w:numId w:val="53"/>
        </w:numPr>
      </w:pPr>
      <w:r>
        <w:rPr>
          <w:shd w:val="clear" w:color="auto" w:fill="FFFFFF"/>
        </w:rPr>
        <w:t>Similar</w:t>
      </w:r>
      <w:r w:rsidR="008843CF">
        <w:rPr>
          <w:shd w:val="clear" w:color="auto" w:fill="FFFFFF"/>
        </w:rPr>
        <w:t xml:space="preserve"> nutrient profiling models such as the NPSC, the UK NPM and the French Nutri-Score </w:t>
      </w:r>
      <w:r>
        <w:rPr>
          <w:shd w:val="clear" w:color="auto" w:fill="FFFFFF"/>
        </w:rPr>
        <w:t xml:space="preserve">system </w:t>
      </w:r>
      <w:r w:rsidR="008843CF">
        <w:rPr>
          <w:shd w:val="clear" w:color="auto" w:fill="FFFFFF"/>
        </w:rPr>
        <w:t xml:space="preserve">have fewer categories than the HSR System – </w:t>
      </w:r>
      <w:r w:rsidR="00A91CAF">
        <w:rPr>
          <w:shd w:val="clear" w:color="auto" w:fill="FFFFFF"/>
        </w:rPr>
        <w:t xml:space="preserve">each </w:t>
      </w:r>
      <w:r w:rsidR="008843CF">
        <w:rPr>
          <w:shd w:val="clear" w:color="auto" w:fill="FFFFFF"/>
        </w:rPr>
        <w:t xml:space="preserve">comprising </w:t>
      </w:r>
      <w:r w:rsidR="00A91CAF">
        <w:rPr>
          <w:shd w:val="clear" w:color="auto" w:fill="FFFFFF"/>
        </w:rPr>
        <w:t xml:space="preserve">only </w:t>
      </w:r>
      <w:r w:rsidR="008843CF">
        <w:rPr>
          <w:shd w:val="clear" w:color="auto" w:fill="FFFFFF"/>
        </w:rPr>
        <w:t>three</w:t>
      </w:r>
      <w:r w:rsidR="00A91CAF">
        <w:rPr>
          <w:shd w:val="clear" w:color="auto" w:fill="FFFFFF"/>
        </w:rPr>
        <w:t xml:space="preserve"> categories.</w:t>
      </w:r>
    </w:p>
    <w:p w14:paraId="3ABB9CE9" w14:textId="5829D15A" w:rsidR="007F1B7D" w:rsidRPr="00CC1ADD" w:rsidRDefault="007F1B7D" w:rsidP="008843CF">
      <w:pPr>
        <w:pStyle w:val="mpcNormal"/>
        <w:keepNext w:val="0"/>
        <w:numPr>
          <w:ilvl w:val="0"/>
          <w:numId w:val="53"/>
        </w:numPr>
      </w:pPr>
      <w:r w:rsidRPr="00CC1ADD">
        <w:t>A UK study published in 2010</w:t>
      </w:r>
      <w:r w:rsidRPr="00CC1ADD">
        <w:rPr>
          <w:rFonts w:cs="Times New Roman (Body CS)"/>
          <w:vertAlign w:val="superscript"/>
        </w:rPr>
        <w:footnoteReference w:id="144"/>
      </w:r>
      <w:r w:rsidRPr="00CC1ADD">
        <w:t xml:space="preserve"> found that nutrient profile models should be category specific but with a limited number of categories; models using a large number of categories are unhelpful for promoting a healthy diet.</w:t>
      </w:r>
    </w:p>
    <w:p w14:paraId="0760B277" w14:textId="23AB3435" w:rsidR="009C3C77" w:rsidRPr="009C3C77" w:rsidRDefault="009C3C77" w:rsidP="00F37134">
      <w:pPr>
        <w:rPr>
          <w:rFonts w:cstheme="minorHAnsi"/>
          <w:sz w:val="22"/>
          <w:szCs w:val="22"/>
          <w:highlight w:val="yellow"/>
        </w:rPr>
      </w:pPr>
    </w:p>
    <w:p w14:paraId="79FE98D6" w14:textId="3B78BC46" w:rsidR="009C3C77" w:rsidRDefault="009C3C77" w:rsidP="008843CF">
      <w:pPr>
        <w:pStyle w:val="mpcheading4"/>
      </w:pPr>
      <w:r w:rsidRPr="008843CF">
        <w:t>Conclusion</w:t>
      </w:r>
    </w:p>
    <w:p w14:paraId="21DB8DB1" w14:textId="77777777" w:rsidR="008843CF" w:rsidRDefault="008843CF" w:rsidP="008843CF">
      <w:pPr>
        <w:pStyle w:val="mpcNormal"/>
      </w:pPr>
    </w:p>
    <w:p w14:paraId="74014CD5" w14:textId="562E457B" w:rsidR="009C3C77" w:rsidRDefault="004A019F" w:rsidP="008843CF">
      <w:pPr>
        <w:pStyle w:val="mpcNormal"/>
      </w:pPr>
      <w:r>
        <w:t xml:space="preserve">The Review found that the creation of additional categories creates further complexity within the System and does not achieve the policy outcomes sought. </w:t>
      </w:r>
      <w:r w:rsidR="008843CF" w:rsidRPr="00CC1ADD">
        <w:t>The Review conclude</w:t>
      </w:r>
      <w:r w:rsidR="008843CF">
        <w:t>d</w:t>
      </w:r>
      <w:r w:rsidR="008843CF" w:rsidRPr="00CC1ADD">
        <w:t xml:space="preserve"> that the HSR </w:t>
      </w:r>
      <w:r w:rsidR="008843CF">
        <w:t>c</w:t>
      </w:r>
      <w:r w:rsidR="008843CF" w:rsidRPr="00CC1ADD">
        <w:t xml:space="preserve">ategories should remain as they are, </w:t>
      </w:r>
      <w:r w:rsidR="008843CF">
        <w:t>with</w:t>
      </w:r>
      <w:r w:rsidR="008843CF" w:rsidRPr="00CC1ADD">
        <w:t xml:space="preserve"> adjustments made to address specific issues in Categor</w:t>
      </w:r>
      <w:r w:rsidR="008843CF">
        <w:t>ies</w:t>
      </w:r>
      <w:r w:rsidR="008843CF" w:rsidRPr="00CC1ADD">
        <w:t xml:space="preserve"> 2D and 3D.</w:t>
      </w:r>
    </w:p>
    <w:p w14:paraId="7158E45C" w14:textId="77777777" w:rsidR="009C3C77" w:rsidRDefault="009C3C77" w:rsidP="00F37134">
      <w:pPr>
        <w:rPr>
          <w:rFonts w:cstheme="minorHAnsi"/>
          <w:sz w:val="22"/>
          <w:szCs w:val="22"/>
        </w:rPr>
      </w:pPr>
    </w:p>
    <w:p w14:paraId="4A8DCD33" w14:textId="77777777" w:rsidR="00F37134" w:rsidRPr="002F049C" w:rsidRDefault="00F37134" w:rsidP="005008DE">
      <w:pPr>
        <w:pStyle w:val="mpcheading2"/>
        <w:keepNext/>
        <w:spacing w:after="0"/>
      </w:pPr>
      <w:bookmarkStart w:id="188" w:name="Positive"/>
      <w:bookmarkStart w:id="189" w:name="_Toc9955087"/>
      <w:bookmarkEnd w:id="188"/>
      <w:r w:rsidRPr="002F049C">
        <w:t>Positive components</w:t>
      </w:r>
      <w:bookmarkEnd w:id="189"/>
    </w:p>
    <w:p w14:paraId="3D05F259" w14:textId="77777777" w:rsidR="00F37134" w:rsidRPr="006B533C" w:rsidRDefault="00F37134" w:rsidP="005008DE">
      <w:pPr>
        <w:keepNext/>
        <w:rPr>
          <w:rFonts w:cstheme="minorHAnsi"/>
          <w:sz w:val="22"/>
          <w:szCs w:val="22"/>
        </w:rPr>
      </w:pPr>
    </w:p>
    <w:p w14:paraId="282F0B7D" w14:textId="77777777" w:rsidR="00F37134" w:rsidRPr="007B1D76" w:rsidRDefault="00F37134" w:rsidP="005008DE">
      <w:pPr>
        <w:pStyle w:val="mpcheading3"/>
        <w:keepNext/>
      </w:pPr>
      <w:r w:rsidRPr="007B1D76">
        <w:t>Assigning all FFG foods an automatic HSR of 5</w:t>
      </w:r>
    </w:p>
    <w:p w14:paraId="2FD87501" w14:textId="77777777" w:rsidR="00F37134" w:rsidRDefault="00F37134" w:rsidP="005008DE">
      <w:pPr>
        <w:keepNext/>
        <w:rPr>
          <w:rFonts w:cstheme="minorHAnsi"/>
          <w:sz w:val="22"/>
          <w:szCs w:val="22"/>
        </w:rPr>
      </w:pPr>
    </w:p>
    <w:p w14:paraId="1E0D82DA" w14:textId="77777777" w:rsidR="00F37134" w:rsidRPr="007B1D76" w:rsidRDefault="00F37134" w:rsidP="005008DE">
      <w:pPr>
        <w:keepNext/>
        <w:rPr>
          <w:rFonts w:cstheme="minorHAnsi"/>
          <w:b/>
          <w:sz w:val="22"/>
          <w:szCs w:val="22"/>
        </w:rPr>
      </w:pPr>
      <w:r w:rsidRPr="007B1D76">
        <w:rPr>
          <w:rFonts w:cstheme="minorHAnsi"/>
          <w:b/>
          <w:sz w:val="22"/>
          <w:szCs w:val="22"/>
        </w:rPr>
        <w:t>Issue</w:t>
      </w:r>
    </w:p>
    <w:p w14:paraId="0761B6B9" w14:textId="77777777" w:rsidR="00F37134" w:rsidRDefault="00F37134" w:rsidP="005008DE">
      <w:pPr>
        <w:keepNext/>
        <w:rPr>
          <w:rFonts w:cstheme="minorHAnsi"/>
          <w:sz w:val="22"/>
          <w:szCs w:val="22"/>
        </w:rPr>
      </w:pPr>
    </w:p>
    <w:p w14:paraId="4AAB7C4C" w14:textId="77777777" w:rsidR="00F37134" w:rsidRDefault="00F37134" w:rsidP="005008DE">
      <w:pPr>
        <w:keepNext/>
        <w:rPr>
          <w:rFonts w:cstheme="minorHAnsi"/>
          <w:sz w:val="22"/>
          <w:szCs w:val="22"/>
        </w:rPr>
      </w:pPr>
      <w:r w:rsidRPr="002F049C">
        <w:rPr>
          <w:rFonts w:cstheme="minorHAnsi"/>
          <w:sz w:val="22"/>
          <w:szCs w:val="22"/>
        </w:rPr>
        <w:t>Some stakeholders have proposed that if an HSR of 5 is automatically a</w:t>
      </w:r>
      <w:r>
        <w:rPr>
          <w:rFonts w:cstheme="minorHAnsi"/>
          <w:sz w:val="22"/>
          <w:szCs w:val="22"/>
        </w:rPr>
        <w:t>pplied</w:t>
      </w:r>
      <w:r w:rsidRPr="002F049C">
        <w:rPr>
          <w:rFonts w:cstheme="minorHAnsi"/>
          <w:sz w:val="22"/>
          <w:szCs w:val="22"/>
        </w:rPr>
        <w:t xml:space="preserve"> to </w:t>
      </w:r>
      <w:r>
        <w:rPr>
          <w:rFonts w:cstheme="minorHAnsi"/>
          <w:sz w:val="22"/>
          <w:szCs w:val="22"/>
        </w:rPr>
        <w:t>eligible</w:t>
      </w:r>
      <w:r w:rsidRPr="002F049C">
        <w:rPr>
          <w:rFonts w:cstheme="minorHAnsi"/>
          <w:sz w:val="22"/>
          <w:szCs w:val="22"/>
        </w:rPr>
        <w:t xml:space="preserve"> fruits and vegetables, all FFG foods should similarly receive an automatic HSR of 5. </w:t>
      </w:r>
    </w:p>
    <w:p w14:paraId="2FCC4614" w14:textId="77777777" w:rsidR="00F37134" w:rsidRDefault="00F37134" w:rsidP="00F37134">
      <w:pPr>
        <w:rPr>
          <w:rFonts w:cstheme="minorHAnsi"/>
          <w:sz w:val="22"/>
          <w:szCs w:val="22"/>
        </w:rPr>
      </w:pPr>
    </w:p>
    <w:p w14:paraId="4AA93845" w14:textId="77777777" w:rsidR="00F37134" w:rsidRPr="007B1D76" w:rsidRDefault="00F37134" w:rsidP="00F37134">
      <w:pPr>
        <w:rPr>
          <w:rFonts w:cstheme="minorHAnsi"/>
          <w:b/>
          <w:sz w:val="22"/>
          <w:szCs w:val="22"/>
        </w:rPr>
      </w:pPr>
      <w:r w:rsidRPr="007B1D76">
        <w:rPr>
          <w:rFonts w:cstheme="minorHAnsi"/>
          <w:b/>
          <w:sz w:val="22"/>
          <w:szCs w:val="22"/>
        </w:rPr>
        <w:t xml:space="preserve">Conclusion </w:t>
      </w:r>
    </w:p>
    <w:p w14:paraId="58E08216" w14:textId="77777777" w:rsidR="00F37134" w:rsidRDefault="00F37134" w:rsidP="00F37134">
      <w:pPr>
        <w:rPr>
          <w:rFonts w:cstheme="minorHAnsi"/>
          <w:sz w:val="22"/>
          <w:szCs w:val="22"/>
        </w:rPr>
      </w:pPr>
    </w:p>
    <w:p w14:paraId="37EB69B9" w14:textId="77777777" w:rsidR="00F37134" w:rsidRDefault="00F37134" w:rsidP="00F37134">
      <w:pPr>
        <w:rPr>
          <w:rFonts w:cstheme="minorHAnsi"/>
          <w:sz w:val="22"/>
          <w:szCs w:val="22"/>
        </w:rPr>
      </w:pPr>
      <w:r>
        <w:rPr>
          <w:rFonts w:cstheme="minorHAnsi"/>
          <w:sz w:val="22"/>
          <w:szCs w:val="22"/>
        </w:rPr>
        <w:t>The key reasons the Review has not recommended this include:</w:t>
      </w:r>
    </w:p>
    <w:p w14:paraId="5D43AEFA" w14:textId="77777777" w:rsidR="00F37134" w:rsidRPr="004560A4" w:rsidRDefault="00F37134" w:rsidP="00F37134">
      <w:pPr>
        <w:rPr>
          <w:rFonts w:cstheme="minorHAnsi"/>
          <w:sz w:val="22"/>
          <w:szCs w:val="22"/>
        </w:rPr>
      </w:pPr>
    </w:p>
    <w:p w14:paraId="089CA5AF" w14:textId="77777777" w:rsidR="00F37134" w:rsidRPr="005D75D3" w:rsidRDefault="00F37134" w:rsidP="00F37134">
      <w:pPr>
        <w:pStyle w:val="ListParagraph"/>
        <w:numPr>
          <w:ilvl w:val="0"/>
          <w:numId w:val="37"/>
        </w:numPr>
        <w:rPr>
          <w:rFonts w:cstheme="minorHAnsi"/>
          <w:sz w:val="22"/>
          <w:szCs w:val="22"/>
        </w:rPr>
      </w:pPr>
      <w:r w:rsidRPr="005D75D3">
        <w:rPr>
          <w:rFonts w:cstheme="minorHAnsi"/>
          <w:sz w:val="22"/>
          <w:szCs w:val="22"/>
        </w:rPr>
        <w:t xml:space="preserve">Dietary Guidelines do not distinguish between different fruits and vegetables and instead encourage consumption of a variety of fruits and vegetables. This is in contrast to </w:t>
      </w:r>
      <w:r>
        <w:rPr>
          <w:rFonts w:cstheme="minorHAnsi"/>
          <w:sz w:val="22"/>
          <w:szCs w:val="22"/>
        </w:rPr>
        <w:t xml:space="preserve">most </w:t>
      </w:r>
      <w:r w:rsidRPr="005D75D3">
        <w:rPr>
          <w:rFonts w:cstheme="minorHAnsi"/>
          <w:sz w:val="22"/>
          <w:szCs w:val="22"/>
        </w:rPr>
        <w:t xml:space="preserve">other FFG foods, where Dietary Guidelines recommend consumption of </w:t>
      </w:r>
      <w:r w:rsidRPr="005D75D3">
        <w:rPr>
          <w:rFonts w:cstheme="minorHAnsi"/>
          <w:i/>
          <w:sz w:val="22"/>
          <w:szCs w:val="22"/>
        </w:rPr>
        <w:t>lean</w:t>
      </w:r>
      <w:r w:rsidRPr="005D75D3">
        <w:rPr>
          <w:rFonts w:cstheme="minorHAnsi"/>
          <w:sz w:val="22"/>
          <w:szCs w:val="22"/>
        </w:rPr>
        <w:t xml:space="preserve"> meats, </w:t>
      </w:r>
      <w:r w:rsidRPr="005D75D3">
        <w:rPr>
          <w:rFonts w:cstheme="minorHAnsi"/>
          <w:i/>
          <w:sz w:val="22"/>
          <w:szCs w:val="22"/>
        </w:rPr>
        <w:t>mostly reduced fat</w:t>
      </w:r>
      <w:r w:rsidRPr="005D75D3">
        <w:rPr>
          <w:rFonts w:cstheme="minorHAnsi"/>
          <w:sz w:val="22"/>
          <w:szCs w:val="22"/>
        </w:rPr>
        <w:t xml:space="preserve"> dairy and </w:t>
      </w:r>
      <w:r w:rsidRPr="005D75D3">
        <w:rPr>
          <w:rFonts w:cstheme="minorHAnsi"/>
          <w:i/>
          <w:sz w:val="22"/>
          <w:szCs w:val="22"/>
        </w:rPr>
        <w:t>mostly wholegrain or high fibre</w:t>
      </w:r>
      <w:r w:rsidRPr="005D75D3">
        <w:rPr>
          <w:rFonts w:cstheme="minorHAnsi"/>
          <w:sz w:val="22"/>
          <w:szCs w:val="22"/>
        </w:rPr>
        <w:t xml:space="preserve"> cereals.</w:t>
      </w:r>
    </w:p>
    <w:p w14:paraId="7C8CDD86" w14:textId="77777777" w:rsidR="00F37134" w:rsidRPr="005D75D3" w:rsidRDefault="00F37134" w:rsidP="00F37134">
      <w:pPr>
        <w:pStyle w:val="ListParagraph"/>
        <w:numPr>
          <w:ilvl w:val="0"/>
          <w:numId w:val="37"/>
        </w:numPr>
        <w:rPr>
          <w:rFonts w:cstheme="minorHAnsi"/>
          <w:sz w:val="22"/>
          <w:szCs w:val="22"/>
        </w:rPr>
      </w:pPr>
      <w:r w:rsidRPr="005D75D3">
        <w:rPr>
          <w:rFonts w:cstheme="minorHAnsi"/>
          <w:sz w:val="22"/>
          <w:szCs w:val="22"/>
        </w:rPr>
        <w:t>for some other FFG foods, the range of HSRs is wider than the range of HSRs for fruits and vegetables. For example, the range of HSRs for fruits and vegetables is 4 – 5 (with most scoring 4.5 or 5) whereas cheeses score a wide range of HSRs (with higher HSRs generally associated with lower sodium and saturated fat cheeses).</w:t>
      </w:r>
    </w:p>
    <w:p w14:paraId="431B4B4D" w14:textId="77777777" w:rsidR="00F37134" w:rsidRPr="004560A4" w:rsidRDefault="00F37134" w:rsidP="00F37134">
      <w:pPr>
        <w:rPr>
          <w:rFonts w:cstheme="minorHAnsi"/>
          <w:b/>
          <w:sz w:val="22"/>
          <w:szCs w:val="22"/>
        </w:rPr>
      </w:pPr>
    </w:p>
    <w:p w14:paraId="092498ED" w14:textId="77777777" w:rsidR="00F37134" w:rsidRDefault="00F37134" w:rsidP="00F37134">
      <w:pPr>
        <w:pStyle w:val="mpcheading3"/>
        <w:keepNext/>
      </w:pPr>
      <w:r>
        <w:t>Including wholegrain in the HSR Calculator</w:t>
      </w:r>
    </w:p>
    <w:p w14:paraId="5C0B684E" w14:textId="77777777" w:rsidR="00F37134" w:rsidRDefault="00F37134" w:rsidP="00F37134">
      <w:pPr>
        <w:pStyle w:val="mpcNormal"/>
      </w:pPr>
    </w:p>
    <w:p w14:paraId="3CAD589F" w14:textId="77777777" w:rsidR="00F37134" w:rsidRPr="00FC4168" w:rsidRDefault="00F37134" w:rsidP="00F37134">
      <w:pPr>
        <w:pStyle w:val="mpcheading4"/>
      </w:pPr>
      <w:r w:rsidRPr="00FC4168">
        <w:t>Issue</w:t>
      </w:r>
    </w:p>
    <w:p w14:paraId="612D8EE5" w14:textId="77777777" w:rsidR="00F37134" w:rsidRDefault="00F37134" w:rsidP="00F37134">
      <w:pPr>
        <w:keepNext/>
        <w:rPr>
          <w:rFonts w:cstheme="minorHAnsi"/>
          <w:sz w:val="22"/>
          <w:szCs w:val="22"/>
        </w:rPr>
      </w:pPr>
    </w:p>
    <w:p w14:paraId="2BCFDDCE" w14:textId="77777777" w:rsidR="00F37134" w:rsidRDefault="00F37134" w:rsidP="00F37134">
      <w:pPr>
        <w:keepNext/>
        <w:rPr>
          <w:rFonts w:cstheme="minorHAnsi"/>
          <w:sz w:val="22"/>
          <w:szCs w:val="22"/>
        </w:rPr>
      </w:pPr>
      <w:r w:rsidRPr="00022A5D">
        <w:rPr>
          <w:rFonts w:cstheme="minorHAnsi"/>
          <w:sz w:val="22"/>
          <w:szCs w:val="22"/>
        </w:rPr>
        <w:t>Dietary Guidelines</w:t>
      </w:r>
      <w:r>
        <w:rPr>
          <w:rFonts w:cstheme="minorHAnsi"/>
          <w:sz w:val="22"/>
          <w:szCs w:val="22"/>
        </w:rPr>
        <w:t xml:space="preserve"> </w:t>
      </w:r>
      <w:r w:rsidRPr="00022A5D">
        <w:rPr>
          <w:rFonts w:cstheme="minorHAnsi"/>
          <w:sz w:val="22"/>
          <w:szCs w:val="22"/>
        </w:rPr>
        <w:t xml:space="preserve">promote the consumption of </w:t>
      </w:r>
      <w:r>
        <w:rPr>
          <w:rFonts w:cstheme="minorHAnsi"/>
          <w:sz w:val="22"/>
          <w:szCs w:val="22"/>
        </w:rPr>
        <w:t xml:space="preserve">grain foods, mostly wholegrain and/or high cereal fibre varieties. </w:t>
      </w:r>
      <w:r w:rsidRPr="00D23662">
        <w:rPr>
          <w:rFonts w:cstheme="minorHAnsi"/>
          <w:sz w:val="22"/>
          <w:szCs w:val="22"/>
        </w:rPr>
        <w:t xml:space="preserve">While the HSR Calculator does account for fibre content, it does not directly consider wholegrain. This means that </w:t>
      </w:r>
      <w:r>
        <w:rPr>
          <w:rFonts w:cstheme="minorHAnsi"/>
          <w:sz w:val="22"/>
          <w:szCs w:val="22"/>
        </w:rPr>
        <w:t>the HSR System does not always support consumers to choose wholegrain varieties over similar p</w:t>
      </w:r>
      <w:r w:rsidRPr="00D23662">
        <w:rPr>
          <w:rFonts w:cstheme="minorHAnsi"/>
          <w:sz w:val="22"/>
          <w:szCs w:val="22"/>
        </w:rPr>
        <w:t>roducts</w:t>
      </w:r>
      <w:r>
        <w:rPr>
          <w:rFonts w:cstheme="minorHAnsi"/>
          <w:sz w:val="22"/>
          <w:szCs w:val="22"/>
        </w:rPr>
        <w:t xml:space="preserve"> containing more refined fibre (for example, to choose between white and wholegrain bread, or white and brown rice).</w:t>
      </w:r>
    </w:p>
    <w:p w14:paraId="607CEFEA" w14:textId="77777777" w:rsidR="00F37134" w:rsidRDefault="00F37134" w:rsidP="00F37134">
      <w:pPr>
        <w:rPr>
          <w:rFonts w:cstheme="minorHAnsi"/>
          <w:sz w:val="22"/>
          <w:szCs w:val="22"/>
        </w:rPr>
      </w:pPr>
    </w:p>
    <w:p w14:paraId="340CDA2C" w14:textId="77777777" w:rsidR="00F37134" w:rsidRPr="00D23662" w:rsidRDefault="00F37134" w:rsidP="00F37134">
      <w:pPr>
        <w:rPr>
          <w:rFonts w:cstheme="minorHAnsi"/>
          <w:sz w:val="22"/>
          <w:szCs w:val="22"/>
        </w:rPr>
      </w:pPr>
      <w:r>
        <w:rPr>
          <w:rFonts w:cstheme="minorHAnsi"/>
          <w:sz w:val="22"/>
          <w:szCs w:val="22"/>
        </w:rPr>
        <w:t>Some stakeholders proposed that wholegrain should be included in the HSR Calculator to e</w:t>
      </w:r>
      <w:r w:rsidRPr="00CC1ADD">
        <w:rPr>
          <w:rFonts w:cstheme="minorHAnsi"/>
          <w:sz w:val="22"/>
          <w:szCs w:val="22"/>
        </w:rPr>
        <w:t xml:space="preserve">nable improved differentiation between </w:t>
      </w:r>
      <w:r>
        <w:rPr>
          <w:rFonts w:cstheme="minorHAnsi"/>
          <w:sz w:val="22"/>
          <w:szCs w:val="22"/>
        </w:rPr>
        <w:t xml:space="preserve">such </w:t>
      </w:r>
      <w:r w:rsidRPr="00CC1ADD">
        <w:rPr>
          <w:rFonts w:cstheme="minorHAnsi"/>
          <w:sz w:val="22"/>
          <w:szCs w:val="22"/>
        </w:rPr>
        <w:t>products</w:t>
      </w:r>
      <w:r>
        <w:rPr>
          <w:rFonts w:cstheme="minorHAnsi"/>
          <w:sz w:val="22"/>
          <w:szCs w:val="22"/>
        </w:rPr>
        <w:t>. This was explored by the TAG and further investigated through the Review.</w:t>
      </w:r>
    </w:p>
    <w:p w14:paraId="6C1A8E9E" w14:textId="77777777" w:rsidR="00F37134" w:rsidRDefault="00F37134" w:rsidP="00F37134">
      <w:pPr>
        <w:rPr>
          <w:rFonts w:cstheme="minorHAnsi"/>
          <w:sz w:val="22"/>
          <w:szCs w:val="22"/>
        </w:rPr>
      </w:pPr>
    </w:p>
    <w:p w14:paraId="51DE2BEC" w14:textId="77777777" w:rsidR="00F37134" w:rsidRPr="00FC4168" w:rsidRDefault="00F37134" w:rsidP="00F37134">
      <w:pPr>
        <w:pStyle w:val="mpcheading4"/>
      </w:pPr>
      <w:r w:rsidRPr="00FC4168">
        <w:t>Options explored</w:t>
      </w:r>
    </w:p>
    <w:p w14:paraId="5347E58F" w14:textId="77777777" w:rsidR="00F37134" w:rsidRDefault="00F37134" w:rsidP="00F37134">
      <w:pPr>
        <w:rPr>
          <w:rFonts w:cstheme="minorHAnsi"/>
          <w:sz w:val="22"/>
          <w:szCs w:val="22"/>
        </w:rPr>
      </w:pPr>
    </w:p>
    <w:p w14:paraId="083E7D36" w14:textId="77777777" w:rsidR="00F37134" w:rsidRDefault="00F37134" w:rsidP="00F37134">
      <w:pPr>
        <w:rPr>
          <w:rFonts w:cstheme="minorHAnsi"/>
          <w:sz w:val="22"/>
          <w:szCs w:val="22"/>
        </w:rPr>
      </w:pPr>
      <w:r>
        <w:rPr>
          <w:rFonts w:cstheme="minorHAnsi"/>
          <w:sz w:val="22"/>
          <w:szCs w:val="22"/>
        </w:rPr>
        <w:t>The following options for including wholegrain in the HSR Calculator were explored:</w:t>
      </w:r>
    </w:p>
    <w:p w14:paraId="6056476C" w14:textId="77777777" w:rsidR="00F37134" w:rsidRDefault="00F37134" w:rsidP="00F37134">
      <w:pPr>
        <w:rPr>
          <w:rFonts w:cstheme="minorHAnsi"/>
          <w:sz w:val="22"/>
          <w:szCs w:val="22"/>
        </w:rPr>
      </w:pPr>
    </w:p>
    <w:p w14:paraId="68FEED06" w14:textId="77777777" w:rsidR="00F37134" w:rsidRPr="00BF476F" w:rsidRDefault="00F37134" w:rsidP="00F37134">
      <w:pPr>
        <w:pStyle w:val="ListParagraph"/>
        <w:numPr>
          <w:ilvl w:val="0"/>
          <w:numId w:val="23"/>
        </w:numPr>
        <w:rPr>
          <w:rFonts w:cstheme="minorHAnsi"/>
          <w:sz w:val="22"/>
          <w:szCs w:val="22"/>
        </w:rPr>
      </w:pPr>
      <w:r w:rsidRPr="00BF476F">
        <w:rPr>
          <w:rFonts w:cstheme="minorHAnsi"/>
          <w:sz w:val="22"/>
          <w:szCs w:val="22"/>
        </w:rPr>
        <w:t xml:space="preserve">adding wholegrain content as </w:t>
      </w:r>
      <w:r>
        <w:rPr>
          <w:rFonts w:cstheme="minorHAnsi"/>
          <w:sz w:val="22"/>
          <w:szCs w:val="22"/>
        </w:rPr>
        <w:t xml:space="preserve">a component of </w:t>
      </w:r>
      <w:r w:rsidRPr="00BF476F">
        <w:rPr>
          <w:rFonts w:cstheme="minorHAnsi"/>
          <w:sz w:val="22"/>
          <w:szCs w:val="22"/>
        </w:rPr>
        <w:t>FVNL to enable wholegrain foods to score modifying points and achieve a higher HSR</w:t>
      </w:r>
    </w:p>
    <w:p w14:paraId="16D7E383" w14:textId="77777777" w:rsidR="00F37134" w:rsidRPr="00BF476F" w:rsidRDefault="00F37134" w:rsidP="00F37134">
      <w:pPr>
        <w:pStyle w:val="mpcbullets2"/>
      </w:pPr>
      <w:r w:rsidRPr="00BF476F">
        <w:t>This option had only a minor impact on the HSRs of wholegrain foods but added substantial complexity to the HSR Calculator, requiring the creation of a new subcategory in Category 2 and rescaling to ensure it targeted FFG foods.</w:t>
      </w:r>
    </w:p>
    <w:p w14:paraId="733FD461" w14:textId="77777777" w:rsidR="00F37134" w:rsidRPr="00BF476F" w:rsidRDefault="00F37134" w:rsidP="00F37134">
      <w:pPr>
        <w:pStyle w:val="mpcbullets2"/>
      </w:pPr>
      <w:r>
        <w:t>The</w:t>
      </w:r>
      <w:r w:rsidRPr="00BF476F">
        <w:t xml:space="preserve"> addition of new positive components to the HSR Calculator</w:t>
      </w:r>
      <w:r>
        <w:t xml:space="preserve"> also</w:t>
      </w:r>
      <w:r w:rsidRPr="00BF476F">
        <w:t xml:space="preserve"> ha</w:t>
      </w:r>
      <w:r>
        <w:t>d</w:t>
      </w:r>
      <w:r w:rsidRPr="00BF476F">
        <w:t xml:space="preserve"> the potential to offset the presence of risk-associated components. </w:t>
      </w:r>
    </w:p>
    <w:p w14:paraId="72C38B7D" w14:textId="77777777" w:rsidR="00F37134" w:rsidRPr="00BF476F" w:rsidRDefault="00F37134" w:rsidP="00F37134">
      <w:pPr>
        <w:pStyle w:val="ListParagraph"/>
        <w:numPr>
          <w:ilvl w:val="0"/>
          <w:numId w:val="23"/>
        </w:numPr>
        <w:rPr>
          <w:rFonts w:cstheme="minorHAnsi"/>
          <w:sz w:val="22"/>
          <w:szCs w:val="22"/>
        </w:rPr>
      </w:pPr>
      <w:r w:rsidRPr="00BF476F">
        <w:rPr>
          <w:rFonts w:cstheme="minorHAnsi"/>
          <w:sz w:val="22"/>
          <w:szCs w:val="22"/>
        </w:rPr>
        <w:t>adding wholegrain as an FVNL component but disallowing products that score wholegrain points to score fibre points</w:t>
      </w:r>
    </w:p>
    <w:p w14:paraId="52CB3D29" w14:textId="77777777" w:rsidR="00F37134" w:rsidRPr="00BF476F" w:rsidRDefault="00F37134" w:rsidP="00F37134">
      <w:pPr>
        <w:pStyle w:val="mpcbullets2"/>
      </w:pPr>
      <w:r w:rsidRPr="00BF476F">
        <w:t>This option had a negative impact on the HSRs of many FFG foods</w:t>
      </w:r>
      <w:r>
        <w:t xml:space="preserve">, disproportionate </w:t>
      </w:r>
      <w:r w:rsidRPr="00BF476F">
        <w:t>to the positive impact of including wholegrain in the Calculator.</w:t>
      </w:r>
    </w:p>
    <w:p w14:paraId="59F62662" w14:textId="77777777" w:rsidR="00F37134" w:rsidRPr="00BF476F" w:rsidRDefault="00F37134" w:rsidP="00F37134">
      <w:pPr>
        <w:pStyle w:val="mpcbullets2"/>
      </w:pPr>
      <w:r w:rsidRPr="00BF476F">
        <w:t>It also added significant technical complexity to the HSR Calculator.</w:t>
      </w:r>
    </w:p>
    <w:p w14:paraId="532B6B4C" w14:textId="77777777" w:rsidR="00F37134" w:rsidRPr="00BF476F" w:rsidRDefault="00F37134" w:rsidP="00F37134">
      <w:pPr>
        <w:pStyle w:val="ListParagraph"/>
        <w:numPr>
          <w:ilvl w:val="0"/>
          <w:numId w:val="23"/>
        </w:numPr>
        <w:rPr>
          <w:rFonts w:cstheme="minorHAnsi"/>
          <w:sz w:val="22"/>
          <w:szCs w:val="22"/>
        </w:rPr>
      </w:pPr>
      <w:r w:rsidRPr="00BF476F">
        <w:rPr>
          <w:rFonts w:cstheme="minorHAnsi"/>
          <w:sz w:val="22"/>
          <w:szCs w:val="22"/>
        </w:rPr>
        <w:t>enabling foods to receive more modifying F points where more wholegrains are present in the food</w:t>
      </w:r>
    </w:p>
    <w:p w14:paraId="43C01974" w14:textId="77777777" w:rsidR="00F37134" w:rsidRDefault="00F37134" w:rsidP="00F37134">
      <w:pPr>
        <w:pStyle w:val="mpcbullets2"/>
      </w:pPr>
      <w:r>
        <w:t>This option involved adding a proportional loading to the F points for foods containing wholegrain, enabling wholegrain foods to score modifying points and achieve a higher HSR.</w:t>
      </w:r>
    </w:p>
    <w:p w14:paraId="3B9D3E9F" w14:textId="77777777" w:rsidR="00F37134" w:rsidRDefault="00F37134" w:rsidP="00F37134">
      <w:pPr>
        <w:pStyle w:val="mpcbullets2"/>
      </w:pPr>
      <w:r>
        <w:t>However, stakeholders noted that this did not result in increases to the HSRs for those foods of concern (e.g. wholegrain breads and rices) but enabled some discretionary foods to score higher HSRs.</w:t>
      </w:r>
    </w:p>
    <w:p w14:paraId="1A783E8B" w14:textId="77777777" w:rsidR="00F37134" w:rsidRDefault="00F37134" w:rsidP="00F37134">
      <w:pPr>
        <w:pStyle w:val="mpcbullets2"/>
      </w:pPr>
      <w:r>
        <w:t>A range of variations on this option were explored, including placing parameters around the foods eligible to score points for their wholegrain content. However, all variations on this option added significant complexity and had only a minor impact on the HSRs of wholegrain foods.</w:t>
      </w:r>
    </w:p>
    <w:p w14:paraId="120419BD" w14:textId="77777777" w:rsidR="00F37134" w:rsidRDefault="00F37134" w:rsidP="00F37134">
      <w:pPr>
        <w:rPr>
          <w:rFonts w:cstheme="minorHAnsi"/>
          <w:sz w:val="22"/>
          <w:szCs w:val="22"/>
        </w:rPr>
      </w:pPr>
    </w:p>
    <w:p w14:paraId="425C26D3" w14:textId="77777777" w:rsidR="00F37134" w:rsidRPr="00707297" w:rsidRDefault="00F37134" w:rsidP="00F37134">
      <w:pPr>
        <w:pStyle w:val="mpcheading4"/>
      </w:pPr>
      <w:r w:rsidRPr="00707297">
        <w:t>Conclusion</w:t>
      </w:r>
    </w:p>
    <w:p w14:paraId="644A4B36" w14:textId="77777777" w:rsidR="00F37134" w:rsidRDefault="00F37134" w:rsidP="00F37134">
      <w:pPr>
        <w:rPr>
          <w:rFonts w:cstheme="minorHAnsi"/>
          <w:sz w:val="22"/>
          <w:szCs w:val="22"/>
        </w:rPr>
      </w:pPr>
    </w:p>
    <w:p w14:paraId="1134394D" w14:textId="77777777" w:rsidR="00F37134" w:rsidRPr="00CC1ADD" w:rsidRDefault="00F37134" w:rsidP="00F37134">
      <w:pPr>
        <w:widowControl w:val="0"/>
        <w:rPr>
          <w:rFonts w:cstheme="minorHAnsi"/>
          <w:sz w:val="22"/>
          <w:szCs w:val="22"/>
        </w:rPr>
      </w:pPr>
      <w:r>
        <w:rPr>
          <w:rFonts w:cstheme="minorHAnsi"/>
          <w:sz w:val="22"/>
          <w:szCs w:val="22"/>
        </w:rPr>
        <w:t>While the</w:t>
      </w:r>
      <w:r w:rsidRPr="00CC1ADD">
        <w:rPr>
          <w:rFonts w:cstheme="minorHAnsi"/>
          <w:sz w:val="22"/>
          <w:szCs w:val="22"/>
        </w:rPr>
        <w:t xml:space="preserve"> benefits of wholegrain</w:t>
      </w:r>
      <w:r>
        <w:rPr>
          <w:rFonts w:cstheme="minorHAnsi"/>
          <w:sz w:val="22"/>
          <w:szCs w:val="22"/>
        </w:rPr>
        <w:t xml:space="preserve"> are</w:t>
      </w:r>
      <w:r w:rsidRPr="00CC1ADD">
        <w:rPr>
          <w:rFonts w:cstheme="minorHAnsi"/>
          <w:sz w:val="22"/>
          <w:szCs w:val="22"/>
        </w:rPr>
        <w:t xml:space="preserve"> recognised by the Review, the potential benefits of including wholegrain in the HSR Calculator were exceeded by the technical complexities and unintended consequences of the </w:t>
      </w:r>
      <w:r>
        <w:rPr>
          <w:rFonts w:cstheme="minorHAnsi"/>
          <w:sz w:val="22"/>
          <w:szCs w:val="22"/>
        </w:rPr>
        <w:t xml:space="preserve">various </w:t>
      </w:r>
      <w:r w:rsidRPr="00CC1ADD">
        <w:rPr>
          <w:rFonts w:cstheme="minorHAnsi"/>
          <w:sz w:val="22"/>
          <w:szCs w:val="22"/>
        </w:rPr>
        <w:t>options explored in that:</w:t>
      </w:r>
    </w:p>
    <w:p w14:paraId="1B86FAEB" w14:textId="77777777" w:rsidR="00F37134" w:rsidRPr="00CC1ADD" w:rsidRDefault="00F37134" w:rsidP="00F37134">
      <w:pPr>
        <w:widowControl w:val="0"/>
        <w:rPr>
          <w:rFonts w:cstheme="minorHAnsi"/>
          <w:sz w:val="22"/>
          <w:szCs w:val="22"/>
        </w:rPr>
      </w:pPr>
    </w:p>
    <w:p w14:paraId="2454C8D6" w14:textId="77777777" w:rsidR="00F37134" w:rsidRPr="00CC1ADD" w:rsidRDefault="00F37134" w:rsidP="00B365C9">
      <w:pPr>
        <w:pStyle w:val="mpcbullets1"/>
        <w:keepNext w:val="0"/>
      </w:pPr>
      <w:r w:rsidRPr="00CC1ADD">
        <w:t xml:space="preserve">declaration of wholegrain content is not required on food packaging, except where wholegrain is a characterising ingredient  </w:t>
      </w:r>
    </w:p>
    <w:p w14:paraId="63A98DCF" w14:textId="77777777" w:rsidR="00F37134" w:rsidRPr="00CC1ADD" w:rsidRDefault="00F37134" w:rsidP="00B365C9">
      <w:pPr>
        <w:pStyle w:val="mpcbullets1"/>
        <w:keepNext w:val="0"/>
      </w:pPr>
      <w:r w:rsidRPr="00CC1ADD">
        <w:t>it is not possible to analytically determine the content of wholegrain in food</w:t>
      </w:r>
    </w:p>
    <w:p w14:paraId="667C8AC5" w14:textId="31D8277D" w:rsidR="0029129A" w:rsidRDefault="0029129A" w:rsidP="00F37134">
      <w:pPr>
        <w:pStyle w:val="mpcbullets1"/>
      </w:pPr>
      <w:r>
        <w:t xml:space="preserve">while the Code and the </w:t>
      </w:r>
      <w:r w:rsidRPr="00CC1ADD">
        <w:t xml:space="preserve">Grains &amp; Legumes Nutrition Council’s Code of Practice for Whole Grain Ingredient Content </w:t>
      </w:r>
      <w:r w:rsidRPr="00356789">
        <w:t>Claims (Industry Code of Practice)</w:t>
      </w:r>
      <w:r w:rsidRPr="00356789">
        <w:rPr>
          <w:vertAlign w:val="superscript"/>
        </w:rPr>
        <w:footnoteReference w:id="145"/>
      </w:r>
      <w:r>
        <w:t xml:space="preserve"> provide a consistent definition of wholegrain, different stakeholders expressed different views about the appropriateness of this definition for the purposes of defining a food component impacting the HSR</w:t>
      </w:r>
    </w:p>
    <w:p w14:paraId="073EE227" w14:textId="77777777" w:rsidR="00F37134" w:rsidRPr="00356789" w:rsidRDefault="00F37134" w:rsidP="00F37134">
      <w:pPr>
        <w:pStyle w:val="mpcbullets2"/>
      </w:pPr>
      <w:r w:rsidRPr="00356789">
        <w:t>While the Australian definition includes hulled, ground, milled, cracked or flaked grains, international definitions vary regarding what foods can be considered wholegrain, and the type and level of processing the foods may undergo while still being considered wholegrain.</w:t>
      </w:r>
    </w:p>
    <w:p w14:paraId="1276B5FB" w14:textId="77777777" w:rsidR="00F37134" w:rsidRPr="00356789" w:rsidRDefault="00F37134" w:rsidP="00F37134">
      <w:pPr>
        <w:pStyle w:val="mpcbullets2"/>
      </w:pPr>
      <w:r w:rsidRPr="00356789">
        <w:t>Some studies suggest that the intact structure of grain influences the health benefits of wholegrain cereal products and that processing can lead to losses of bioactive compounds (e.g.  carotenoids, polyphenols, phytosterols, fatty acids, and peptides).</w:t>
      </w:r>
      <w:r w:rsidRPr="00356789">
        <w:rPr>
          <w:rStyle w:val="FootnoteReference"/>
          <w:sz w:val="22"/>
        </w:rPr>
        <w:footnoteReference w:id="146"/>
      </w:r>
      <w:r w:rsidRPr="00356789">
        <w:rPr>
          <w:vertAlign w:val="superscript"/>
        </w:rPr>
        <w:t>,</w:t>
      </w:r>
      <w:r w:rsidRPr="00356789">
        <w:rPr>
          <w:rStyle w:val="FootnoteReference"/>
          <w:rFonts w:cstheme="minorBidi"/>
          <w:sz w:val="22"/>
        </w:rPr>
        <w:footnoteReference w:id="147"/>
      </w:r>
      <w:r w:rsidRPr="00356789">
        <w:rPr>
          <w:vertAlign w:val="superscript"/>
        </w:rPr>
        <w:t>,</w:t>
      </w:r>
      <w:r w:rsidRPr="00356789">
        <w:rPr>
          <w:rStyle w:val="FootnoteReference"/>
          <w:rFonts w:cstheme="minorBidi"/>
          <w:sz w:val="22"/>
        </w:rPr>
        <w:footnoteReference w:id="148"/>
      </w:r>
      <w:r w:rsidRPr="00356789">
        <w:rPr>
          <w:rFonts w:cstheme="minorBidi"/>
          <w:vertAlign w:val="superscript"/>
        </w:rPr>
        <w:t>,</w:t>
      </w:r>
      <w:r w:rsidRPr="00356789">
        <w:rPr>
          <w:rStyle w:val="FootnoteReference"/>
          <w:rFonts w:cstheme="minorBidi"/>
          <w:sz w:val="22"/>
        </w:rPr>
        <w:footnoteReference w:id="149"/>
      </w:r>
      <w:r w:rsidRPr="00356789">
        <w:rPr>
          <w:rFonts w:cstheme="minorBidi"/>
          <w:vertAlign w:val="superscript"/>
        </w:rPr>
        <w:t>,</w:t>
      </w:r>
      <w:r w:rsidRPr="00356789">
        <w:rPr>
          <w:rStyle w:val="FootnoteReference"/>
          <w:rFonts w:cstheme="minorBidi"/>
          <w:sz w:val="22"/>
        </w:rPr>
        <w:footnoteReference w:id="150"/>
      </w:r>
      <w:r w:rsidRPr="00356789">
        <w:rPr>
          <w:rFonts w:cstheme="minorBidi"/>
          <w:vertAlign w:val="superscript"/>
        </w:rPr>
        <w:t>,</w:t>
      </w:r>
      <w:r w:rsidRPr="00356789">
        <w:rPr>
          <w:rStyle w:val="FootnoteReference"/>
          <w:rFonts w:cstheme="minorBidi"/>
          <w:sz w:val="22"/>
        </w:rPr>
        <w:footnoteReference w:id="151"/>
      </w:r>
    </w:p>
    <w:p w14:paraId="6F30206B" w14:textId="77777777" w:rsidR="00F37134" w:rsidRPr="00CC1ADD" w:rsidRDefault="00F37134" w:rsidP="00F37134">
      <w:pPr>
        <w:pStyle w:val="mpcbullets1"/>
      </w:pPr>
      <w:r w:rsidRPr="00CC1ADD">
        <w:t xml:space="preserve">rewarding wholegrain content resulted in limited increases to FFG </w:t>
      </w:r>
      <w:r>
        <w:t>foods</w:t>
      </w:r>
      <w:r w:rsidRPr="00CC1ADD">
        <w:t xml:space="preserve"> such as brown rices, but resulted in more significant increases to the HSRs of many discretionary products such as muesli bars, salty snacks and crackers</w:t>
      </w:r>
    </w:p>
    <w:p w14:paraId="24589897" w14:textId="77777777" w:rsidR="00F37134" w:rsidRPr="00CC1ADD" w:rsidRDefault="00F37134" w:rsidP="00F37134">
      <w:pPr>
        <w:pStyle w:val="mpcbullets1"/>
      </w:pPr>
      <w:r w:rsidRPr="00CC1ADD">
        <w:t>it would reduce alignment with the NPSC (on which the HSR Calculator is based), which does not consider wholegrain.</w:t>
      </w:r>
    </w:p>
    <w:p w14:paraId="75E2AC19" w14:textId="77777777" w:rsidR="00F37134" w:rsidRPr="00CC1ADD" w:rsidRDefault="00F37134" w:rsidP="00F37134">
      <w:pPr>
        <w:pStyle w:val="mpcbullets1"/>
        <w:numPr>
          <w:ilvl w:val="0"/>
          <w:numId w:val="0"/>
        </w:numPr>
      </w:pPr>
    </w:p>
    <w:p w14:paraId="13F133B8" w14:textId="77777777" w:rsidR="00F37134" w:rsidRDefault="00F37134" w:rsidP="00F37134">
      <w:pPr>
        <w:rPr>
          <w:rFonts w:cstheme="minorHAnsi"/>
          <w:sz w:val="22"/>
          <w:szCs w:val="22"/>
        </w:rPr>
      </w:pPr>
      <w:r w:rsidRPr="00CC1ADD">
        <w:rPr>
          <w:rFonts w:cstheme="minorHAnsi"/>
          <w:sz w:val="22"/>
          <w:szCs w:val="22"/>
        </w:rPr>
        <w:t xml:space="preserve">The Codex Alimentarius Commission undertook a survey of member countries with FoPL </w:t>
      </w:r>
      <w:r>
        <w:rPr>
          <w:rFonts w:cstheme="minorHAnsi"/>
          <w:sz w:val="22"/>
          <w:szCs w:val="22"/>
        </w:rPr>
        <w:t>schemes</w:t>
      </w:r>
      <w:r w:rsidRPr="00CC1ADD">
        <w:rPr>
          <w:rFonts w:cstheme="minorHAnsi"/>
          <w:sz w:val="22"/>
          <w:szCs w:val="22"/>
        </w:rPr>
        <w:t xml:space="preserve"> in 2017.</w:t>
      </w:r>
      <w:r w:rsidRPr="00CC1ADD">
        <w:rPr>
          <w:rStyle w:val="FootnoteReference"/>
          <w:rFonts w:cstheme="minorHAnsi"/>
          <w:sz w:val="22"/>
          <w:szCs w:val="22"/>
        </w:rPr>
        <w:footnoteReference w:id="152"/>
      </w:r>
      <w:r w:rsidRPr="00CC1ADD">
        <w:rPr>
          <w:rFonts w:cstheme="minorHAnsi"/>
          <w:sz w:val="22"/>
          <w:szCs w:val="22"/>
        </w:rPr>
        <w:t xml:space="preserve"> It found that fibre</w:t>
      </w:r>
      <w:r>
        <w:rPr>
          <w:rFonts w:cstheme="minorHAnsi"/>
          <w:sz w:val="22"/>
          <w:szCs w:val="22"/>
        </w:rPr>
        <w:t xml:space="preserve">, </w:t>
      </w:r>
      <w:r w:rsidRPr="00CC1ADD">
        <w:rPr>
          <w:rFonts w:cstheme="minorHAnsi"/>
          <w:sz w:val="22"/>
          <w:szCs w:val="22"/>
        </w:rPr>
        <w:t xml:space="preserve">protein and (to a lesser degree) FVNL are considered a priority in a FoPL </w:t>
      </w:r>
      <w:r>
        <w:rPr>
          <w:rFonts w:cstheme="minorHAnsi"/>
          <w:sz w:val="22"/>
          <w:szCs w:val="22"/>
        </w:rPr>
        <w:t>scheme</w:t>
      </w:r>
      <w:r w:rsidRPr="00CC1ADD">
        <w:rPr>
          <w:rFonts w:cstheme="minorHAnsi"/>
          <w:sz w:val="22"/>
          <w:szCs w:val="22"/>
        </w:rPr>
        <w:t xml:space="preserve">, however wholegrain is not currently included in any of the </w:t>
      </w:r>
      <w:r>
        <w:rPr>
          <w:rFonts w:cstheme="minorHAnsi"/>
          <w:sz w:val="22"/>
          <w:szCs w:val="22"/>
        </w:rPr>
        <w:t>schemes</w:t>
      </w:r>
      <w:r w:rsidRPr="00CC1ADD">
        <w:rPr>
          <w:rFonts w:cstheme="minorHAnsi"/>
          <w:sz w:val="22"/>
          <w:szCs w:val="22"/>
        </w:rPr>
        <w:t xml:space="preserve"> surveyed.</w:t>
      </w:r>
    </w:p>
    <w:p w14:paraId="2759DE68" w14:textId="77777777" w:rsidR="00F37134" w:rsidRDefault="00F37134" w:rsidP="00F37134">
      <w:pPr>
        <w:rPr>
          <w:rFonts w:cstheme="minorHAnsi"/>
          <w:sz w:val="22"/>
          <w:szCs w:val="22"/>
        </w:rPr>
      </w:pPr>
    </w:p>
    <w:p w14:paraId="3DB5F6FA" w14:textId="77777777" w:rsidR="00F37134" w:rsidRDefault="00F37134" w:rsidP="00F37134">
      <w:pPr>
        <w:rPr>
          <w:rFonts w:cstheme="minorHAnsi"/>
          <w:sz w:val="22"/>
          <w:szCs w:val="22"/>
        </w:rPr>
      </w:pPr>
      <w:r w:rsidRPr="00356789">
        <w:rPr>
          <w:rFonts w:cstheme="minorHAnsi"/>
          <w:sz w:val="22"/>
          <w:szCs w:val="22"/>
        </w:rPr>
        <w:t>As noted by some stakeholders, the Danish Key Hole, the Singapore Healthier Choice and the Canadian Guiding Stars FoPL schemes currently consider wholegrain. However, these schemes generally entail significant guidance around what foods might be considered wholegrain and the proportion of wholegrain that different foods must contain in order to receive a benefit. This level of detail around one food component is not practical in the HSR System.</w:t>
      </w:r>
    </w:p>
    <w:p w14:paraId="08D09B55" w14:textId="77777777" w:rsidR="00F37134" w:rsidRDefault="00F37134" w:rsidP="00F37134">
      <w:pPr>
        <w:rPr>
          <w:rFonts w:cstheme="minorHAnsi"/>
          <w:sz w:val="22"/>
          <w:szCs w:val="22"/>
        </w:rPr>
      </w:pPr>
    </w:p>
    <w:p w14:paraId="45E3BC6F" w14:textId="77777777" w:rsidR="00F37134" w:rsidRDefault="00F37134" w:rsidP="00F37134">
      <w:pPr>
        <w:pStyle w:val="mpcNormal"/>
      </w:pPr>
      <w:r>
        <w:t xml:space="preserve">The Review notes that </w:t>
      </w:r>
      <w:r w:rsidRPr="00CC1ADD">
        <w:t xml:space="preserve">other labelling tools are available to industry to promote wholegrain </w:t>
      </w:r>
      <w:r>
        <w:t>(</w:t>
      </w:r>
      <w:r w:rsidRPr="00CC1ADD">
        <w:t>for example, wholegrain claims can be made in line with the Industry Code of Practice</w:t>
      </w:r>
      <w:r>
        <w:t>).</w:t>
      </w:r>
    </w:p>
    <w:p w14:paraId="4CC0BCC6" w14:textId="77777777" w:rsidR="00F37134" w:rsidRDefault="00F37134" w:rsidP="00F37134">
      <w:pPr>
        <w:pStyle w:val="mpcNormal"/>
        <w:keepNext w:val="0"/>
      </w:pPr>
    </w:p>
    <w:p w14:paraId="1916D897" w14:textId="77777777" w:rsidR="00F37134" w:rsidRPr="007B1D76" w:rsidRDefault="00F37134" w:rsidP="00F37134">
      <w:pPr>
        <w:pStyle w:val="mpcheading3"/>
        <w:keepNext/>
      </w:pPr>
      <w:r w:rsidRPr="007B1D76">
        <w:t>Removing protein from the HSR Calculator</w:t>
      </w:r>
    </w:p>
    <w:p w14:paraId="1C7FD879" w14:textId="77777777" w:rsidR="00F37134" w:rsidRDefault="00F37134" w:rsidP="00F37134">
      <w:pPr>
        <w:rPr>
          <w:rFonts w:cstheme="minorHAnsi"/>
          <w:b/>
          <w:sz w:val="22"/>
          <w:szCs w:val="22"/>
        </w:rPr>
      </w:pPr>
    </w:p>
    <w:p w14:paraId="6FA05599" w14:textId="77777777" w:rsidR="00F37134" w:rsidRPr="004B27B3" w:rsidRDefault="00F37134" w:rsidP="00F37134">
      <w:pPr>
        <w:rPr>
          <w:rFonts w:cstheme="minorHAnsi"/>
          <w:b/>
          <w:bCs/>
          <w:sz w:val="22"/>
          <w:szCs w:val="22"/>
        </w:rPr>
      </w:pPr>
      <w:r w:rsidRPr="004B27B3">
        <w:rPr>
          <w:rFonts w:cstheme="minorHAnsi"/>
          <w:b/>
          <w:bCs/>
          <w:sz w:val="22"/>
          <w:szCs w:val="22"/>
        </w:rPr>
        <w:t xml:space="preserve">Issue </w:t>
      </w:r>
    </w:p>
    <w:p w14:paraId="7500BEE6" w14:textId="77777777" w:rsidR="00F37134" w:rsidRDefault="00F37134" w:rsidP="00F37134">
      <w:pPr>
        <w:rPr>
          <w:rFonts w:cstheme="minorHAnsi"/>
          <w:sz w:val="22"/>
          <w:szCs w:val="22"/>
        </w:rPr>
      </w:pPr>
    </w:p>
    <w:p w14:paraId="38A8622F" w14:textId="77777777" w:rsidR="00F37134" w:rsidRDefault="00F37134" w:rsidP="00F37134">
      <w:pPr>
        <w:rPr>
          <w:rFonts w:cstheme="minorHAnsi"/>
          <w:sz w:val="22"/>
          <w:szCs w:val="22"/>
        </w:rPr>
      </w:pPr>
      <w:r w:rsidRPr="005D75D3">
        <w:rPr>
          <w:rFonts w:cstheme="minorHAnsi"/>
          <w:sz w:val="22"/>
          <w:szCs w:val="22"/>
        </w:rPr>
        <w:t>Some stakeholders have questioned whether protein should be included as a positive nutrient in the HSR Calculator, as the majority of Australians and New Zealanders meet or exceed recommended intakes for protein.</w:t>
      </w:r>
      <w:r w:rsidRPr="004B27B3">
        <w:rPr>
          <w:rFonts w:cstheme="minorHAnsi"/>
          <w:sz w:val="22"/>
          <w:szCs w:val="22"/>
        </w:rPr>
        <w:t xml:space="preserve"> </w:t>
      </w:r>
      <w:r>
        <w:rPr>
          <w:rFonts w:cstheme="minorHAnsi"/>
          <w:sz w:val="22"/>
          <w:szCs w:val="22"/>
        </w:rPr>
        <w:t>Others</w:t>
      </w:r>
      <w:r w:rsidRPr="006B533C">
        <w:rPr>
          <w:rFonts w:cstheme="minorHAnsi"/>
          <w:sz w:val="22"/>
          <w:szCs w:val="22"/>
        </w:rPr>
        <w:t xml:space="preserve"> raised concerns that </w:t>
      </w:r>
      <w:r w:rsidRPr="005D75D3">
        <w:rPr>
          <w:rFonts w:cstheme="minorHAnsi"/>
          <w:sz w:val="22"/>
          <w:szCs w:val="22"/>
        </w:rPr>
        <w:t>protein may displace other negative nutrients in food such as sugars and saturated fats</w:t>
      </w:r>
      <w:r>
        <w:rPr>
          <w:rFonts w:cstheme="minorHAnsi"/>
          <w:sz w:val="22"/>
          <w:szCs w:val="22"/>
        </w:rPr>
        <w:t xml:space="preserve"> or that </w:t>
      </w:r>
      <w:r w:rsidRPr="006B533C">
        <w:rPr>
          <w:rFonts w:cstheme="minorHAnsi"/>
          <w:sz w:val="22"/>
          <w:szCs w:val="22"/>
        </w:rPr>
        <w:t>manufacturers may add protein (such as whey or casein) to products to offset risk nutrients to gain a higher HSR, without delivering health benefits.</w:t>
      </w:r>
    </w:p>
    <w:p w14:paraId="2ECB7CD1" w14:textId="77777777" w:rsidR="00F37134" w:rsidRPr="005D75D3" w:rsidRDefault="00F37134" w:rsidP="00F37134">
      <w:pPr>
        <w:rPr>
          <w:rFonts w:cstheme="minorHAnsi"/>
          <w:sz w:val="22"/>
          <w:szCs w:val="22"/>
        </w:rPr>
      </w:pPr>
    </w:p>
    <w:p w14:paraId="4F802C4D" w14:textId="77777777" w:rsidR="00F37134" w:rsidRPr="00707297" w:rsidRDefault="00F37134" w:rsidP="00F37134">
      <w:pPr>
        <w:pStyle w:val="mpcheading4"/>
      </w:pPr>
      <w:r w:rsidRPr="00707297">
        <w:t>Conclusion</w:t>
      </w:r>
    </w:p>
    <w:p w14:paraId="03305FAA" w14:textId="77777777" w:rsidR="00F37134" w:rsidRDefault="00F37134" w:rsidP="00F37134">
      <w:pPr>
        <w:rPr>
          <w:rFonts w:cstheme="minorHAnsi"/>
          <w:sz w:val="22"/>
          <w:szCs w:val="22"/>
        </w:rPr>
      </w:pPr>
    </w:p>
    <w:p w14:paraId="71D2C07E" w14:textId="77777777" w:rsidR="00F37134" w:rsidRPr="007171BF" w:rsidRDefault="00F37134" w:rsidP="00F37134">
      <w:pPr>
        <w:rPr>
          <w:rFonts w:cstheme="minorHAnsi"/>
          <w:sz w:val="22"/>
          <w:szCs w:val="22"/>
        </w:rPr>
      </w:pPr>
      <w:r w:rsidRPr="005D75D3">
        <w:rPr>
          <w:rFonts w:cstheme="minorHAnsi"/>
          <w:sz w:val="22"/>
          <w:szCs w:val="22"/>
        </w:rPr>
        <w:t>Protein is included in the HSR Calculator as it is part of the NPSC and the UK NPM</w:t>
      </w:r>
      <w:r>
        <w:rPr>
          <w:rFonts w:cstheme="minorHAnsi"/>
          <w:sz w:val="22"/>
          <w:szCs w:val="22"/>
        </w:rPr>
        <w:t xml:space="preserve"> 2004/5</w:t>
      </w:r>
      <w:r w:rsidRPr="005D75D3">
        <w:rPr>
          <w:rFonts w:cstheme="minorHAnsi"/>
          <w:sz w:val="22"/>
          <w:szCs w:val="22"/>
        </w:rPr>
        <w:t xml:space="preserve"> on which the NPSC is based. Evidence underpinning the UK NPM demonstrates that protein is a reasonable surrogate for iron and calcium content</w:t>
      </w:r>
      <w:r w:rsidRPr="005D75D3">
        <w:rPr>
          <w:rStyle w:val="FootnoteReference"/>
          <w:rFonts w:cstheme="minorHAnsi"/>
          <w:sz w:val="22"/>
          <w:szCs w:val="22"/>
        </w:rPr>
        <w:footnoteReference w:id="153"/>
      </w:r>
      <w:r w:rsidRPr="005D75D3">
        <w:rPr>
          <w:rFonts w:cstheme="minorHAnsi"/>
          <w:sz w:val="22"/>
          <w:szCs w:val="22"/>
        </w:rPr>
        <w:t xml:space="preserve">, which are both lacking in the Australian and New Zealander populations. As neither iron nor calcium content is mandated in the NIP, it is also more practical to use protein as a surrogate in the HSR Calculator. Many FFG products (nuts, legumes, breakfast cereals, lean meats) are being appropriately promoted through the consideration of protein content. </w:t>
      </w:r>
    </w:p>
    <w:p w14:paraId="3D2F8368" w14:textId="77777777" w:rsidR="00F37134" w:rsidRDefault="00F37134" w:rsidP="00F37134">
      <w:pPr>
        <w:rPr>
          <w:rFonts w:cstheme="minorHAnsi"/>
          <w:sz w:val="22"/>
          <w:szCs w:val="22"/>
        </w:rPr>
      </w:pPr>
    </w:p>
    <w:p w14:paraId="62D11142" w14:textId="77777777" w:rsidR="00F37134" w:rsidRPr="00B93AB7" w:rsidRDefault="00F37134" w:rsidP="00F37134">
      <w:pPr>
        <w:rPr>
          <w:rFonts w:cstheme="minorHAnsi"/>
          <w:sz w:val="22"/>
          <w:szCs w:val="22"/>
        </w:rPr>
      </w:pPr>
      <w:r w:rsidRPr="00B93AB7">
        <w:rPr>
          <w:rFonts w:cstheme="minorHAnsi"/>
          <w:sz w:val="22"/>
          <w:szCs w:val="22"/>
        </w:rPr>
        <w:t>A study published in August 2017</w:t>
      </w:r>
      <w:r w:rsidRPr="00B93AB7">
        <w:rPr>
          <w:rFonts w:cstheme="minorHAnsi"/>
          <w:vertAlign w:val="superscript"/>
        </w:rPr>
        <w:footnoteReference w:id="154"/>
      </w:r>
      <w:r w:rsidRPr="00B93AB7">
        <w:rPr>
          <w:rFonts w:cstheme="minorHAnsi"/>
          <w:sz w:val="22"/>
          <w:szCs w:val="22"/>
          <w:vertAlign w:val="superscript"/>
        </w:rPr>
        <w:t xml:space="preserve"> </w:t>
      </w:r>
      <w:r w:rsidRPr="00B93AB7">
        <w:rPr>
          <w:rFonts w:cstheme="minorHAnsi"/>
          <w:sz w:val="22"/>
          <w:szCs w:val="22"/>
        </w:rPr>
        <w:t>analysing the nutritional composition of foods from 2015 to 2016 found that the average protein content of products displaying the HSR was unchanged. Further, industry has advised that given the expense of protein as an ingredient, this would likely limit its use in large quantities to increase a product’s HSR.</w:t>
      </w:r>
    </w:p>
    <w:p w14:paraId="09900113" w14:textId="77777777" w:rsidR="00F37134" w:rsidRDefault="00F37134" w:rsidP="00F37134">
      <w:pPr>
        <w:pStyle w:val="mpcNormal"/>
        <w:keepNext w:val="0"/>
      </w:pPr>
    </w:p>
    <w:p w14:paraId="7485DF2F" w14:textId="77777777" w:rsidR="00F37134" w:rsidRDefault="00F37134" w:rsidP="00F37134">
      <w:pPr>
        <w:pStyle w:val="mpcheading3"/>
        <w:keepNext/>
      </w:pPr>
      <w:r>
        <w:t>Reducing the protein ‘tipping point’</w:t>
      </w:r>
    </w:p>
    <w:p w14:paraId="4ED0117F" w14:textId="77777777" w:rsidR="00F37134" w:rsidRDefault="00F37134" w:rsidP="00F37134">
      <w:pPr>
        <w:pStyle w:val="mpcNormal"/>
      </w:pPr>
    </w:p>
    <w:p w14:paraId="1F3C260E" w14:textId="77777777" w:rsidR="00F37134" w:rsidRDefault="00F37134" w:rsidP="00F37134">
      <w:pPr>
        <w:pStyle w:val="mpcheading4"/>
      </w:pPr>
      <w:r w:rsidRPr="00FC0945">
        <w:t>Issue</w:t>
      </w:r>
    </w:p>
    <w:p w14:paraId="618CB6A8" w14:textId="77777777" w:rsidR="00F37134" w:rsidRDefault="00F37134" w:rsidP="00F37134">
      <w:pPr>
        <w:pStyle w:val="mpcNormal"/>
      </w:pPr>
    </w:p>
    <w:p w14:paraId="6E48477C" w14:textId="77777777" w:rsidR="00F37134" w:rsidRPr="00CC1ADD" w:rsidRDefault="00F37134" w:rsidP="00F37134">
      <w:pPr>
        <w:keepNext/>
        <w:rPr>
          <w:rFonts w:cstheme="minorHAnsi"/>
          <w:sz w:val="22"/>
          <w:szCs w:val="22"/>
        </w:rPr>
      </w:pPr>
      <w:r w:rsidRPr="00CC1ADD">
        <w:rPr>
          <w:rFonts w:cstheme="minorHAnsi"/>
          <w:sz w:val="22"/>
          <w:szCs w:val="22"/>
        </w:rPr>
        <w:t xml:space="preserve">Products scoring more than 13 baseline points </w:t>
      </w:r>
      <w:r>
        <w:rPr>
          <w:rFonts w:cstheme="minorHAnsi"/>
          <w:sz w:val="22"/>
          <w:szCs w:val="22"/>
        </w:rPr>
        <w:t xml:space="preserve">(i.e. points for energy, sodium, saturated fat and/or sugars) </w:t>
      </w:r>
      <w:r w:rsidRPr="00CC1ADD">
        <w:rPr>
          <w:rFonts w:cstheme="minorHAnsi"/>
          <w:sz w:val="22"/>
          <w:szCs w:val="22"/>
        </w:rPr>
        <w:t>and less than 5 FVNL points are ineligible to score protein points.</w:t>
      </w:r>
    </w:p>
    <w:p w14:paraId="65EB54EF" w14:textId="77777777" w:rsidR="00F37134" w:rsidRPr="00CC1ADD" w:rsidRDefault="00F37134" w:rsidP="00F37134">
      <w:pPr>
        <w:rPr>
          <w:rFonts w:cstheme="minorHAnsi"/>
          <w:sz w:val="22"/>
          <w:szCs w:val="22"/>
        </w:rPr>
      </w:pPr>
    </w:p>
    <w:p w14:paraId="10263C74" w14:textId="77777777" w:rsidR="00F37134" w:rsidRPr="00CC1ADD" w:rsidRDefault="00F37134" w:rsidP="00F37134">
      <w:pPr>
        <w:rPr>
          <w:rFonts w:cstheme="minorHAnsi"/>
          <w:sz w:val="22"/>
          <w:szCs w:val="22"/>
        </w:rPr>
      </w:pPr>
      <w:r w:rsidRPr="00CC1ADD">
        <w:rPr>
          <w:sz w:val="22"/>
          <w:szCs w:val="22"/>
        </w:rPr>
        <w:t xml:space="preserve">This represents a change from the UK </w:t>
      </w:r>
      <w:r>
        <w:rPr>
          <w:sz w:val="22"/>
          <w:szCs w:val="22"/>
        </w:rPr>
        <w:t>Nutrient Profiling Model</w:t>
      </w:r>
      <w:r w:rsidRPr="00CC1ADD">
        <w:rPr>
          <w:sz w:val="22"/>
          <w:szCs w:val="22"/>
        </w:rPr>
        <w:t>. When the NPSC was developed, eligibility for protein points was changed from 11 or fewer baseline points to 13 or fewer baseline points; meaning that a product can receive more baseline points before becoming ineligible to score protein points.</w:t>
      </w:r>
      <w:r>
        <w:rPr>
          <w:rStyle w:val="FootnoteReference"/>
          <w:szCs w:val="22"/>
        </w:rPr>
        <w:footnoteReference w:id="155"/>
      </w:r>
    </w:p>
    <w:p w14:paraId="25E9E9A3" w14:textId="77777777" w:rsidR="00F37134" w:rsidRPr="00CC1ADD" w:rsidRDefault="00F37134" w:rsidP="00F37134">
      <w:pPr>
        <w:rPr>
          <w:rFonts w:cstheme="minorHAnsi"/>
          <w:sz w:val="22"/>
          <w:szCs w:val="22"/>
        </w:rPr>
      </w:pPr>
    </w:p>
    <w:p w14:paraId="19B4CE3C" w14:textId="77777777" w:rsidR="00F37134" w:rsidRDefault="00F37134" w:rsidP="00F37134">
      <w:pPr>
        <w:pStyle w:val="mpcNormal"/>
        <w:keepNext w:val="0"/>
      </w:pPr>
      <w:r w:rsidRPr="00CC1ADD">
        <w:t>Some stakeholders expressed concerns regarding the potential for this to allow less healthy products to offset negative points using protein and, consequently, improve the product’s HSR.</w:t>
      </w:r>
    </w:p>
    <w:p w14:paraId="48589A3B" w14:textId="77777777" w:rsidR="00F37134" w:rsidRDefault="00F37134" w:rsidP="00F37134">
      <w:pPr>
        <w:pStyle w:val="mpcNormal"/>
        <w:keepNext w:val="0"/>
      </w:pPr>
    </w:p>
    <w:p w14:paraId="0A219963" w14:textId="77777777" w:rsidR="00F37134" w:rsidRDefault="00F37134" w:rsidP="00F37134">
      <w:pPr>
        <w:pStyle w:val="mpcheading4"/>
      </w:pPr>
      <w:r>
        <w:t>Options explored</w:t>
      </w:r>
    </w:p>
    <w:p w14:paraId="4606172C" w14:textId="77777777" w:rsidR="00F37134" w:rsidRDefault="00F37134" w:rsidP="00F37134">
      <w:pPr>
        <w:pStyle w:val="mpcNormal"/>
        <w:keepNext w:val="0"/>
      </w:pPr>
    </w:p>
    <w:p w14:paraId="72B3D344" w14:textId="77777777" w:rsidR="00F37134" w:rsidRDefault="00F37134" w:rsidP="00F37134">
      <w:pPr>
        <w:rPr>
          <w:rFonts w:cstheme="minorHAnsi"/>
          <w:sz w:val="22"/>
          <w:szCs w:val="22"/>
        </w:rPr>
      </w:pPr>
      <w:r w:rsidRPr="00CC1ADD">
        <w:rPr>
          <w:rFonts w:cstheme="minorHAnsi"/>
          <w:sz w:val="22"/>
          <w:szCs w:val="22"/>
        </w:rPr>
        <w:t>The Review explored the impact of decreasing the protein threshold to 11 points</w:t>
      </w:r>
      <w:r>
        <w:rPr>
          <w:rFonts w:cstheme="minorHAnsi"/>
          <w:sz w:val="22"/>
          <w:szCs w:val="22"/>
        </w:rPr>
        <w:t>. It was</w:t>
      </w:r>
      <w:r w:rsidRPr="00CC1ADD">
        <w:rPr>
          <w:rFonts w:cstheme="minorHAnsi"/>
          <w:sz w:val="22"/>
          <w:szCs w:val="22"/>
        </w:rPr>
        <w:t xml:space="preserve"> found that this would </w:t>
      </w:r>
      <w:r>
        <w:rPr>
          <w:rFonts w:cstheme="minorHAnsi"/>
          <w:sz w:val="22"/>
          <w:szCs w:val="22"/>
        </w:rPr>
        <w:t>affect</w:t>
      </w:r>
      <w:r w:rsidRPr="00CC1ADD">
        <w:rPr>
          <w:rFonts w:cstheme="minorHAnsi"/>
          <w:sz w:val="22"/>
          <w:szCs w:val="22"/>
        </w:rPr>
        <w:t xml:space="preserve"> relatively few products (</w:t>
      </w:r>
      <w:r>
        <w:rPr>
          <w:rFonts w:cstheme="minorHAnsi"/>
          <w:sz w:val="22"/>
          <w:szCs w:val="22"/>
        </w:rPr>
        <w:t>4</w:t>
      </w:r>
      <w:r w:rsidRPr="00CC1ADD">
        <w:rPr>
          <w:rFonts w:cstheme="minorHAnsi"/>
          <w:sz w:val="22"/>
          <w:szCs w:val="22"/>
        </w:rPr>
        <w:t>%</w:t>
      </w:r>
      <w:r>
        <w:rPr>
          <w:rFonts w:cstheme="minorHAnsi"/>
          <w:sz w:val="22"/>
          <w:szCs w:val="22"/>
        </w:rPr>
        <w:t xml:space="preserve"> of the products in the TAG database</w:t>
      </w:r>
      <w:r w:rsidRPr="00CC1ADD">
        <w:rPr>
          <w:rFonts w:cstheme="minorHAnsi"/>
          <w:sz w:val="22"/>
          <w:szCs w:val="22"/>
        </w:rPr>
        <w:t>)</w:t>
      </w:r>
      <w:r>
        <w:rPr>
          <w:rFonts w:cstheme="minorHAnsi"/>
          <w:sz w:val="22"/>
          <w:szCs w:val="22"/>
        </w:rPr>
        <w:t>. However, 56% of these were FFG products, including breakfast cereals, flours, custards and yoghurts, savoury biscuits, plant-based proteins, meats and processed vegetables. These products were disproportionately impacted by this change, with three products losing 1.5 stars and 70 products losing one star.</w:t>
      </w:r>
    </w:p>
    <w:p w14:paraId="77BCC133" w14:textId="77777777" w:rsidR="00F37134" w:rsidRDefault="00F37134" w:rsidP="00F37134">
      <w:pPr>
        <w:rPr>
          <w:rFonts w:cstheme="minorHAnsi"/>
          <w:sz w:val="22"/>
          <w:szCs w:val="22"/>
        </w:rPr>
      </w:pPr>
    </w:p>
    <w:p w14:paraId="1F4CB824" w14:textId="77777777" w:rsidR="00F37134" w:rsidRPr="00CC1ADD" w:rsidRDefault="00F37134" w:rsidP="00F37134">
      <w:pPr>
        <w:rPr>
          <w:rFonts w:cstheme="minorHAnsi"/>
          <w:sz w:val="22"/>
          <w:szCs w:val="22"/>
        </w:rPr>
      </w:pPr>
      <w:r>
        <w:rPr>
          <w:rFonts w:cstheme="minorHAnsi"/>
          <w:sz w:val="22"/>
          <w:szCs w:val="22"/>
        </w:rPr>
        <w:t>Decreasing the protein threshold</w:t>
      </w:r>
      <w:r w:rsidRPr="00CC1ADD">
        <w:rPr>
          <w:rFonts w:cstheme="minorHAnsi"/>
          <w:sz w:val="22"/>
          <w:szCs w:val="22"/>
        </w:rPr>
        <w:t xml:space="preserve"> also reduces differentiation between products with significantly different nutrient profiles by reducing the consideration of one positive component and increasing the emphasis on negative components.</w:t>
      </w:r>
    </w:p>
    <w:p w14:paraId="5D41053C" w14:textId="77777777" w:rsidR="00F37134" w:rsidRDefault="00F37134" w:rsidP="00F37134">
      <w:pPr>
        <w:pStyle w:val="mpcNormal"/>
        <w:keepNext w:val="0"/>
      </w:pPr>
    </w:p>
    <w:p w14:paraId="2272A591" w14:textId="77777777" w:rsidR="00F37134" w:rsidRPr="00CC1ADD" w:rsidRDefault="00F37134" w:rsidP="00F37134">
      <w:pPr>
        <w:rPr>
          <w:rFonts w:cstheme="minorHAnsi"/>
          <w:sz w:val="22"/>
          <w:szCs w:val="22"/>
        </w:rPr>
      </w:pPr>
      <w:r w:rsidRPr="00CC1ADD">
        <w:rPr>
          <w:rFonts w:cstheme="minorHAnsi"/>
          <w:sz w:val="22"/>
          <w:szCs w:val="22"/>
        </w:rPr>
        <w:t>For example, a ready to eat wholegrain breakfast cereal</w:t>
      </w:r>
      <w:r>
        <w:rPr>
          <w:rFonts w:cstheme="minorHAnsi"/>
          <w:sz w:val="22"/>
          <w:szCs w:val="22"/>
        </w:rPr>
        <w:t xml:space="preserve"> that </w:t>
      </w:r>
      <w:r w:rsidRPr="00CC1ADD">
        <w:rPr>
          <w:rFonts w:cstheme="minorHAnsi"/>
          <w:sz w:val="22"/>
          <w:szCs w:val="22"/>
        </w:rPr>
        <w:t xml:space="preserve">contains 8.7% protein from wholegrain and nuts and 18.2% sugars would see a reduction to its HSR from 4 to 3. However, a ready to eat wholegrain chocolate flavoured breakfast cereal </w:t>
      </w:r>
      <w:r>
        <w:rPr>
          <w:rFonts w:cstheme="minorHAnsi"/>
          <w:sz w:val="22"/>
          <w:szCs w:val="22"/>
        </w:rPr>
        <w:t>that</w:t>
      </w:r>
      <w:r w:rsidRPr="00CC1ADD">
        <w:rPr>
          <w:rFonts w:cstheme="minorHAnsi"/>
          <w:sz w:val="22"/>
          <w:szCs w:val="22"/>
        </w:rPr>
        <w:t xml:space="preserve"> contains less protein (7.8%) and significantly higher sugars (29.9%) would also achieve an HSR of 3, implying to consumers that these products are of equivalent nutritional value. </w:t>
      </w:r>
    </w:p>
    <w:p w14:paraId="23466C31" w14:textId="77777777" w:rsidR="00F37134" w:rsidRDefault="00F37134" w:rsidP="00F37134">
      <w:pPr>
        <w:rPr>
          <w:rFonts w:cstheme="minorHAnsi"/>
          <w:sz w:val="22"/>
          <w:szCs w:val="22"/>
        </w:rPr>
      </w:pPr>
    </w:p>
    <w:p w14:paraId="5FB15656" w14:textId="77777777" w:rsidR="00F37134" w:rsidRPr="00707297" w:rsidRDefault="00F37134" w:rsidP="00F37134">
      <w:pPr>
        <w:rPr>
          <w:b/>
          <w:color w:val="000000" w:themeColor="text1"/>
          <w:sz w:val="22"/>
          <w:szCs w:val="22"/>
        </w:rPr>
      </w:pPr>
      <w:r w:rsidRPr="00707297">
        <w:rPr>
          <w:b/>
          <w:color w:val="000000" w:themeColor="text1"/>
          <w:sz w:val="22"/>
          <w:szCs w:val="22"/>
        </w:rPr>
        <w:t>Conclusion</w:t>
      </w:r>
    </w:p>
    <w:p w14:paraId="314A0679" w14:textId="77777777" w:rsidR="00F37134" w:rsidRPr="00CC1ADD" w:rsidRDefault="00F37134" w:rsidP="00F37134">
      <w:pPr>
        <w:rPr>
          <w:rFonts w:cstheme="minorHAnsi"/>
          <w:sz w:val="22"/>
          <w:szCs w:val="22"/>
        </w:rPr>
      </w:pPr>
    </w:p>
    <w:p w14:paraId="7FE712A4" w14:textId="77777777" w:rsidR="00F37134" w:rsidRDefault="00F37134" w:rsidP="00F37134">
      <w:pPr>
        <w:rPr>
          <w:rFonts w:cstheme="minorHAnsi"/>
          <w:sz w:val="22"/>
          <w:szCs w:val="22"/>
        </w:rPr>
      </w:pPr>
      <w:r w:rsidRPr="00CC1ADD">
        <w:rPr>
          <w:rFonts w:cstheme="minorHAnsi"/>
          <w:sz w:val="22"/>
          <w:szCs w:val="22"/>
        </w:rPr>
        <w:t>Rather than make changes to protein, the Review has proposed changes to the treatment of sugars and sodium</w:t>
      </w:r>
      <w:r>
        <w:rPr>
          <w:rFonts w:cstheme="minorHAnsi"/>
          <w:sz w:val="22"/>
          <w:szCs w:val="22"/>
        </w:rPr>
        <w:t xml:space="preserve">. This better </w:t>
      </w:r>
      <w:r w:rsidRPr="00CC1ADD">
        <w:rPr>
          <w:rFonts w:cstheme="minorHAnsi"/>
          <w:sz w:val="22"/>
          <w:szCs w:val="22"/>
        </w:rPr>
        <w:t>target</w:t>
      </w:r>
      <w:r>
        <w:rPr>
          <w:rFonts w:cstheme="minorHAnsi"/>
          <w:sz w:val="22"/>
          <w:szCs w:val="22"/>
        </w:rPr>
        <w:t xml:space="preserve">s the </w:t>
      </w:r>
      <w:r w:rsidRPr="00CC1ADD">
        <w:rPr>
          <w:rFonts w:cstheme="minorHAnsi"/>
          <w:sz w:val="22"/>
          <w:szCs w:val="22"/>
        </w:rPr>
        <w:t>products of concern</w:t>
      </w:r>
      <w:r>
        <w:rPr>
          <w:rFonts w:cstheme="minorHAnsi"/>
          <w:sz w:val="22"/>
          <w:szCs w:val="22"/>
        </w:rPr>
        <w:t>, without disproportionately impacting FFG products</w:t>
      </w:r>
      <w:r w:rsidRPr="00CC1ADD">
        <w:rPr>
          <w:rFonts w:cstheme="minorHAnsi"/>
          <w:sz w:val="22"/>
          <w:szCs w:val="22"/>
        </w:rPr>
        <w:t>.</w:t>
      </w:r>
    </w:p>
    <w:p w14:paraId="5EC310BE" w14:textId="77777777" w:rsidR="00F37134" w:rsidRDefault="00F37134" w:rsidP="00F37134">
      <w:pPr>
        <w:rPr>
          <w:rFonts w:cstheme="minorHAnsi"/>
          <w:sz w:val="22"/>
          <w:szCs w:val="22"/>
        </w:rPr>
      </w:pPr>
    </w:p>
    <w:p w14:paraId="7C6629E7" w14:textId="77777777" w:rsidR="00F37134" w:rsidRPr="006B533C" w:rsidRDefault="00F37134" w:rsidP="0029129A">
      <w:pPr>
        <w:pStyle w:val="mpcheading2"/>
        <w:keepNext/>
        <w:spacing w:after="0"/>
      </w:pPr>
      <w:bookmarkStart w:id="190" w:name="Negative"/>
      <w:bookmarkStart w:id="191" w:name="_Toc9955088"/>
      <w:bookmarkEnd w:id="190"/>
      <w:r w:rsidRPr="006B533C">
        <w:t>Negative components</w:t>
      </w:r>
      <w:bookmarkEnd w:id="191"/>
    </w:p>
    <w:p w14:paraId="76627DCC" w14:textId="77777777" w:rsidR="00F37134" w:rsidRDefault="00F37134" w:rsidP="0029129A">
      <w:pPr>
        <w:pStyle w:val="mpcbullets1"/>
        <w:numPr>
          <w:ilvl w:val="0"/>
          <w:numId w:val="0"/>
        </w:numPr>
        <w:ind w:left="360"/>
      </w:pPr>
    </w:p>
    <w:p w14:paraId="3B80F71E" w14:textId="77777777" w:rsidR="00F37134" w:rsidRDefault="00F37134" w:rsidP="0029129A">
      <w:pPr>
        <w:pStyle w:val="mpcheading3"/>
        <w:keepNext/>
      </w:pPr>
      <w:r>
        <w:t>Including added sugars in the HSR Calculator</w:t>
      </w:r>
    </w:p>
    <w:p w14:paraId="5D95050D" w14:textId="77777777" w:rsidR="00F37134" w:rsidRDefault="00F37134" w:rsidP="0029129A">
      <w:pPr>
        <w:pStyle w:val="mpcNormal"/>
      </w:pPr>
    </w:p>
    <w:p w14:paraId="38EFA4AE" w14:textId="77777777" w:rsidR="00F37134" w:rsidRDefault="00F37134" w:rsidP="0029129A">
      <w:pPr>
        <w:pStyle w:val="mpcheading4"/>
      </w:pPr>
      <w:r>
        <w:t xml:space="preserve">Issue </w:t>
      </w:r>
    </w:p>
    <w:p w14:paraId="5C8D82B2" w14:textId="77777777" w:rsidR="00F37134" w:rsidRDefault="00F37134" w:rsidP="00F37134">
      <w:pPr>
        <w:pStyle w:val="mpcNormal"/>
        <w:keepNext w:val="0"/>
      </w:pPr>
    </w:p>
    <w:p w14:paraId="3BDBDE8D" w14:textId="77777777" w:rsidR="00F37134" w:rsidRPr="00CC1ADD" w:rsidRDefault="00F37134" w:rsidP="00F37134">
      <w:pPr>
        <w:pStyle w:val="mpcNormal"/>
        <w:keepNext w:val="0"/>
        <w:widowControl w:val="0"/>
      </w:pPr>
      <w:r>
        <w:t>M</w:t>
      </w:r>
      <w:r w:rsidRPr="00CC1ADD">
        <w:t xml:space="preserve">any stakeholders advocated for the inclusion of added or free sugars in the HSR System to better align with Dietary Guideline recommendations to reduce intake of added sugars. </w:t>
      </w:r>
    </w:p>
    <w:p w14:paraId="7CF592AC" w14:textId="77777777" w:rsidR="00F37134" w:rsidRDefault="00F37134" w:rsidP="00F37134">
      <w:pPr>
        <w:pStyle w:val="mpcNormal"/>
        <w:keepNext w:val="0"/>
      </w:pPr>
    </w:p>
    <w:p w14:paraId="7408CD50" w14:textId="77777777" w:rsidR="00F37134" w:rsidRDefault="00F37134" w:rsidP="00F37134">
      <w:pPr>
        <w:pStyle w:val="mpcheading4"/>
      </w:pPr>
      <w:r>
        <w:t>Options explored</w:t>
      </w:r>
    </w:p>
    <w:p w14:paraId="10B96795" w14:textId="77777777" w:rsidR="00F37134" w:rsidRDefault="00F37134" w:rsidP="00F37134">
      <w:pPr>
        <w:pStyle w:val="mpcNormal"/>
        <w:keepNext w:val="0"/>
      </w:pPr>
    </w:p>
    <w:p w14:paraId="33C779CD" w14:textId="77777777" w:rsidR="00F37134" w:rsidRPr="00CC1ADD" w:rsidRDefault="00F37134" w:rsidP="00F37134">
      <w:pPr>
        <w:pStyle w:val="mpcNormal"/>
        <w:keepNext w:val="0"/>
        <w:widowControl w:val="0"/>
      </w:pPr>
      <w:r w:rsidRPr="00CC1ADD">
        <w:t xml:space="preserve">The Review considered various ways to include </w:t>
      </w:r>
      <w:r>
        <w:t xml:space="preserve">added </w:t>
      </w:r>
      <w:r w:rsidRPr="00CC1ADD">
        <w:t>sugars in the HSR Calculator</w:t>
      </w:r>
      <w:r>
        <w:t xml:space="preserve"> including</w:t>
      </w:r>
      <w:r w:rsidRPr="00CC1ADD">
        <w:t>:</w:t>
      </w:r>
    </w:p>
    <w:p w14:paraId="06986992" w14:textId="77777777" w:rsidR="00F37134" w:rsidRPr="00CC1ADD" w:rsidRDefault="00F37134" w:rsidP="00F37134">
      <w:pPr>
        <w:pStyle w:val="mpcNormal"/>
        <w:keepNext w:val="0"/>
        <w:widowControl w:val="0"/>
      </w:pPr>
    </w:p>
    <w:p w14:paraId="2016AD14" w14:textId="77777777" w:rsidR="00F37134" w:rsidRPr="00356789" w:rsidRDefault="00F37134" w:rsidP="00F37134">
      <w:pPr>
        <w:pStyle w:val="mpcbullets1"/>
      </w:pPr>
      <w:r w:rsidRPr="00356789">
        <w:t>substituting total sugars for added sugars</w:t>
      </w:r>
      <w:r>
        <w:t xml:space="preserve"> (without changing the points table)</w:t>
      </w:r>
    </w:p>
    <w:p w14:paraId="20FAA418" w14:textId="77777777" w:rsidR="00F37134" w:rsidRPr="00356789" w:rsidRDefault="00F37134" w:rsidP="00F37134">
      <w:pPr>
        <w:pStyle w:val="mpcbullets2"/>
      </w:pPr>
      <w:r w:rsidRPr="00356789">
        <w:t>The main disadvantage being a mean increase in HSRs across most product categories and increases to the HSRs for a number of products of concern to consumers.</w:t>
      </w:r>
    </w:p>
    <w:p w14:paraId="4A75FFAA" w14:textId="77777777" w:rsidR="00F37134" w:rsidRPr="00BF476F" w:rsidRDefault="00F37134" w:rsidP="00F37134">
      <w:pPr>
        <w:pStyle w:val="mpcbullets1"/>
      </w:pPr>
      <w:r w:rsidRPr="00BF476F">
        <w:t xml:space="preserve">using a combination of total sugars and added sugars such that if a product had any added sugars, the total sugars would be penalised more harshly. </w:t>
      </w:r>
    </w:p>
    <w:p w14:paraId="2BDDF985" w14:textId="77777777" w:rsidR="00F37134" w:rsidRDefault="00F37134" w:rsidP="00F37134">
      <w:pPr>
        <w:pStyle w:val="mpcbullets2"/>
      </w:pPr>
      <w:r>
        <w:t>For example, a product with no added sugars would use the 22 point sugars table, yet a product with any added sugars (i.e. 2% added sugars) would use the 25 point sugars table.</w:t>
      </w:r>
    </w:p>
    <w:p w14:paraId="7DBA3835" w14:textId="77777777" w:rsidR="00F37134" w:rsidRDefault="00F37134" w:rsidP="00F37134">
      <w:pPr>
        <w:pStyle w:val="mpcbullets2"/>
      </w:pPr>
      <w:r>
        <w:t xml:space="preserve">The main disadvantages of this option are the increased complexity (with little difference in impact compared to the recommended approach of strengthening the penalisation of total sugars) and disproportionate impact on products with very small amounts of added sugars. </w:t>
      </w:r>
    </w:p>
    <w:p w14:paraId="6C0B41BC" w14:textId="77777777" w:rsidR="00F37134" w:rsidRDefault="00F37134" w:rsidP="00F37134">
      <w:pPr>
        <w:pStyle w:val="mpcbullets2"/>
      </w:pPr>
      <w:r>
        <w:t>Options that use a sliding scale of total sugars and added sugars create further complexity and provide little flexibility where the amount of added sugars may vary.</w:t>
      </w:r>
    </w:p>
    <w:p w14:paraId="06E5CC80" w14:textId="77777777" w:rsidR="00F37134" w:rsidRDefault="00F37134" w:rsidP="00F37134">
      <w:pPr>
        <w:pStyle w:val="mpcNormal"/>
        <w:keepNext w:val="0"/>
      </w:pPr>
    </w:p>
    <w:p w14:paraId="38E30013" w14:textId="77777777" w:rsidR="00F37134" w:rsidRDefault="00F37134" w:rsidP="00F37134">
      <w:pPr>
        <w:pStyle w:val="mpcheading4"/>
      </w:pPr>
      <w:r>
        <w:t>Conclusion</w:t>
      </w:r>
    </w:p>
    <w:p w14:paraId="7786ADDE" w14:textId="77777777" w:rsidR="00F37134" w:rsidRDefault="00F37134" w:rsidP="00F37134">
      <w:pPr>
        <w:pStyle w:val="mpcNormal"/>
        <w:keepNext w:val="0"/>
      </w:pPr>
    </w:p>
    <w:p w14:paraId="04C91D1B" w14:textId="77777777" w:rsidR="00F37134" w:rsidRDefault="00F37134" w:rsidP="00F37134">
      <w:pPr>
        <w:widowControl w:val="0"/>
        <w:rPr>
          <w:rFonts w:cstheme="minorHAnsi"/>
          <w:sz w:val="22"/>
          <w:szCs w:val="22"/>
        </w:rPr>
      </w:pPr>
      <w:r>
        <w:rPr>
          <w:rFonts w:cstheme="minorHAnsi"/>
          <w:sz w:val="22"/>
          <w:szCs w:val="22"/>
        </w:rPr>
        <w:t>While the</w:t>
      </w:r>
      <w:r w:rsidRPr="00CC1ADD">
        <w:rPr>
          <w:rFonts w:cstheme="minorHAnsi"/>
          <w:sz w:val="22"/>
          <w:szCs w:val="22"/>
        </w:rPr>
        <w:t xml:space="preserve"> </w:t>
      </w:r>
      <w:r>
        <w:rPr>
          <w:rFonts w:cstheme="minorHAnsi"/>
          <w:sz w:val="22"/>
          <w:szCs w:val="22"/>
        </w:rPr>
        <w:t xml:space="preserve">potential </w:t>
      </w:r>
      <w:r w:rsidRPr="00CC1ADD">
        <w:rPr>
          <w:rFonts w:cstheme="minorHAnsi"/>
          <w:sz w:val="22"/>
          <w:szCs w:val="22"/>
        </w:rPr>
        <w:t xml:space="preserve">benefits of </w:t>
      </w:r>
      <w:r>
        <w:rPr>
          <w:rFonts w:cstheme="minorHAnsi"/>
          <w:sz w:val="22"/>
          <w:szCs w:val="22"/>
        </w:rPr>
        <w:t>including added sugars in the HSR System are appreciated, at this point in time it is proposed that</w:t>
      </w:r>
      <w:r w:rsidRPr="00AE7C94">
        <w:rPr>
          <w:rFonts w:cstheme="minorHAnsi"/>
          <w:sz w:val="22"/>
          <w:szCs w:val="22"/>
        </w:rPr>
        <w:t xml:space="preserve"> strengthen</w:t>
      </w:r>
      <w:r>
        <w:rPr>
          <w:rFonts w:cstheme="minorHAnsi"/>
          <w:sz w:val="22"/>
          <w:szCs w:val="22"/>
        </w:rPr>
        <w:t>ing</w:t>
      </w:r>
      <w:r w:rsidRPr="00AE7C94">
        <w:rPr>
          <w:rFonts w:cstheme="minorHAnsi"/>
          <w:sz w:val="22"/>
          <w:szCs w:val="22"/>
        </w:rPr>
        <w:t xml:space="preserve"> the penalisation of total sugars</w:t>
      </w:r>
      <w:r>
        <w:rPr>
          <w:rFonts w:cstheme="minorHAnsi"/>
          <w:sz w:val="22"/>
          <w:szCs w:val="22"/>
        </w:rPr>
        <w:t xml:space="preserve"> can achieve the desired impact with reduced technical complexity, as:</w:t>
      </w:r>
    </w:p>
    <w:p w14:paraId="326E473D" w14:textId="77777777" w:rsidR="00F37134" w:rsidRPr="00CC1ADD" w:rsidRDefault="00F37134" w:rsidP="00F37134">
      <w:pPr>
        <w:pStyle w:val="mpcNormal"/>
        <w:keepNext w:val="0"/>
        <w:widowControl w:val="0"/>
      </w:pPr>
    </w:p>
    <w:p w14:paraId="4BAFAC00" w14:textId="77777777" w:rsidR="00F37134" w:rsidRPr="00CC1ADD" w:rsidRDefault="00F37134" w:rsidP="00F37134">
      <w:pPr>
        <w:pStyle w:val="mpcbullets1"/>
      </w:pPr>
      <w:r w:rsidRPr="00CC1ADD">
        <w:t>added sugars are already indirectly targeted in the HSR System by the inclusion of FVNL and protein in the Calculator, which offset the intrinsic sugars present in fruits and dairy products</w:t>
      </w:r>
    </w:p>
    <w:p w14:paraId="2D6668B9" w14:textId="77777777" w:rsidR="00F37134" w:rsidRPr="00CC1ADD" w:rsidRDefault="00F37134" w:rsidP="00F37134">
      <w:pPr>
        <w:pStyle w:val="mpcbullets2"/>
      </w:pPr>
      <w:r w:rsidRPr="00CC1ADD">
        <w:t>This is supported by modelling, which shows that changes to the strength of the total sugars table impact on discretionary foods and foods containing added sugars, including: breakfast cereals; muesli and cereal bars; sweetened flavoured milks and yoghurts; dairy</w:t>
      </w:r>
      <w:r>
        <w:t>-</w:t>
      </w:r>
      <w:r w:rsidRPr="00CC1ADD">
        <w:t>based desserts, cream cheeses, custards, ice creams; sugar-based desserts, sweet biscuits and cakes; ice creams; sugar-based confectionery; mayonnaise and savoury sauces.</w:t>
      </w:r>
    </w:p>
    <w:p w14:paraId="4CCC4A30" w14:textId="77777777" w:rsidR="00F37134" w:rsidRPr="00CC1ADD" w:rsidRDefault="00F37134" w:rsidP="00F37134">
      <w:pPr>
        <w:pStyle w:val="mpcbullets1"/>
      </w:pPr>
      <w:r w:rsidRPr="00CC1ADD">
        <w:t xml:space="preserve">the NIP is legally required to display the amount of total sugars in a product </w:t>
      </w:r>
      <w:r>
        <w:t>rather than added sugars</w:t>
      </w:r>
    </w:p>
    <w:p w14:paraId="5446EA21" w14:textId="77777777" w:rsidR="00F37134" w:rsidRPr="00750858" w:rsidRDefault="00F37134" w:rsidP="00F37134">
      <w:pPr>
        <w:pStyle w:val="mpcbullets2"/>
      </w:pPr>
      <w:r>
        <w:t xml:space="preserve">In </w:t>
      </w:r>
      <w:r w:rsidRPr="00750858">
        <w:t xml:space="preserve">Australia and New Zealand there is currently no agreed definition of added sugars. </w:t>
      </w:r>
    </w:p>
    <w:p w14:paraId="3F90D3E6" w14:textId="77777777" w:rsidR="00F37134" w:rsidRPr="00750858" w:rsidRDefault="00F37134" w:rsidP="00F37134">
      <w:pPr>
        <w:pStyle w:val="mpcbullets2"/>
      </w:pPr>
      <w:r w:rsidRPr="00750858">
        <w:t xml:space="preserve">Moving to added sugars in the HSR System would be a significant change and a potential barrier to uptake for industry (in terms of quantifying added sugars rather than total sugars). </w:t>
      </w:r>
    </w:p>
    <w:p w14:paraId="321DE537" w14:textId="77777777" w:rsidR="00F37134" w:rsidRPr="00750858" w:rsidRDefault="00F37134" w:rsidP="00F37134">
      <w:pPr>
        <w:pStyle w:val="mpcbullets2"/>
      </w:pPr>
      <w:r w:rsidRPr="00750858">
        <w:t xml:space="preserve">There is currently no analytical method for measuring only the added sugars of a product, as this is indistinguishable when conducting a nutrient analysis. </w:t>
      </w:r>
    </w:p>
    <w:p w14:paraId="3FEF2D79" w14:textId="77777777" w:rsidR="00F37134" w:rsidRPr="00CC1ADD" w:rsidRDefault="00F37134" w:rsidP="00F37134">
      <w:pPr>
        <w:pStyle w:val="mpcbullets2"/>
      </w:pPr>
      <w:r w:rsidRPr="00750858">
        <w:t>Methods would be needed to quantify added sugars. Some stakeholders have noted that added sugars content may be estimated from ingredients lists and that both the United States and</w:t>
      </w:r>
      <w:r w:rsidRPr="00CC1ADD">
        <w:t xml:space="preserve"> the UK are exploring methods to quantify added sugars.</w:t>
      </w:r>
    </w:p>
    <w:p w14:paraId="55B0412A" w14:textId="77777777" w:rsidR="00F37134" w:rsidRPr="00CC1ADD" w:rsidRDefault="00F37134" w:rsidP="00F37134">
      <w:pPr>
        <w:pStyle w:val="mpcbullets1"/>
      </w:pPr>
      <w:r w:rsidRPr="00CC1ADD">
        <w:t>claims regarding added sugar</w:t>
      </w:r>
      <w:r>
        <w:t>s</w:t>
      </w:r>
      <w:r w:rsidRPr="00CC1ADD">
        <w:t xml:space="preserve"> cannot be verified, either by industry or jurisdictions</w:t>
      </w:r>
      <w:r>
        <w:t>. While this is also a risk for positive nutrients such as FVNL and fibre, the risk is less significant as the influence of positive components on the calculation of the HSR is less than the influence of risk components such as sugars (all other risk nutrients in the HSR Calculator are quantifiable and displayed in the NIP).</w:t>
      </w:r>
    </w:p>
    <w:p w14:paraId="65C0C9AA" w14:textId="77777777" w:rsidR="00F37134" w:rsidRPr="00CC1ADD" w:rsidRDefault="00F37134" w:rsidP="00F37134">
      <w:pPr>
        <w:pStyle w:val="mpcbullets1"/>
      </w:pPr>
      <w:r w:rsidRPr="00CC1ADD">
        <w:t xml:space="preserve">the natural sugars content of some ingredients </w:t>
      </w:r>
      <w:r>
        <w:t>can vary depending on the season. Based on this variation, manufacturers may be required to vary the amount of</w:t>
      </w:r>
      <w:r w:rsidRPr="00CC1ADD">
        <w:t xml:space="preserve"> added sugar</w:t>
      </w:r>
      <w:r>
        <w:t>s</w:t>
      </w:r>
      <w:r w:rsidRPr="00CC1ADD">
        <w:t xml:space="preserve"> in some foods, such that the added quantity cannot be consistently stated</w:t>
      </w:r>
    </w:p>
    <w:p w14:paraId="30055DB1" w14:textId="77777777" w:rsidR="00F37134" w:rsidRPr="00CC1ADD" w:rsidRDefault="00F37134" w:rsidP="00F37134">
      <w:pPr>
        <w:pStyle w:val="mpcbullets1"/>
      </w:pPr>
      <w:r w:rsidRPr="00CC1ADD">
        <w:t>added sugars are chemically identical to intrinsic sugars and are processed by the body in the same way</w:t>
      </w:r>
      <w:r w:rsidRPr="00CC1ADD">
        <w:rPr>
          <w:vertAlign w:val="superscript"/>
        </w:rPr>
        <w:footnoteReference w:id="156"/>
      </w:r>
      <w:r w:rsidRPr="00CC1ADD">
        <w:t>, such that some argue they should not be treated differently.</w:t>
      </w:r>
    </w:p>
    <w:p w14:paraId="58E82E75" w14:textId="77777777" w:rsidR="00F37134" w:rsidRPr="00CC1ADD" w:rsidRDefault="00F37134" w:rsidP="00F37134">
      <w:pPr>
        <w:pStyle w:val="mpcNormal"/>
        <w:keepNext w:val="0"/>
      </w:pPr>
    </w:p>
    <w:p w14:paraId="5E4B3291" w14:textId="77777777" w:rsidR="00F37134" w:rsidRDefault="00F37134" w:rsidP="00F37134">
      <w:pPr>
        <w:pStyle w:val="mpcNormal"/>
        <w:keepNext w:val="0"/>
      </w:pPr>
      <w:r>
        <w:t>The Review notes that t</w:t>
      </w:r>
      <w:r w:rsidRPr="00CC1ADD">
        <w:t xml:space="preserve">he </w:t>
      </w:r>
      <w:r>
        <w:t xml:space="preserve">FRSC </w:t>
      </w:r>
      <w:r w:rsidRPr="00AE7C94">
        <w:t>is currently investigating labelling approaches for providing information on added sugars in packaged foods and drinks for sale in Australia and New Zealand</w:t>
      </w:r>
      <w:r w:rsidRPr="00AE7C94">
        <w:rPr>
          <w:vertAlign w:val="superscript"/>
        </w:rPr>
        <w:footnoteReference w:id="157"/>
      </w:r>
      <w:r w:rsidRPr="00AE7C94">
        <w:t xml:space="preserve">. </w:t>
      </w:r>
      <w:r>
        <w:t>If</w:t>
      </w:r>
      <w:r w:rsidRPr="00AE7C94">
        <w:t xml:space="preserve"> </w:t>
      </w:r>
      <w:r>
        <w:t xml:space="preserve">the Forum determines that </w:t>
      </w:r>
      <w:r w:rsidRPr="00AE7C94">
        <w:t xml:space="preserve">added sugars are required to be quantified in the NIP, a future review of the HSR System </w:t>
      </w:r>
      <w:r>
        <w:t>should consider</w:t>
      </w:r>
      <w:r w:rsidRPr="00AE7C94">
        <w:t xml:space="preserve"> incorporat</w:t>
      </w:r>
      <w:r>
        <w:t>ing</w:t>
      </w:r>
      <w:r w:rsidRPr="00AE7C94">
        <w:t xml:space="preserve"> added sugars into the </w:t>
      </w:r>
      <w:r>
        <w:t xml:space="preserve">HSR </w:t>
      </w:r>
      <w:r w:rsidRPr="00AE7C94">
        <w:t xml:space="preserve">Calculator (using the definition of added sugars </w:t>
      </w:r>
      <w:r>
        <w:t xml:space="preserve">as </w:t>
      </w:r>
      <w:r w:rsidRPr="00AE7C94">
        <w:t xml:space="preserve">agreed by the </w:t>
      </w:r>
      <w:r>
        <w:t>Forum and reflected in the Code</w:t>
      </w:r>
      <w:r w:rsidRPr="00AE7C94">
        <w:t>).</w:t>
      </w:r>
    </w:p>
    <w:p w14:paraId="05DFCC61" w14:textId="77777777" w:rsidR="00F37134" w:rsidRDefault="00F37134" w:rsidP="00F37134">
      <w:pPr>
        <w:pStyle w:val="mpcNormal"/>
        <w:keepNext w:val="0"/>
      </w:pPr>
    </w:p>
    <w:p w14:paraId="75B067B2" w14:textId="77777777" w:rsidR="00F37134" w:rsidRDefault="00F37134" w:rsidP="00F37134">
      <w:pPr>
        <w:pStyle w:val="mpcheading3"/>
        <w:keepNext/>
      </w:pPr>
      <w:r>
        <w:t>Further penalisation of sodium</w:t>
      </w:r>
    </w:p>
    <w:p w14:paraId="0B871C4A" w14:textId="77777777" w:rsidR="00F37134" w:rsidRDefault="00F37134" w:rsidP="00F37134">
      <w:pPr>
        <w:keepNext/>
        <w:rPr>
          <w:sz w:val="22"/>
          <w:szCs w:val="22"/>
        </w:rPr>
      </w:pPr>
    </w:p>
    <w:p w14:paraId="595509D7" w14:textId="77777777" w:rsidR="00F37134" w:rsidRDefault="00F37134" w:rsidP="00F37134">
      <w:pPr>
        <w:pStyle w:val="mpcheading4"/>
      </w:pPr>
      <w:r>
        <w:t>Issue</w:t>
      </w:r>
    </w:p>
    <w:p w14:paraId="2E675778" w14:textId="77777777" w:rsidR="00F37134" w:rsidRDefault="00F37134" w:rsidP="00F37134">
      <w:pPr>
        <w:keepNext/>
        <w:rPr>
          <w:sz w:val="22"/>
          <w:szCs w:val="22"/>
        </w:rPr>
      </w:pPr>
    </w:p>
    <w:p w14:paraId="4D9372AE" w14:textId="77777777" w:rsidR="00F37134" w:rsidRDefault="00F37134" w:rsidP="00F37134">
      <w:pPr>
        <w:keepNext/>
        <w:rPr>
          <w:sz w:val="22"/>
          <w:szCs w:val="22"/>
        </w:rPr>
      </w:pPr>
      <w:r w:rsidRPr="00CC1ADD">
        <w:rPr>
          <w:sz w:val="22"/>
          <w:szCs w:val="22"/>
        </w:rPr>
        <w:t>While the recommendation to decrease the maximum sodium levels used to determine baseline points for sodium addresses the issue in products high in sodium, it does not impact on products with less than 900mg of sodium (which represents approximately 9</w:t>
      </w:r>
      <w:r>
        <w:rPr>
          <w:sz w:val="22"/>
          <w:szCs w:val="22"/>
        </w:rPr>
        <w:t>3</w:t>
      </w:r>
      <w:r w:rsidRPr="00CC1ADD">
        <w:rPr>
          <w:sz w:val="22"/>
          <w:szCs w:val="22"/>
        </w:rPr>
        <w:t>% of the food supply). In order to address outliers such as salty snacks and processed meats, changes would need to be made to the sodium table below the 900mg level.</w:t>
      </w:r>
    </w:p>
    <w:p w14:paraId="2CA3601E" w14:textId="77777777" w:rsidR="00F37134" w:rsidRPr="00CC1ADD" w:rsidRDefault="00F37134" w:rsidP="00F37134">
      <w:pPr>
        <w:rPr>
          <w:sz w:val="22"/>
          <w:szCs w:val="22"/>
        </w:rPr>
      </w:pPr>
    </w:p>
    <w:p w14:paraId="12AB2FC0" w14:textId="77777777" w:rsidR="00F37134" w:rsidRDefault="00F37134" w:rsidP="00F37134">
      <w:pPr>
        <w:rPr>
          <w:sz w:val="22"/>
          <w:szCs w:val="22"/>
        </w:rPr>
      </w:pPr>
      <w:r w:rsidRPr="00AF011C">
        <w:rPr>
          <w:sz w:val="22"/>
          <w:szCs w:val="22"/>
        </w:rPr>
        <w:t xml:space="preserve">A number of stakeholders supported the exploration of further adjustments to the sodium table below the 900mg/100g level. </w:t>
      </w:r>
    </w:p>
    <w:p w14:paraId="4C538BDA" w14:textId="77777777" w:rsidR="00F37134" w:rsidRDefault="00F37134" w:rsidP="00F37134">
      <w:pPr>
        <w:rPr>
          <w:sz w:val="22"/>
          <w:szCs w:val="22"/>
        </w:rPr>
      </w:pPr>
    </w:p>
    <w:p w14:paraId="3C28FF64" w14:textId="77777777" w:rsidR="00F37134" w:rsidRDefault="00F37134" w:rsidP="00F37134">
      <w:pPr>
        <w:pStyle w:val="mpcheading4"/>
      </w:pPr>
      <w:r>
        <w:t>Option explored</w:t>
      </w:r>
    </w:p>
    <w:p w14:paraId="0BDA66F7" w14:textId="77777777" w:rsidR="00F37134" w:rsidRDefault="00F37134" w:rsidP="00F37134">
      <w:pPr>
        <w:rPr>
          <w:sz w:val="22"/>
          <w:szCs w:val="22"/>
        </w:rPr>
      </w:pPr>
    </w:p>
    <w:p w14:paraId="54ACB7B8" w14:textId="77777777" w:rsidR="00F37134" w:rsidRPr="00CC1ADD" w:rsidRDefault="00F37134" w:rsidP="00F37134">
      <w:pPr>
        <w:rPr>
          <w:sz w:val="22"/>
          <w:szCs w:val="22"/>
        </w:rPr>
      </w:pPr>
      <w:r>
        <w:rPr>
          <w:sz w:val="22"/>
          <w:szCs w:val="22"/>
        </w:rPr>
        <w:t xml:space="preserve">The Review explored adjusting the sodium points tables </w:t>
      </w:r>
      <w:r w:rsidRPr="00CC1ADD">
        <w:rPr>
          <w:rFonts w:cstheme="minorHAnsi"/>
          <w:sz w:val="22"/>
          <w:szCs w:val="22"/>
        </w:rPr>
        <w:t xml:space="preserve">across all HSR </w:t>
      </w:r>
      <w:r>
        <w:rPr>
          <w:rFonts w:cstheme="minorHAnsi"/>
          <w:sz w:val="22"/>
          <w:szCs w:val="22"/>
        </w:rPr>
        <w:t>c</w:t>
      </w:r>
      <w:r w:rsidRPr="00CC1ADD">
        <w:rPr>
          <w:rFonts w:cstheme="minorHAnsi"/>
          <w:sz w:val="22"/>
          <w:szCs w:val="22"/>
        </w:rPr>
        <w:t>ategories</w:t>
      </w:r>
      <w:r>
        <w:rPr>
          <w:sz w:val="22"/>
          <w:szCs w:val="22"/>
        </w:rPr>
        <w:t xml:space="preserve"> based on </w:t>
      </w:r>
      <w:r w:rsidRPr="00CC1ADD">
        <w:rPr>
          <w:sz w:val="22"/>
          <w:szCs w:val="22"/>
        </w:rPr>
        <w:t>the recently updated sodium Nutrient Reference Values (NRVs).</w:t>
      </w:r>
    </w:p>
    <w:p w14:paraId="0110EB35" w14:textId="77777777" w:rsidR="00F37134" w:rsidRPr="00CC1ADD" w:rsidRDefault="00F37134" w:rsidP="00F37134">
      <w:pPr>
        <w:rPr>
          <w:sz w:val="22"/>
          <w:szCs w:val="22"/>
        </w:rPr>
      </w:pPr>
    </w:p>
    <w:p w14:paraId="011C102C" w14:textId="77777777" w:rsidR="00F37134" w:rsidRDefault="00F37134" w:rsidP="00F37134">
      <w:pPr>
        <w:rPr>
          <w:sz w:val="22"/>
          <w:szCs w:val="22"/>
        </w:rPr>
      </w:pPr>
      <w:r w:rsidRPr="00CC1ADD">
        <w:rPr>
          <w:sz w:val="22"/>
          <w:szCs w:val="22"/>
        </w:rPr>
        <w:t xml:space="preserve">The NRVs are a set of recommendations for nutritional intake </w:t>
      </w:r>
      <w:r>
        <w:rPr>
          <w:sz w:val="22"/>
          <w:szCs w:val="22"/>
        </w:rPr>
        <w:t>based on currently available scientific evidence</w:t>
      </w:r>
      <w:r w:rsidRPr="00CC1ADD">
        <w:rPr>
          <w:sz w:val="22"/>
          <w:szCs w:val="22"/>
        </w:rPr>
        <w:t>. In July 2017,</w:t>
      </w:r>
      <w:r>
        <w:rPr>
          <w:sz w:val="22"/>
          <w:szCs w:val="22"/>
        </w:rPr>
        <w:t xml:space="preserve"> some of</w:t>
      </w:r>
      <w:r w:rsidRPr="00CC1ADD">
        <w:rPr>
          <w:sz w:val="22"/>
          <w:szCs w:val="22"/>
        </w:rPr>
        <w:t xml:space="preserve"> the NRV</w:t>
      </w:r>
      <w:r>
        <w:rPr>
          <w:sz w:val="22"/>
          <w:szCs w:val="22"/>
        </w:rPr>
        <w:t>s</w:t>
      </w:r>
      <w:r w:rsidRPr="00CC1ADD">
        <w:rPr>
          <w:sz w:val="22"/>
          <w:szCs w:val="22"/>
        </w:rPr>
        <w:t xml:space="preserve"> for sodium w</w:t>
      </w:r>
      <w:r>
        <w:rPr>
          <w:sz w:val="22"/>
          <w:szCs w:val="22"/>
        </w:rPr>
        <w:t>ere</w:t>
      </w:r>
      <w:r w:rsidRPr="00CC1ADD">
        <w:rPr>
          <w:sz w:val="22"/>
          <w:szCs w:val="22"/>
        </w:rPr>
        <w:t xml:space="preserve"> revised by the NHMRC. The previous recommendation to limit sodium intake to less than 2,300mg per day was </w:t>
      </w:r>
      <w:r>
        <w:rPr>
          <w:sz w:val="22"/>
          <w:szCs w:val="22"/>
        </w:rPr>
        <w:t xml:space="preserve">removed and replaced by a </w:t>
      </w:r>
      <w:r w:rsidRPr="00CC1ADD">
        <w:rPr>
          <w:sz w:val="22"/>
          <w:szCs w:val="22"/>
        </w:rPr>
        <w:t>revised Suggested Dietary Target (SDT) of 2,000mg of sodium per day.</w:t>
      </w:r>
      <w:r w:rsidRPr="00CC1ADD">
        <w:rPr>
          <w:rStyle w:val="FootnoteReference"/>
          <w:sz w:val="22"/>
          <w:szCs w:val="22"/>
        </w:rPr>
        <w:footnoteReference w:id="158"/>
      </w:r>
    </w:p>
    <w:p w14:paraId="2CA51924" w14:textId="77777777" w:rsidR="00F37134" w:rsidRDefault="00F37134" w:rsidP="00F37134">
      <w:pPr>
        <w:rPr>
          <w:sz w:val="22"/>
          <w:szCs w:val="22"/>
        </w:rPr>
      </w:pPr>
    </w:p>
    <w:p w14:paraId="54C23F0C" w14:textId="77777777" w:rsidR="00F37134" w:rsidRDefault="00F37134" w:rsidP="00F37134">
      <w:pPr>
        <w:rPr>
          <w:sz w:val="22"/>
          <w:szCs w:val="22"/>
        </w:rPr>
      </w:pPr>
      <w:r>
        <w:rPr>
          <w:sz w:val="22"/>
          <w:szCs w:val="22"/>
        </w:rPr>
        <w:t xml:space="preserve">The </w:t>
      </w:r>
      <w:r w:rsidRPr="00293816">
        <w:rPr>
          <w:sz w:val="22"/>
          <w:szCs w:val="22"/>
        </w:rPr>
        <w:t>UK NPM</w:t>
      </w:r>
      <w:r>
        <w:rPr>
          <w:sz w:val="22"/>
          <w:szCs w:val="22"/>
        </w:rPr>
        <w:t xml:space="preserve">, on which the </w:t>
      </w:r>
      <w:r w:rsidRPr="00293816">
        <w:rPr>
          <w:sz w:val="22"/>
          <w:szCs w:val="22"/>
        </w:rPr>
        <w:t xml:space="preserve">NPSC </w:t>
      </w:r>
      <w:r>
        <w:rPr>
          <w:sz w:val="22"/>
          <w:szCs w:val="22"/>
        </w:rPr>
        <w:t xml:space="preserve">and the HSR System are </w:t>
      </w:r>
      <w:r w:rsidRPr="00293816">
        <w:rPr>
          <w:sz w:val="22"/>
          <w:szCs w:val="22"/>
        </w:rPr>
        <w:t>based, derives its distribution of points from an equivalent UK NRV (called Daily Reference Value, or DRV)</w:t>
      </w:r>
      <w:r>
        <w:rPr>
          <w:sz w:val="22"/>
          <w:szCs w:val="22"/>
        </w:rPr>
        <w:t xml:space="preserve">. An option was explored to adjust the sodium points tables based on the revised sodium NRV (for detail refer to the </w:t>
      </w:r>
      <w:hyperlink r:id="rId142" w:history="1">
        <w:r w:rsidRPr="00293816">
          <w:rPr>
            <w:rStyle w:val="Hyperlink"/>
            <w:sz w:val="22"/>
            <w:szCs w:val="22"/>
          </w:rPr>
          <w:t>Draft Review Report</w:t>
        </w:r>
      </w:hyperlink>
      <w:r>
        <w:rPr>
          <w:sz w:val="22"/>
          <w:szCs w:val="22"/>
        </w:rPr>
        <w:t>).</w:t>
      </w:r>
    </w:p>
    <w:p w14:paraId="3AF98D0F" w14:textId="77777777" w:rsidR="00F37134" w:rsidRPr="00CC1ADD" w:rsidRDefault="00F37134" w:rsidP="00F37134">
      <w:pPr>
        <w:pStyle w:val="mpcNormal"/>
        <w:keepNext w:val="0"/>
      </w:pPr>
    </w:p>
    <w:p w14:paraId="12A54494" w14:textId="77777777" w:rsidR="00F37134" w:rsidRPr="00CC1ADD" w:rsidRDefault="00F37134" w:rsidP="00F37134">
      <w:pPr>
        <w:pStyle w:val="mpcNormal"/>
        <w:keepNext w:val="0"/>
      </w:pPr>
      <w:r w:rsidRPr="00CC1ADD">
        <w:t xml:space="preserve">Based on TAG modelling, this change would </w:t>
      </w:r>
      <w:r>
        <w:t xml:space="preserve">have </w:t>
      </w:r>
      <w:r w:rsidRPr="00CC1ADD">
        <w:t>decrease</w:t>
      </w:r>
      <w:r>
        <w:t xml:space="preserve">d </w:t>
      </w:r>
      <w:r w:rsidRPr="00CC1ADD">
        <w:t xml:space="preserve">the HSRs for </w:t>
      </w:r>
      <w:r>
        <w:t>a large number of products (</w:t>
      </w:r>
      <w:r w:rsidRPr="00CC1ADD">
        <w:t>20% of the foods in the TAG database</w:t>
      </w:r>
      <w:r>
        <w:t>)</w:t>
      </w:r>
      <w:r w:rsidRPr="00CC1ADD">
        <w:t>, with decrease</w:t>
      </w:r>
      <w:r>
        <w:t>s</w:t>
      </w:r>
      <w:r w:rsidRPr="00CC1ADD">
        <w:t xml:space="preserve"> of</w:t>
      </w:r>
      <w:r>
        <w:t xml:space="preserve"> up to</w:t>
      </w:r>
      <w:r w:rsidRPr="00CC1ADD">
        <w:t xml:space="preserve"> 1.5 stars across a range of product categories. Most (90%) of the products would only decrease by 0.5 and seven products would see the maximum decrease of 1.5 (including two breakfast cereals, an extruded snack, a yeast spread, two processed meats and a meat substitute).</w:t>
      </w:r>
    </w:p>
    <w:p w14:paraId="6944AA38" w14:textId="77777777" w:rsidR="00F37134" w:rsidRDefault="00F37134" w:rsidP="00F37134">
      <w:pPr>
        <w:pStyle w:val="mpcNormal"/>
        <w:keepNext w:val="0"/>
      </w:pPr>
    </w:p>
    <w:p w14:paraId="0A4318FD" w14:textId="77777777" w:rsidR="00F37134" w:rsidRDefault="00F37134" w:rsidP="00F37134">
      <w:pPr>
        <w:pStyle w:val="mpcNormal"/>
        <w:keepNext w:val="0"/>
      </w:pPr>
      <w:r>
        <w:t>Sixty percent of the p</w:t>
      </w:r>
      <w:r w:rsidRPr="00CC1ADD">
        <w:t xml:space="preserve">roducts impacted </w:t>
      </w:r>
      <w:r>
        <w:t>were</w:t>
      </w:r>
      <w:r w:rsidRPr="00CC1ADD">
        <w:t xml:space="preserve"> FFG foods such as: breads, breakfast cereals, pastas and grains, cheeses, meats and fish, nuts and processed vegetables.</w:t>
      </w:r>
      <w:r>
        <w:t xml:space="preserve"> It</w:t>
      </w:r>
      <w:r w:rsidRPr="00CC1ADD">
        <w:t xml:space="preserve"> would also impact a number of other products including bakery/cake products, biscuits, snacks (such as muesli bars and salty snacks), dips, desserts, sauces and condiments, soups and stocks and fats</w:t>
      </w:r>
      <w:r w:rsidRPr="00851ECF">
        <w:t>, oils and spreads.</w:t>
      </w:r>
    </w:p>
    <w:p w14:paraId="4B2251F0" w14:textId="77777777" w:rsidR="00F37134" w:rsidRDefault="00F37134" w:rsidP="00F37134">
      <w:pPr>
        <w:pStyle w:val="mpcNormal"/>
        <w:keepNext w:val="0"/>
      </w:pPr>
    </w:p>
    <w:p w14:paraId="7EAE4E95" w14:textId="77777777" w:rsidR="00F37134" w:rsidRDefault="00F37134" w:rsidP="00F37134">
      <w:pPr>
        <w:pStyle w:val="mpcheading4"/>
      </w:pPr>
      <w:r>
        <w:t>Conclusion</w:t>
      </w:r>
    </w:p>
    <w:p w14:paraId="0009A7A3" w14:textId="77777777" w:rsidR="00F37134" w:rsidRDefault="00F37134" w:rsidP="00F37134">
      <w:pPr>
        <w:pStyle w:val="mpcNormal"/>
      </w:pPr>
    </w:p>
    <w:p w14:paraId="0D70D549" w14:textId="45F27F45" w:rsidR="00F37134" w:rsidRDefault="00F37134" w:rsidP="00F37134">
      <w:pPr>
        <w:pStyle w:val="mpcNormal"/>
        <w:keepNext w:val="0"/>
      </w:pPr>
      <w:r>
        <w:t xml:space="preserve">While </w:t>
      </w:r>
      <w:r w:rsidR="00E33AD3">
        <w:t>a</w:t>
      </w:r>
      <w:r>
        <w:t xml:space="preserve"> </w:t>
      </w:r>
      <w:r w:rsidRPr="00CC1ADD">
        <w:t xml:space="preserve">revised sodium points </w:t>
      </w:r>
      <w:r>
        <w:t xml:space="preserve">table has the potential to improve </w:t>
      </w:r>
      <w:r w:rsidRPr="00CC1ADD">
        <w:t>consumers’ ability to differentiate between foods based on sodium</w:t>
      </w:r>
      <w:r>
        <w:t xml:space="preserve">, it negatively impacts a large number of FFG products. </w:t>
      </w:r>
    </w:p>
    <w:p w14:paraId="3CB3066C" w14:textId="77777777" w:rsidR="00F37134" w:rsidRDefault="00F37134" w:rsidP="00F37134">
      <w:pPr>
        <w:pStyle w:val="mpcNormal"/>
        <w:keepNext w:val="0"/>
      </w:pPr>
    </w:p>
    <w:p w14:paraId="3B0A2782" w14:textId="77777777" w:rsidR="00F37134" w:rsidRDefault="00F37134" w:rsidP="00F37134">
      <w:pPr>
        <w:pStyle w:val="mpcNormal"/>
        <w:keepNext w:val="0"/>
      </w:pPr>
      <w:r>
        <w:t>Other disadvantages of this option include that:</w:t>
      </w:r>
    </w:p>
    <w:p w14:paraId="0F9A786D" w14:textId="77777777" w:rsidR="00F37134" w:rsidRDefault="00F37134" w:rsidP="00F37134">
      <w:pPr>
        <w:pStyle w:val="mpcNormal"/>
        <w:keepNext w:val="0"/>
      </w:pPr>
    </w:p>
    <w:p w14:paraId="340AAB0A" w14:textId="77777777" w:rsidR="00F37134" w:rsidRDefault="00F37134" w:rsidP="00F37134">
      <w:pPr>
        <w:pStyle w:val="mpcNormal"/>
        <w:keepNext w:val="0"/>
        <w:numPr>
          <w:ilvl w:val="0"/>
          <w:numId w:val="23"/>
        </w:numPr>
      </w:pPr>
      <w:r>
        <w:t>the strength of this points table risks overemphasising sodium such that other nutrients have a reduced impact on a product’s HSR</w:t>
      </w:r>
    </w:p>
    <w:p w14:paraId="18507660" w14:textId="77777777" w:rsidR="00F37134" w:rsidRDefault="00F37134" w:rsidP="00F37134">
      <w:pPr>
        <w:pStyle w:val="mpcNormal"/>
        <w:keepNext w:val="0"/>
        <w:numPr>
          <w:ilvl w:val="0"/>
          <w:numId w:val="23"/>
        </w:numPr>
      </w:pPr>
      <w:r>
        <w:t>it</w:t>
      </w:r>
      <w:r w:rsidRPr="00851ECF">
        <w:t xml:space="preserve"> would impact on 76% (23/30) of the sodium reformulation targets under the Australian Healthy Food Partnership. This may, in effect, reduce the incentives for manufacturers to reformulate to reduce sodium unless further changes were made to the reformulation targets</w:t>
      </w:r>
    </w:p>
    <w:p w14:paraId="61DA0F40" w14:textId="05A8BC7A" w:rsidR="00F37134" w:rsidRDefault="00F37134" w:rsidP="00F37134">
      <w:pPr>
        <w:pStyle w:val="mpcNormal"/>
        <w:keepNext w:val="0"/>
        <w:numPr>
          <w:ilvl w:val="0"/>
          <w:numId w:val="23"/>
        </w:numPr>
      </w:pPr>
      <w:r>
        <w:t xml:space="preserve">similarly, it would </w:t>
      </w:r>
      <w:r w:rsidR="00E33AD3">
        <w:t>undermine</w:t>
      </w:r>
      <w:r>
        <w:t xml:space="preserve"> the significant efforts of New Zealand manufacturers to meet heartSAFE targets for sodium reformulation.</w:t>
      </w:r>
    </w:p>
    <w:p w14:paraId="4487CA27" w14:textId="77777777" w:rsidR="00F37134" w:rsidRDefault="00F37134" w:rsidP="00F37134">
      <w:pPr>
        <w:pStyle w:val="mpcNormal"/>
        <w:keepNext w:val="0"/>
      </w:pPr>
    </w:p>
    <w:p w14:paraId="286307A5" w14:textId="77777777" w:rsidR="00F37134" w:rsidRDefault="00F37134" w:rsidP="00F37134">
      <w:pPr>
        <w:autoSpaceDE w:val="0"/>
        <w:autoSpaceDN w:val="0"/>
        <w:adjustRightInd w:val="0"/>
      </w:pPr>
      <w:r w:rsidRPr="00CC1ADD">
        <w:rPr>
          <w:sz w:val="22"/>
          <w:szCs w:val="22"/>
        </w:rPr>
        <w:t xml:space="preserve">FSANZ is currently </w:t>
      </w:r>
      <w:r>
        <w:rPr>
          <w:sz w:val="22"/>
          <w:szCs w:val="22"/>
        </w:rPr>
        <w:t>preparing</w:t>
      </w:r>
      <w:r w:rsidRPr="00CC1ADD">
        <w:rPr>
          <w:sz w:val="22"/>
          <w:szCs w:val="22"/>
        </w:rPr>
        <w:t xml:space="preserve"> a proposal to review and update the regulatory NRVs used in the Code.</w:t>
      </w:r>
      <w:r w:rsidRPr="00CC1ADD">
        <w:rPr>
          <w:rStyle w:val="FootnoteReference"/>
          <w:sz w:val="22"/>
          <w:szCs w:val="22"/>
        </w:rPr>
        <w:footnoteReference w:id="159"/>
      </w:r>
      <w:r w:rsidRPr="00CC1ADD">
        <w:rPr>
          <w:sz w:val="22"/>
          <w:szCs w:val="22"/>
        </w:rPr>
        <w:t xml:space="preserve"> </w:t>
      </w:r>
      <w:r>
        <w:rPr>
          <w:sz w:val="22"/>
          <w:szCs w:val="22"/>
        </w:rPr>
        <w:t xml:space="preserve">While this will not impact on the NPSC, </w:t>
      </w:r>
      <w:r w:rsidRPr="003D6CB1">
        <w:rPr>
          <w:sz w:val="22"/>
          <w:szCs w:val="22"/>
        </w:rPr>
        <w:t xml:space="preserve">it may impact on product </w:t>
      </w:r>
      <w:r w:rsidRPr="00293816">
        <w:rPr>
          <w:sz w:val="22"/>
          <w:szCs w:val="22"/>
        </w:rPr>
        <w:t xml:space="preserve">labelling. </w:t>
      </w:r>
      <w:r>
        <w:rPr>
          <w:sz w:val="22"/>
          <w:szCs w:val="22"/>
        </w:rPr>
        <w:t xml:space="preserve">Under the Code </w:t>
      </w:r>
      <w:hyperlink r:id="rId143" w:history="1">
        <w:r w:rsidRPr="00E4628D">
          <w:rPr>
            <w:rStyle w:val="Hyperlink"/>
            <w:i/>
            <w:sz w:val="22"/>
            <w:szCs w:val="22"/>
          </w:rPr>
          <w:t>Standard 1.2.8 Nutrition information requirements</w:t>
        </w:r>
      </w:hyperlink>
      <w:r>
        <w:rPr>
          <w:sz w:val="22"/>
          <w:szCs w:val="22"/>
        </w:rPr>
        <w:t>, f</w:t>
      </w:r>
      <w:r w:rsidRPr="00293816">
        <w:rPr>
          <w:sz w:val="22"/>
          <w:szCs w:val="22"/>
        </w:rPr>
        <w:t xml:space="preserve">ood labels may include information relating to the percentage daily intake of nutrients set out in the NIP. If this information is included, the label must include the percentage daily intake per serving, calculated using the associated reference value. As such, if the </w:t>
      </w:r>
      <w:r>
        <w:rPr>
          <w:sz w:val="22"/>
          <w:szCs w:val="22"/>
        </w:rPr>
        <w:t xml:space="preserve">sodium </w:t>
      </w:r>
      <w:r w:rsidRPr="00293816">
        <w:rPr>
          <w:sz w:val="22"/>
          <w:szCs w:val="22"/>
        </w:rPr>
        <w:t>regulatory NRVs are adjusted, labels displaying this information would need to be changed.</w:t>
      </w:r>
      <w:r>
        <w:rPr>
          <w:sz w:val="22"/>
          <w:szCs w:val="22"/>
        </w:rPr>
        <w:t xml:space="preserve"> This may present a future opportunity for further review of the treatment of sodium in the HSR Calculator.</w:t>
      </w:r>
    </w:p>
    <w:p w14:paraId="7A2917BC" w14:textId="77777777" w:rsidR="00F37134" w:rsidRDefault="00F37134" w:rsidP="00F37134">
      <w:pPr>
        <w:pStyle w:val="mpcbullets1"/>
        <w:numPr>
          <w:ilvl w:val="0"/>
          <w:numId w:val="0"/>
        </w:numPr>
        <w:ind w:left="360"/>
      </w:pPr>
    </w:p>
    <w:p w14:paraId="15807C7D" w14:textId="77777777" w:rsidR="00F37134" w:rsidRDefault="00F37134" w:rsidP="00F37134">
      <w:pPr>
        <w:pStyle w:val="mpcheading3"/>
      </w:pPr>
      <w:r>
        <w:t>Addressing salty snacks</w:t>
      </w:r>
    </w:p>
    <w:p w14:paraId="7D347E2E" w14:textId="77777777" w:rsidR="00F37134" w:rsidRPr="00B16A1B" w:rsidRDefault="00F37134" w:rsidP="00F37134">
      <w:pPr>
        <w:pStyle w:val="mpcbullets2"/>
        <w:numPr>
          <w:ilvl w:val="0"/>
          <w:numId w:val="0"/>
        </w:numPr>
      </w:pPr>
    </w:p>
    <w:p w14:paraId="61D9A272" w14:textId="77777777" w:rsidR="00F37134" w:rsidRPr="00CD3711" w:rsidRDefault="00F37134" w:rsidP="00F37134">
      <w:pPr>
        <w:rPr>
          <w:rFonts w:cstheme="minorHAnsi"/>
          <w:b/>
          <w:bCs/>
          <w:sz w:val="22"/>
        </w:rPr>
      </w:pPr>
      <w:r w:rsidRPr="00CD3711">
        <w:rPr>
          <w:rFonts w:cstheme="minorHAnsi"/>
          <w:b/>
          <w:bCs/>
          <w:sz w:val="22"/>
        </w:rPr>
        <w:t>Issue</w:t>
      </w:r>
    </w:p>
    <w:p w14:paraId="7539D371" w14:textId="77777777" w:rsidR="00F37134" w:rsidRDefault="00F37134" w:rsidP="00F37134">
      <w:pPr>
        <w:rPr>
          <w:rFonts w:cstheme="minorHAnsi"/>
          <w:sz w:val="22"/>
        </w:rPr>
      </w:pPr>
    </w:p>
    <w:p w14:paraId="467182B2" w14:textId="77777777" w:rsidR="00F37134" w:rsidRDefault="00F37134" w:rsidP="00F37134">
      <w:pPr>
        <w:rPr>
          <w:rFonts w:cstheme="minorHAnsi"/>
          <w:sz w:val="22"/>
        </w:rPr>
      </w:pPr>
      <w:r w:rsidRPr="00F12138">
        <w:rPr>
          <w:rFonts w:cstheme="minorHAnsi"/>
          <w:sz w:val="22"/>
        </w:rPr>
        <w:t>Conce</w:t>
      </w:r>
      <w:r>
        <w:rPr>
          <w:rFonts w:cstheme="minorHAnsi"/>
          <w:sz w:val="22"/>
        </w:rPr>
        <w:t xml:space="preserve">rn </w:t>
      </w:r>
      <w:r w:rsidRPr="00F12138">
        <w:rPr>
          <w:rFonts w:cstheme="minorHAnsi"/>
          <w:sz w:val="22"/>
        </w:rPr>
        <w:t>has be</w:t>
      </w:r>
      <w:r>
        <w:rPr>
          <w:rFonts w:cstheme="minorHAnsi"/>
          <w:sz w:val="22"/>
        </w:rPr>
        <w:t>e</w:t>
      </w:r>
      <w:r w:rsidRPr="00F12138">
        <w:rPr>
          <w:rFonts w:cstheme="minorHAnsi"/>
          <w:sz w:val="22"/>
        </w:rPr>
        <w:t>n rai</w:t>
      </w:r>
      <w:r>
        <w:rPr>
          <w:rFonts w:cstheme="minorHAnsi"/>
          <w:sz w:val="22"/>
        </w:rPr>
        <w:t>s</w:t>
      </w:r>
      <w:r w:rsidRPr="00F12138">
        <w:rPr>
          <w:rFonts w:cstheme="minorHAnsi"/>
          <w:sz w:val="22"/>
        </w:rPr>
        <w:t>ed that th</w:t>
      </w:r>
      <w:r>
        <w:rPr>
          <w:rFonts w:cstheme="minorHAnsi"/>
          <w:sz w:val="22"/>
        </w:rPr>
        <w:t>e</w:t>
      </w:r>
      <w:r w:rsidRPr="00F12138">
        <w:rPr>
          <w:rFonts w:cstheme="minorHAnsi"/>
          <w:sz w:val="22"/>
        </w:rPr>
        <w:t xml:space="preserve"> HSR award</w:t>
      </w:r>
      <w:r>
        <w:rPr>
          <w:rFonts w:cstheme="minorHAnsi"/>
          <w:sz w:val="22"/>
        </w:rPr>
        <w:t>s</w:t>
      </w:r>
      <w:r w:rsidRPr="00F12138">
        <w:rPr>
          <w:rFonts w:cstheme="minorHAnsi"/>
          <w:sz w:val="22"/>
        </w:rPr>
        <w:t xml:space="preserve"> relatively high HSRs to some salty snacks despite their poor nutritional profile and status (in Australia) as a discretionary food. </w:t>
      </w:r>
    </w:p>
    <w:p w14:paraId="0BAFCF31" w14:textId="77777777" w:rsidR="00F37134" w:rsidRPr="00E0764F" w:rsidRDefault="00F37134" w:rsidP="00F37134">
      <w:pPr>
        <w:rPr>
          <w:rFonts w:cstheme="minorHAnsi"/>
          <w:sz w:val="22"/>
        </w:rPr>
      </w:pPr>
    </w:p>
    <w:p w14:paraId="72AC4D2F" w14:textId="77777777" w:rsidR="00F37134" w:rsidRDefault="00F37134" w:rsidP="00F37134">
      <w:pPr>
        <w:pStyle w:val="mpcheading4"/>
      </w:pPr>
      <w:r>
        <w:t>Conclusion</w:t>
      </w:r>
    </w:p>
    <w:p w14:paraId="571A01BA" w14:textId="77777777" w:rsidR="00F37134" w:rsidRDefault="00F37134" w:rsidP="00F37134">
      <w:pPr>
        <w:pStyle w:val="mpcbullets2"/>
        <w:numPr>
          <w:ilvl w:val="0"/>
          <w:numId w:val="0"/>
        </w:numPr>
      </w:pPr>
    </w:p>
    <w:p w14:paraId="1BC12DF0" w14:textId="77777777" w:rsidR="00F37134" w:rsidRDefault="00F37134" w:rsidP="00F37134">
      <w:pPr>
        <w:pStyle w:val="mpcbullets2"/>
        <w:numPr>
          <w:ilvl w:val="0"/>
          <w:numId w:val="0"/>
        </w:numPr>
      </w:pPr>
      <w:r>
        <w:t>The Review does not recommend making adjustments to the HSR Calculator to specifically target salty snacks because:</w:t>
      </w:r>
    </w:p>
    <w:p w14:paraId="5D0C2335" w14:textId="77777777" w:rsidR="00F37134" w:rsidRDefault="00F37134" w:rsidP="00F37134">
      <w:pPr>
        <w:pStyle w:val="mpcbullets2"/>
        <w:numPr>
          <w:ilvl w:val="0"/>
          <w:numId w:val="0"/>
        </w:numPr>
      </w:pPr>
    </w:p>
    <w:p w14:paraId="35AF8BFC" w14:textId="77777777" w:rsidR="00F37134" w:rsidRDefault="00F37134" w:rsidP="00F37134">
      <w:pPr>
        <w:pStyle w:val="mpcbullets2"/>
        <w:numPr>
          <w:ilvl w:val="0"/>
          <w:numId w:val="36"/>
        </w:numPr>
      </w:pPr>
      <w:r>
        <w:t>TAG modelling shows that the HSR System currently discriminates well between more-healthy and less-healthy salty snacks, awarding higher HSRs to products with lower fat and/or salt, and higher protein, fibre and/or FVNL content. The salty snacks receiving a higher HSR (such as corn chips, wasabi peas, popcorn and some vegetable crisps) represent healthier versions within this category</w:t>
      </w:r>
    </w:p>
    <w:p w14:paraId="2A9A1352" w14:textId="77777777" w:rsidR="00F37134" w:rsidRDefault="00F37134" w:rsidP="00F37134">
      <w:pPr>
        <w:pStyle w:val="mpcbullets2"/>
        <w:numPr>
          <w:ilvl w:val="0"/>
          <w:numId w:val="36"/>
        </w:numPr>
      </w:pPr>
      <w:r>
        <w:t>changes specifically tailored to reducing the HSR of salty snacks would:</w:t>
      </w:r>
    </w:p>
    <w:p w14:paraId="73E40348" w14:textId="77777777" w:rsidR="00F37134" w:rsidRDefault="00F37134" w:rsidP="00F37134">
      <w:pPr>
        <w:pStyle w:val="mpcbullets2"/>
        <w:numPr>
          <w:ilvl w:val="0"/>
          <w:numId w:val="38"/>
        </w:numPr>
      </w:pPr>
      <w:r>
        <w:t xml:space="preserve">disadvantage products that may have nutritional value from </w:t>
      </w:r>
      <w:r w:rsidRPr="0018523D">
        <w:t>protein, fibre and/or FVNL</w:t>
      </w:r>
      <w:r>
        <w:t xml:space="preserve">, providing limited differentiation between like products </w:t>
      </w:r>
    </w:p>
    <w:p w14:paraId="0D5EE0D6" w14:textId="77777777" w:rsidR="00F37134" w:rsidRDefault="00F37134" w:rsidP="00F37134">
      <w:pPr>
        <w:pStyle w:val="mpcbullets2"/>
        <w:numPr>
          <w:ilvl w:val="0"/>
          <w:numId w:val="38"/>
        </w:numPr>
      </w:pPr>
      <w:r>
        <w:t>require a definition of ‘salty snacks’ within Category 2 which would be challenging</w:t>
      </w:r>
    </w:p>
    <w:p w14:paraId="0BE43901" w14:textId="77777777" w:rsidR="00F37134" w:rsidRDefault="00F37134" w:rsidP="00F37134">
      <w:pPr>
        <w:pStyle w:val="mpcbullets2"/>
        <w:numPr>
          <w:ilvl w:val="0"/>
          <w:numId w:val="38"/>
        </w:numPr>
      </w:pPr>
      <w:r>
        <w:t xml:space="preserve">impact on the logic of the HSR System, which aims to provide an overall </w:t>
      </w:r>
      <w:r w:rsidRPr="00E6379D">
        <w:t xml:space="preserve">view of a product based on a combination of </w:t>
      </w:r>
      <w:r>
        <w:t>components, rather than on one nutrient (salt).</w:t>
      </w:r>
    </w:p>
    <w:p w14:paraId="4D6B84E0" w14:textId="77777777" w:rsidR="00F37134" w:rsidRDefault="00F37134" w:rsidP="00F37134">
      <w:pPr>
        <w:pStyle w:val="mpcbullets2"/>
        <w:numPr>
          <w:ilvl w:val="0"/>
          <w:numId w:val="0"/>
        </w:numPr>
      </w:pPr>
    </w:p>
    <w:p w14:paraId="02906B3A" w14:textId="280A3992" w:rsidR="00F37134" w:rsidRDefault="00F37134" w:rsidP="003039F9">
      <w:pPr>
        <w:pStyle w:val="mpcbullets2"/>
        <w:numPr>
          <w:ilvl w:val="0"/>
          <w:numId w:val="0"/>
        </w:numPr>
        <w:rPr>
          <w:rFonts w:cs="Arial"/>
        </w:rPr>
      </w:pPr>
      <w:r>
        <w:t xml:space="preserve">Rather than propose changes specifically to address salty snacks, a change has been proposed to the upper sodium limit for all foods (which will impact some but not all salty snacks). It is acknowledged that </w:t>
      </w:r>
      <w:r w:rsidR="00E33AD3">
        <w:t xml:space="preserve">a small </w:t>
      </w:r>
      <w:r w:rsidR="003039F9">
        <w:t>proportion</w:t>
      </w:r>
      <w:r w:rsidR="00E33AD3">
        <w:t xml:space="preserve"> of</w:t>
      </w:r>
      <w:r>
        <w:t xml:space="preserve"> salty snacks will continue to score HSRs of </w:t>
      </w:r>
      <w:r>
        <w:sym w:font="Symbol" w:char="F0B3"/>
      </w:r>
      <w:r>
        <w:t xml:space="preserve"> 3.5, however these represent healthier options within the category. </w:t>
      </w:r>
      <w:r w:rsidR="00E33AD3">
        <w:t>TAG modelling</w:t>
      </w:r>
      <w:r w:rsidR="003039F9">
        <w:rPr>
          <w:rStyle w:val="FootnoteReference"/>
        </w:rPr>
        <w:footnoteReference w:id="160"/>
      </w:r>
      <w:r w:rsidR="00E33AD3">
        <w:t xml:space="preserve"> </w:t>
      </w:r>
      <w:r w:rsidR="005D6F1E">
        <w:t>shows</w:t>
      </w:r>
      <w:r w:rsidR="00E33AD3">
        <w:t xml:space="preserve"> that </w:t>
      </w:r>
      <w:r w:rsidR="005D6F1E">
        <w:t xml:space="preserve">the average HSR of salty snacks is 2 and 20% of salty snacks have an HSR </w:t>
      </w:r>
      <w:r w:rsidR="005D6F1E" w:rsidRPr="0083613E">
        <w:rPr>
          <w:rFonts w:cs="Arial"/>
        </w:rPr>
        <w:t>≥</w:t>
      </w:r>
      <w:r w:rsidR="005D6F1E">
        <w:rPr>
          <w:rFonts w:cs="Arial"/>
        </w:rPr>
        <w:t xml:space="preserve"> </w:t>
      </w:r>
      <w:r w:rsidR="005D6F1E" w:rsidRPr="0083613E">
        <w:rPr>
          <w:rFonts w:cs="Arial"/>
        </w:rPr>
        <w:t>3</w:t>
      </w:r>
      <w:r w:rsidR="005D6F1E">
        <w:rPr>
          <w:rFonts w:cs="Arial"/>
        </w:rPr>
        <w:t xml:space="preserve">. The average </w:t>
      </w:r>
      <w:r w:rsidR="003039F9">
        <w:rPr>
          <w:rFonts w:cs="Arial"/>
        </w:rPr>
        <w:t>energy,</w:t>
      </w:r>
      <w:r w:rsidR="005D6F1E">
        <w:rPr>
          <w:rFonts w:cs="Arial"/>
        </w:rPr>
        <w:t xml:space="preserve"> </w:t>
      </w:r>
      <w:r w:rsidR="003039F9">
        <w:rPr>
          <w:rFonts w:cs="Arial"/>
        </w:rPr>
        <w:t xml:space="preserve">saturated fat and sodium content is significantly lower (and the fibre and FVNL content significantly higher) in the salty snacks with HSRs </w:t>
      </w:r>
      <w:r w:rsidR="003039F9" w:rsidRPr="0083613E">
        <w:rPr>
          <w:rFonts w:cs="Arial"/>
        </w:rPr>
        <w:t>≥</w:t>
      </w:r>
      <w:r w:rsidR="003039F9">
        <w:rPr>
          <w:rFonts w:cs="Arial"/>
        </w:rPr>
        <w:t> </w:t>
      </w:r>
      <w:r w:rsidR="003039F9" w:rsidRPr="0083613E">
        <w:rPr>
          <w:rFonts w:cs="Arial"/>
        </w:rPr>
        <w:t>3</w:t>
      </w:r>
      <w:r w:rsidR="003039F9">
        <w:rPr>
          <w:rFonts w:cs="Arial"/>
        </w:rPr>
        <w:t xml:space="preserve"> than those with HSRs &lt; 3.</w:t>
      </w:r>
    </w:p>
    <w:p w14:paraId="3A645EC8" w14:textId="77777777" w:rsidR="003039F9" w:rsidRDefault="003039F9" w:rsidP="003039F9">
      <w:pPr>
        <w:pStyle w:val="mpcbullets2"/>
        <w:numPr>
          <w:ilvl w:val="0"/>
          <w:numId w:val="0"/>
        </w:numPr>
      </w:pPr>
    </w:p>
    <w:p w14:paraId="796E52D4" w14:textId="77777777" w:rsidR="00F37134" w:rsidRPr="006B533C" w:rsidRDefault="00F37134" w:rsidP="00F37134">
      <w:pPr>
        <w:pStyle w:val="mpcheading3"/>
        <w:keepNext/>
      </w:pPr>
      <w:r>
        <w:t>Changes to the treatment of saturated fa</w:t>
      </w:r>
      <w:r w:rsidRPr="006B533C">
        <w:t>t</w:t>
      </w:r>
      <w:r>
        <w:t xml:space="preserve"> </w:t>
      </w:r>
    </w:p>
    <w:p w14:paraId="186C8927" w14:textId="77777777" w:rsidR="00F37134" w:rsidRDefault="00F37134" w:rsidP="00F37134">
      <w:pPr>
        <w:pStyle w:val="mpcbullets1"/>
        <w:numPr>
          <w:ilvl w:val="0"/>
          <w:numId w:val="0"/>
        </w:numPr>
        <w:ind w:left="360"/>
      </w:pPr>
    </w:p>
    <w:p w14:paraId="16D66A92" w14:textId="77777777" w:rsidR="00F37134" w:rsidRDefault="00F37134" w:rsidP="00F37134">
      <w:pPr>
        <w:pStyle w:val="mpcbullets2"/>
        <w:numPr>
          <w:ilvl w:val="0"/>
          <w:numId w:val="0"/>
        </w:numPr>
      </w:pPr>
      <w:r w:rsidRPr="00330CE4">
        <w:t xml:space="preserve">The TAG tested if there were any issues </w:t>
      </w:r>
      <w:r w:rsidRPr="00A445C9">
        <w:t>with</w:t>
      </w:r>
      <w:r w:rsidRPr="004A331D">
        <w:t xml:space="preserve"> respect to the treatment of saturated fat in the HSR Calculator. Analysis of the data in the TAG database shows that the vast majority of foods have a saturated fat conten</w:t>
      </w:r>
      <w:r w:rsidRPr="000F5DD3">
        <w:t>t of 10% or less. If the HSR Calculator was</w:t>
      </w:r>
      <w:r w:rsidRPr="00B979DC">
        <w:t xml:space="preserve"> adjusted to more strongly penalise foods with a saturated fat content greater than this, it would have minimal impact because the foods that have such saturated fat levels (creams, ice creams and high fat cheeses) already obtain low HSR</w:t>
      </w:r>
      <w:r w:rsidRPr="00C3393C">
        <w:t xml:space="preserve">s. If the HSR Calculator was adjusted to increase sensitivity to the saturated fat content of </w:t>
      </w:r>
      <w:r w:rsidRPr="006E0849">
        <w:t xml:space="preserve">foods containing 10% saturated fat or less, this would remove alignment with the NPSC that underpins the HSR Calculator. Noting the desirability of maintaining alignment with the NPSC, and the absence of identified problems with respect to the treatment of saturated fat, </w:t>
      </w:r>
      <w:r>
        <w:t>the Review has not recommended changes to the treatment of</w:t>
      </w:r>
      <w:r w:rsidRPr="00B97E4C">
        <w:t xml:space="preserve"> saturated fat</w:t>
      </w:r>
      <w:r>
        <w:t xml:space="preserve"> in the HSR Calculator.</w:t>
      </w:r>
    </w:p>
    <w:p w14:paraId="3AC32EDE" w14:textId="77777777" w:rsidR="00F37134" w:rsidRDefault="00F37134" w:rsidP="00F37134">
      <w:pPr>
        <w:pStyle w:val="mpcNormal"/>
        <w:keepNext w:val="0"/>
      </w:pPr>
    </w:p>
    <w:p w14:paraId="6CE9CD97" w14:textId="77777777" w:rsidR="00F37134" w:rsidRPr="00CC1ADD" w:rsidRDefault="00F37134" w:rsidP="00E5003E">
      <w:pPr>
        <w:pStyle w:val="mpcheading3"/>
        <w:keepNext/>
      </w:pPr>
      <w:r w:rsidRPr="00CC1ADD">
        <w:t>Oils and spreads</w:t>
      </w:r>
    </w:p>
    <w:p w14:paraId="60811CFA" w14:textId="77777777" w:rsidR="00F37134" w:rsidRDefault="00F37134" w:rsidP="00E5003E">
      <w:pPr>
        <w:pStyle w:val="mpcNormal"/>
      </w:pPr>
    </w:p>
    <w:p w14:paraId="54419E3A" w14:textId="77777777" w:rsidR="00F37134" w:rsidRDefault="00F37134" w:rsidP="00E5003E">
      <w:pPr>
        <w:pStyle w:val="mpcheading4"/>
      </w:pPr>
      <w:r>
        <w:t>Issue</w:t>
      </w:r>
    </w:p>
    <w:p w14:paraId="745FF720" w14:textId="77777777" w:rsidR="00F37134" w:rsidRPr="00CC1ADD" w:rsidRDefault="00F37134" w:rsidP="00E5003E">
      <w:pPr>
        <w:pStyle w:val="mpcNormal"/>
      </w:pPr>
    </w:p>
    <w:p w14:paraId="20988196" w14:textId="77777777" w:rsidR="00F37134" w:rsidRPr="00CC1ADD" w:rsidRDefault="00F37134" w:rsidP="00E5003E">
      <w:pPr>
        <w:pStyle w:val="mpcNormal"/>
      </w:pPr>
      <w:r w:rsidRPr="00CC1ADD">
        <w:t xml:space="preserve">Dietary Guidelines recommend replacing high fat foods that contain predominantly saturated fats (such as butter, cream, cooking margarine, coconut and palm oil) with foods that contain predominantly polyunsaturated and monounsaturated fats (such as </w:t>
      </w:r>
      <w:r>
        <w:t xml:space="preserve">vegetable/plant/seed </w:t>
      </w:r>
      <w:r w:rsidRPr="00CC1ADD">
        <w:t>oils, spreads, nut butters/pastes and avocado).</w:t>
      </w:r>
    </w:p>
    <w:p w14:paraId="15B00DD1" w14:textId="77777777" w:rsidR="00F37134" w:rsidRPr="00CC1ADD" w:rsidRDefault="00F37134" w:rsidP="00F37134">
      <w:pPr>
        <w:pStyle w:val="mpcNormal"/>
        <w:keepNext w:val="0"/>
      </w:pPr>
    </w:p>
    <w:p w14:paraId="1E0ED8DB" w14:textId="77777777" w:rsidR="00F37134" w:rsidRPr="00CC1ADD" w:rsidRDefault="00F37134" w:rsidP="00F37134">
      <w:pPr>
        <w:pStyle w:val="mpcNormal"/>
        <w:keepNext w:val="0"/>
      </w:pPr>
      <w:r w:rsidRPr="00CC1ADD">
        <w:t>Fats, oils and oil-based spreads are in their own category in the HSR System – Category 3. Modelling shows that the HSR Calculator currently differentiates well between fats, oils and oil</w:t>
      </w:r>
      <w:r w:rsidRPr="00CC1ADD">
        <w:noBreakHyphen/>
        <w:t>based spreads high or low in saturated fat, with products high in saturated fat consistently receiving low HSRs (</w:t>
      </w:r>
      <w:r w:rsidRPr="00CC1ADD">
        <w:sym w:font="Symbol" w:char="F0A3"/>
      </w:r>
      <w:r w:rsidRPr="00CC1ADD">
        <w:t xml:space="preserve"> 2). </w:t>
      </w:r>
      <w:r>
        <w:t xml:space="preserve">Although some oils and spreads have only small differences in saturated fat content, there is a wide spread of HSRs between different oils. </w:t>
      </w:r>
      <w:r w:rsidRPr="00CC1ADD">
        <w:t>The HSRs for some healthy oils and spreads are also lower than expected, given that these products are recommended by the Dietary Guidelines.</w:t>
      </w:r>
    </w:p>
    <w:p w14:paraId="40570330" w14:textId="77777777" w:rsidR="00F37134" w:rsidRDefault="00F37134" w:rsidP="00F37134">
      <w:pPr>
        <w:pStyle w:val="mpcNormal"/>
        <w:keepNext w:val="0"/>
      </w:pPr>
    </w:p>
    <w:p w14:paraId="65222B1E" w14:textId="77777777" w:rsidR="00F37134" w:rsidRDefault="00F37134" w:rsidP="00F37134">
      <w:pPr>
        <w:pStyle w:val="mpcheading4"/>
      </w:pPr>
      <w:r>
        <w:t>Options explored</w:t>
      </w:r>
    </w:p>
    <w:p w14:paraId="6ADD0034" w14:textId="77777777" w:rsidR="00F37134" w:rsidRDefault="00F37134" w:rsidP="00F37134">
      <w:pPr>
        <w:pStyle w:val="mpcNormal"/>
        <w:keepNext w:val="0"/>
      </w:pPr>
    </w:p>
    <w:p w14:paraId="3B5DB0B8" w14:textId="0B6A4F9A" w:rsidR="00F37134" w:rsidRDefault="00F37134" w:rsidP="00F37134">
      <w:pPr>
        <w:pStyle w:val="mpcNormal"/>
        <w:keepNext w:val="0"/>
      </w:pPr>
      <w:r>
        <w:t>A range of options were proposed by stakeholders and explored through the Review:</w:t>
      </w:r>
    </w:p>
    <w:p w14:paraId="145156FE" w14:textId="77777777" w:rsidR="00F37134" w:rsidRDefault="00F37134" w:rsidP="00F37134">
      <w:pPr>
        <w:pStyle w:val="mpcNormal"/>
        <w:keepNext w:val="0"/>
      </w:pPr>
    </w:p>
    <w:p w14:paraId="0F830114" w14:textId="4917583D" w:rsidR="00F37134" w:rsidRDefault="00F37134" w:rsidP="00B365C9">
      <w:pPr>
        <w:pStyle w:val="mpcbullets1"/>
        <w:keepNext w:val="0"/>
      </w:pPr>
      <w:r w:rsidRPr="002D5A10">
        <w:t xml:space="preserve">The Review </w:t>
      </w:r>
      <w:r>
        <w:t>explored</w:t>
      </w:r>
      <w:r w:rsidRPr="002D5A10">
        <w:t xml:space="preserve"> changes to the HSR Calculator to rescale Category 3 upwards. This was intended to increase the HSRs of healthy oils to improve consistency with Dietary Guideline</w:t>
      </w:r>
      <w:r>
        <w:t xml:space="preserve"> recommendations to replace </w:t>
      </w:r>
      <w:r w:rsidRPr="00CC1ADD">
        <w:t xml:space="preserve">foods high </w:t>
      </w:r>
      <w:r>
        <w:t xml:space="preserve">in saturated </w:t>
      </w:r>
      <w:r w:rsidRPr="00CC1ADD">
        <w:t>fat with foods that contain predominantly polyunsaturated and monounsaturated fats</w:t>
      </w:r>
      <w:r w:rsidRPr="002D5A10">
        <w:t>.</w:t>
      </w:r>
    </w:p>
    <w:p w14:paraId="2FCD1596" w14:textId="0263C8B4" w:rsidR="00F37134" w:rsidRDefault="00F37134" w:rsidP="00F37134">
      <w:pPr>
        <w:pStyle w:val="mpcbullets2"/>
      </w:pPr>
      <w:r>
        <w:t xml:space="preserve">However, stakeholder feedback highlighted that, while this change would increase the HSRs of healthy oils, it also increased the HSRs of canola oils to 5, while only increasing the HSRs of olive oils to a maximum of 4. The proposed solution did not have the intended impact, instead increasing discrimination between some healthy oils. </w:t>
      </w:r>
    </w:p>
    <w:p w14:paraId="69C1F39B" w14:textId="77777777" w:rsidR="00F37134" w:rsidRDefault="00F37134" w:rsidP="00F37134">
      <w:pPr>
        <w:pStyle w:val="mpcbullets1"/>
      </w:pPr>
      <w:r>
        <w:t xml:space="preserve">Many stakeholders suggested that olive oil is healthier than other oils (such as canola oil) and as such, should receive a higher HSR. </w:t>
      </w:r>
    </w:p>
    <w:p w14:paraId="50AB7286" w14:textId="1B96AD9F" w:rsidR="00F37134" w:rsidRDefault="009C3C77" w:rsidP="009C3C77">
      <w:pPr>
        <w:pStyle w:val="mpcbullets2"/>
      </w:pPr>
      <w:r>
        <w:t xml:space="preserve">The Review acknowledges the evidence submitted by stakeholders regarding the health benefits of olive oil. However, </w:t>
      </w:r>
      <w:r w:rsidR="00F37134" w:rsidRPr="002D5A10">
        <w:t>the Review is mindful that the HSR Calculator can only draw on a finite set of factors to determine a product</w:t>
      </w:r>
      <w:r w:rsidR="00F37134">
        <w:t>’</w:t>
      </w:r>
      <w:r w:rsidR="00F37134" w:rsidRPr="002D5A10">
        <w:t>s HSR.</w:t>
      </w:r>
      <w:r w:rsidR="00F37134">
        <w:t xml:space="preserve"> </w:t>
      </w:r>
      <w:r w:rsidR="00F37134" w:rsidRPr="002D5A10">
        <w:t xml:space="preserve">The HSR </w:t>
      </w:r>
      <w:r w:rsidR="00F37134">
        <w:t xml:space="preserve">System </w:t>
      </w:r>
      <w:r w:rsidR="00F37134" w:rsidRPr="002D5A10">
        <w:t xml:space="preserve">cannot </w:t>
      </w:r>
      <w:r w:rsidR="00F37134">
        <w:t xml:space="preserve">and does not </w:t>
      </w:r>
      <w:r w:rsidR="00F37134" w:rsidRPr="002D5A10">
        <w:t>take into account all of the different reasons a food may have health benefits. For example</w:t>
      </w:r>
      <w:r w:rsidR="00F37134">
        <w:t>,</w:t>
      </w:r>
      <w:r w:rsidR="00F37134" w:rsidRPr="002D5A10">
        <w:t xml:space="preserve"> the </w:t>
      </w:r>
      <w:r w:rsidR="00F37134">
        <w:t>Calculator</w:t>
      </w:r>
      <w:r w:rsidR="00F37134" w:rsidRPr="002D5A10">
        <w:t xml:space="preserve"> </w:t>
      </w:r>
      <w:r w:rsidR="00F37134">
        <w:t>does not consider</w:t>
      </w:r>
      <w:r w:rsidR="00F37134" w:rsidRPr="002D5A10">
        <w:t xml:space="preserve"> polyphenol or omega-3 content, vitamin content, the way the food is produced or the way that it is used in an individual’s diet.</w:t>
      </w:r>
    </w:p>
    <w:p w14:paraId="7E8F7B82" w14:textId="632E994A" w:rsidR="009C3C77" w:rsidRDefault="009C3C77" w:rsidP="009C3C77">
      <w:pPr>
        <w:pStyle w:val="mpcbullets2"/>
      </w:pPr>
      <w:r>
        <w:t>The Review does not consider it appropriate to increase the HSR of one type of oil over another on the basis of factors not considered for any other product.</w:t>
      </w:r>
    </w:p>
    <w:p w14:paraId="0DBB9F93" w14:textId="10889BC5" w:rsidR="009C3C77" w:rsidRDefault="009C3C77" w:rsidP="009C3C77">
      <w:pPr>
        <w:pStyle w:val="mpcbullets2"/>
      </w:pPr>
      <w:r>
        <w:t>While olive oil has certain health benefits, it is also higher in saturated fats than some other oils.</w:t>
      </w:r>
    </w:p>
    <w:p w14:paraId="5C556A20" w14:textId="77777777" w:rsidR="00F37134" w:rsidRDefault="00F37134" w:rsidP="00F37134">
      <w:pPr>
        <w:pStyle w:val="mpcbullets1"/>
      </w:pPr>
      <w:r>
        <w:t xml:space="preserve">Some stakeholders suggested that all edible oils with </w:t>
      </w:r>
      <w:r>
        <w:sym w:font="Symbol" w:char="F0A3"/>
      </w:r>
      <w:r>
        <w:t xml:space="preserve"> 15% saturated fat should automatically score an HSR of 5.</w:t>
      </w:r>
    </w:p>
    <w:p w14:paraId="53D53999" w14:textId="77777777" w:rsidR="00F37134" w:rsidRDefault="00F37134" w:rsidP="00F37134">
      <w:pPr>
        <w:pStyle w:val="mpcbullets2"/>
      </w:pPr>
      <w:r>
        <w:t xml:space="preserve">However, this result cannot be achieved through the HSR Calculator without equally increasing the HSRs of margarines and non-dairy blends with saturated fat </w:t>
      </w:r>
      <w:r>
        <w:sym w:font="Symbol" w:char="F0A3"/>
      </w:r>
      <w:r>
        <w:t xml:space="preserve"> 15%, significantly reducing discrimination between products in this Category.</w:t>
      </w:r>
    </w:p>
    <w:p w14:paraId="360F729B" w14:textId="7D0C073E" w:rsidR="00F37134" w:rsidRPr="002D5A10" w:rsidRDefault="00F37134" w:rsidP="00F37134">
      <w:pPr>
        <w:pStyle w:val="mpcbullets2"/>
      </w:pPr>
      <w:r>
        <w:t xml:space="preserve">While the Dietary Guidelines recommend using oils high in unsaturated fats rather than products high in saturated fats, </w:t>
      </w:r>
      <w:r w:rsidR="009C3C77">
        <w:t>oils</w:t>
      </w:r>
      <w:r>
        <w:t xml:space="preserve"> are not an FFG food and Dietary Guidelines note they should be used only in small amounts. As such, a policy override such that </w:t>
      </w:r>
      <w:r w:rsidR="009C3C77">
        <w:t xml:space="preserve">all </w:t>
      </w:r>
      <w:r>
        <w:t xml:space="preserve">‘healthy’ oils score an HSR of 5 is not warranted. </w:t>
      </w:r>
    </w:p>
    <w:p w14:paraId="09AC7DDA" w14:textId="77777777" w:rsidR="00F37134" w:rsidRDefault="00F37134" w:rsidP="00F37134">
      <w:pPr>
        <w:pStyle w:val="mpcbullets2"/>
      </w:pPr>
      <w:r w:rsidRPr="00CA02D5">
        <w:t xml:space="preserve">The HSR currently </w:t>
      </w:r>
      <w:r>
        <w:t xml:space="preserve">provides effective support to consumers in distinguishing between oils and spreads based on their saturated fat content (along with their sodium and total energy). For example, </w:t>
      </w:r>
      <w:r w:rsidRPr="00CA02D5">
        <w:t>oils</w:t>
      </w:r>
      <w:r>
        <w:t xml:space="preserve"> high in unsaturated fats generally score HSRs of </w:t>
      </w:r>
      <w:r>
        <w:sym w:font="Symbol" w:char="F0B3"/>
      </w:r>
      <w:r>
        <w:t xml:space="preserve"> 3, while products </w:t>
      </w:r>
      <w:r w:rsidRPr="00CC1ADD">
        <w:t>high in saturated fat</w:t>
      </w:r>
      <w:r>
        <w:t>s (butters, coconut oils, lards)</w:t>
      </w:r>
      <w:r w:rsidRPr="00CC1ADD">
        <w:t xml:space="preserve"> consistently receiv</w:t>
      </w:r>
      <w:r>
        <w:t xml:space="preserve">e </w:t>
      </w:r>
      <w:r w:rsidRPr="00CC1ADD">
        <w:t xml:space="preserve">HSRs </w:t>
      </w:r>
      <w:r w:rsidRPr="00CC1ADD">
        <w:sym w:font="Symbol" w:char="F0A3"/>
      </w:r>
      <w:r w:rsidRPr="00CC1ADD">
        <w:t xml:space="preserve"> 2.</w:t>
      </w:r>
    </w:p>
    <w:p w14:paraId="3964C9FF" w14:textId="2359FE76" w:rsidR="00F37134" w:rsidRDefault="00F37134" w:rsidP="00F37134">
      <w:pPr>
        <w:pStyle w:val="mpcbullets1"/>
      </w:pPr>
      <w:r>
        <w:t>S</w:t>
      </w:r>
      <w:r w:rsidR="009C3C77">
        <w:t>ome s</w:t>
      </w:r>
      <w:r>
        <w:t>takeholders proposed that edible oils should be exempt from the HSR System, similar to other single ingredient foods (such as salt and sugar).</w:t>
      </w:r>
    </w:p>
    <w:p w14:paraId="6AA5FF25" w14:textId="77777777" w:rsidR="00F37134" w:rsidRDefault="00F37134" w:rsidP="00F37134">
      <w:pPr>
        <w:pStyle w:val="mpcbullets2"/>
      </w:pPr>
      <w:r>
        <w:t xml:space="preserve">The Review notes that many single ingredient foods are part of the HSR System (such as packaged fruits and vegetables, meats, rice and other grains). </w:t>
      </w:r>
    </w:p>
    <w:p w14:paraId="7D3A2187" w14:textId="77777777" w:rsidR="00F37134" w:rsidRDefault="00F37134" w:rsidP="00F37134">
      <w:pPr>
        <w:pStyle w:val="mpcbullets2"/>
      </w:pPr>
      <w:r>
        <w:t xml:space="preserve">Unlike salt and sugar, where the HSR System provides no differentiation between products, the System currently provides discrimination between various edible oils and alternative options. As such, the HSR System supports consumers to select edible oils (lower in saturated fats) over products such as butter. </w:t>
      </w:r>
    </w:p>
    <w:p w14:paraId="3A25383F" w14:textId="77777777" w:rsidR="00F37134" w:rsidRDefault="00F37134" w:rsidP="00F37134">
      <w:pPr>
        <w:pStyle w:val="mpcbullets2"/>
      </w:pPr>
      <w:r>
        <w:t>Removing edible oils from the System would limit the information available to consumers to make healthier choices in this category.</w:t>
      </w:r>
    </w:p>
    <w:p w14:paraId="40EB9AA2" w14:textId="77777777" w:rsidR="00F37134" w:rsidRDefault="00F37134" w:rsidP="00F37134">
      <w:pPr>
        <w:pStyle w:val="mpcNormal"/>
        <w:keepNext w:val="0"/>
      </w:pPr>
    </w:p>
    <w:p w14:paraId="29981936" w14:textId="77777777" w:rsidR="00F37134" w:rsidRDefault="00F37134" w:rsidP="00F37134">
      <w:pPr>
        <w:pStyle w:val="mpcheading4"/>
      </w:pPr>
      <w:r>
        <w:t>Conclusion</w:t>
      </w:r>
    </w:p>
    <w:p w14:paraId="4B0BF6B9" w14:textId="77777777" w:rsidR="00F37134" w:rsidRDefault="00F37134" w:rsidP="00F37134">
      <w:pPr>
        <w:pStyle w:val="mpcNormal"/>
        <w:keepNext w:val="0"/>
      </w:pPr>
    </w:p>
    <w:p w14:paraId="2504E356" w14:textId="4E83C138" w:rsidR="00F37134" w:rsidRDefault="00F37134" w:rsidP="00F37134">
      <w:pPr>
        <w:pStyle w:val="mpcNormal"/>
        <w:keepNext w:val="0"/>
      </w:pPr>
      <w:r>
        <w:t xml:space="preserve">While some stakeholders have proposed that ‘healthy’ oils should score higher HSRs, </w:t>
      </w:r>
      <w:r w:rsidRPr="00CC1ADD">
        <w:t>the HSR Calculator currently differentiates well between fats, oils and oil</w:t>
      </w:r>
      <w:r w:rsidRPr="00CC1ADD">
        <w:noBreakHyphen/>
        <w:t>based spreads high or low in saturated fat</w:t>
      </w:r>
      <w:r>
        <w:t xml:space="preserve">. Although some oils and spreads are differentiated based on small differences in saturated fat content, the spread of HSRs in this Category currently supports consumers to select those products lower in saturated fats. After </w:t>
      </w:r>
      <w:r w:rsidRPr="005614BD">
        <w:t>taking into account feedback on the draft Review Report and further modelling, the Review proposes retaining the status quo for Category 3 oils and spreads.</w:t>
      </w:r>
    </w:p>
    <w:p w14:paraId="479222B3" w14:textId="77777777" w:rsidR="00F37134" w:rsidRDefault="00F37134" w:rsidP="00F37134">
      <w:pPr>
        <w:pStyle w:val="mpcbullets2"/>
        <w:numPr>
          <w:ilvl w:val="0"/>
          <w:numId w:val="0"/>
        </w:numPr>
      </w:pPr>
    </w:p>
    <w:p w14:paraId="4C49F94E" w14:textId="77777777" w:rsidR="00F37134" w:rsidRDefault="00F37134" w:rsidP="00F37134">
      <w:pPr>
        <w:pStyle w:val="mpcheading2"/>
        <w:spacing w:after="0"/>
      </w:pPr>
      <w:bookmarkStart w:id="192" w:name="_Toc9955089"/>
      <w:r>
        <w:t>Non-dairy beverages</w:t>
      </w:r>
      <w:bookmarkEnd w:id="192"/>
    </w:p>
    <w:p w14:paraId="4CEDFBBA" w14:textId="77777777" w:rsidR="00F37134" w:rsidRDefault="00F37134" w:rsidP="00F37134">
      <w:pPr>
        <w:pStyle w:val="mpcbullets2"/>
        <w:numPr>
          <w:ilvl w:val="0"/>
          <w:numId w:val="0"/>
        </w:numPr>
      </w:pPr>
    </w:p>
    <w:p w14:paraId="60DEF8F8" w14:textId="77777777" w:rsidR="00F37134" w:rsidRDefault="00F37134" w:rsidP="00F37134">
      <w:pPr>
        <w:pStyle w:val="mpcNormal"/>
        <w:keepNext w:val="0"/>
      </w:pPr>
      <w:r>
        <w:t>A wide range of options were tested throughout the Review t</w:t>
      </w:r>
      <w:r w:rsidRPr="00CC1ADD">
        <w:t>o improve the relative HSRs of non-dairy beverages when compared across the category</w:t>
      </w:r>
      <w:r>
        <w:t>, including:</w:t>
      </w:r>
    </w:p>
    <w:p w14:paraId="6502193C" w14:textId="77777777" w:rsidR="00F37134" w:rsidRDefault="00F37134" w:rsidP="00F37134">
      <w:pPr>
        <w:pStyle w:val="mpcNormal"/>
        <w:keepNext w:val="0"/>
      </w:pPr>
    </w:p>
    <w:p w14:paraId="1C8EF627" w14:textId="77777777" w:rsidR="00F37134" w:rsidRPr="00FC6833" w:rsidRDefault="00F37134" w:rsidP="00F37134">
      <w:pPr>
        <w:pStyle w:val="mpcbullets1"/>
      </w:pPr>
      <w:r w:rsidRPr="00FC6833">
        <w:t>assigning HSRs based on energy content only</w:t>
      </w:r>
    </w:p>
    <w:p w14:paraId="33860A77" w14:textId="77777777" w:rsidR="00F37134" w:rsidRPr="00D76C70" w:rsidRDefault="00F37134" w:rsidP="00F37134">
      <w:pPr>
        <w:pStyle w:val="mpcbullets2"/>
      </w:pPr>
      <w:r w:rsidRPr="00D76C70">
        <w:t>This option would enable waters and flavoured waters to score high</w:t>
      </w:r>
      <w:r>
        <w:t>er</w:t>
      </w:r>
      <w:r w:rsidRPr="00D76C70">
        <w:t xml:space="preserve"> HSRs </w:t>
      </w:r>
      <w:r>
        <w:t>and</w:t>
      </w:r>
      <w:r w:rsidRPr="00D76C70">
        <w:t xml:space="preserve"> enable diluted fruit juices/fruit drinks with no added sugars to score higher HSRs than undiluted fruit juices which have a higher sugars content.</w:t>
      </w:r>
    </w:p>
    <w:p w14:paraId="384C37F8" w14:textId="77777777" w:rsidR="00F37134" w:rsidRDefault="00F37134" w:rsidP="00F37134">
      <w:pPr>
        <w:pStyle w:val="mpcbullets2"/>
      </w:pPr>
      <w:r w:rsidRPr="00D76C70">
        <w:t xml:space="preserve">However, under this option, many diet soft drinks would also score HSRs &gt; 4. </w:t>
      </w:r>
      <w:r>
        <w:t>This does not align with consumer or public health expectations, nor with how industry promotes diet soft drinks compared to flavoured waters.</w:t>
      </w:r>
    </w:p>
    <w:p w14:paraId="5F0BFC89" w14:textId="77777777" w:rsidR="00F37134" w:rsidRPr="00676537" w:rsidRDefault="00F37134" w:rsidP="00676537">
      <w:pPr>
        <w:pStyle w:val="mpcNormal"/>
        <w:numPr>
          <w:ilvl w:val="0"/>
          <w:numId w:val="4"/>
        </w:numPr>
        <w:ind w:hanging="357"/>
        <w:rPr>
          <w:bCs/>
        </w:rPr>
      </w:pPr>
      <w:r w:rsidRPr="00676537">
        <w:rPr>
          <w:bCs/>
        </w:rPr>
        <w:t>excluding fruit juices from scoring modifying FVNL points</w:t>
      </w:r>
    </w:p>
    <w:p w14:paraId="69E3ECA2" w14:textId="77777777" w:rsidR="00F37134" w:rsidRDefault="00F37134" w:rsidP="00676537">
      <w:pPr>
        <w:pStyle w:val="mpcbullets2"/>
        <w:keepNext/>
        <w:ind w:hanging="357"/>
      </w:pPr>
      <w:r>
        <w:t>Some stakeholders suggested that fruit juices should not receive modifying points for their FVNL content, citing studies that have found consumption of fruit juices to be associated with increased risk of dental erosion and type 2 diabetes.</w:t>
      </w:r>
      <w:r>
        <w:rPr>
          <w:rStyle w:val="FootnoteReference"/>
        </w:rPr>
        <w:footnoteReference w:id="161"/>
      </w:r>
      <w:r w:rsidRPr="00C01129">
        <w:rPr>
          <w:vertAlign w:val="superscript"/>
        </w:rPr>
        <w:t>,</w:t>
      </w:r>
      <w:r>
        <w:rPr>
          <w:rStyle w:val="FootnoteReference"/>
        </w:rPr>
        <w:footnoteReference w:id="162"/>
      </w:r>
      <w:r>
        <w:t xml:space="preserve"> </w:t>
      </w:r>
    </w:p>
    <w:p w14:paraId="67F9ED06" w14:textId="0E8E2805" w:rsidR="00F37134" w:rsidRDefault="00F37134" w:rsidP="00F37134">
      <w:pPr>
        <w:pStyle w:val="mpcbullets2"/>
      </w:pPr>
      <w:r>
        <w:t xml:space="preserve">The current FVNL definition </w:t>
      </w:r>
      <w:r w:rsidR="009C3C77">
        <w:t xml:space="preserve">includes fruit juice and </w:t>
      </w:r>
      <w:r>
        <w:t xml:space="preserve">aligns with the </w:t>
      </w:r>
      <w:r w:rsidR="007E484D">
        <w:t xml:space="preserve">definition used for the purposes of the </w:t>
      </w:r>
      <w:r>
        <w:t>NPSC</w:t>
      </w:r>
      <w:r w:rsidR="009C3C77">
        <w:t>. T</w:t>
      </w:r>
      <w:r>
        <w:t>he Review considers it undesirable to alter definitions from those in the Code.</w:t>
      </w:r>
    </w:p>
    <w:p w14:paraId="7A06E7C7" w14:textId="19F2F734" w:rsidR="00F37134" w:rsidRDefault="007E484D" w:rsidP="00F37134">
      <w:pPr>
        <w:pStyle w:val="mpcbullets2"/>
      </w:pPr>
      <w:r>
        <w:t>Although the differing views of stakeholders regarding fruit juices are acknowledged, th</w:t>
      </w:r>
      <w:r w:rsidR="00F37134">
        <w:t>e ADGs also note that fruit juices are ‘</w:t>
      </w:r>
      <w:r w:rsidR="00F37134" w:rsidRPr="00C44ACB">
        <w:t>a good source of vitamins such as vitamin C and folate and also provides fibre and carbohydrates, particularly natural sugars</w:t>
      </w:r>
      <w:r w:rsidR="00F37134">
        <w:t>’</w:t>
      </w:r>
      <w:r w:rsidR="00F37134">
        <w:rPr>
          <w:rStyle w:val="FootnoteReference"/>
        </w:rPr>
        <w:footnoteReference w:id="163"/>
      </w:r>
      <w:r w:rsidR="00F37134">
        <w:t>.</w:t>
      </w:r>
    </w:p>
    <w:p w14:paraId="75F6AD02" w14:textId="77777777" w:rsidR="00F37134" w:rsidRPr="00356789" w:rsidRDefault="00F37134" w:rsidP="00F37134">
      <w:pPr>
        <w:pStyle w:val="mpcbullets2"/>
      </w:pPr>
      <w:r w:rsidRPr="00356789">
        <w:t>Under this option, fruit juices generally score HSRs equivalent to soft drinks and lower than diet soft drinks. This does not align with consumer understanding or evidence regarding the nutritional qualities of fruit juices.</w:t>
      </w:r>
    </w:p>
    <w:p w14:paraId="13581F57" w14:textId="77777777" w:rsidR="00F37134" w:rsidRPr="00356789" w:rsidRDefault="00F37134" w:rsidP="00F37134">
      <w:pPr>
        <w:pStyle w:val="mpcbullets1"/>
      </w:pPr>
      <w:r w:rsidRPr="00356789">
        <w:t>using the French Nutri-Score System</w:t>
      </w:r>
    </w:p>
    <w:p w14:paraId="36B6F897" w14:textId="672C99F1" w:rsidR="00F37134" w:rsidRPr="00356789" w:rsidRDefault="00F37134" w:rsidP="00F37134">
      <w:pPr>
        <w:pStyle w:val="mpcbullets2"/>
      </w:pPr>
      <w:r w:rsidRPr="00356789">
        <w:t xml:space="preserve">Under this option, flavoured waters and diet soft drinks would score equivalent HSRs of 3 to 3.5. </w:t>
      </w:r>
      <w:r w:rsidR="007E484D">
        <w:t>While this reflects the similar energy and sugars content of these beverages, it is not consistent with the way consumers perceive flavoured waters compared to diet soft drinks, nor how public health and other bodies promote flavoured waters compared to diet soft drinks.</w:t>
      </w:r>
    </w:p>
    <w:p w14:paraId="246B843C" w14:textId="77777777" w:rsidR="00F37134" w:rsidRPr="004F4B7B" w:rsidRDefault="00F37134" w:rsidP="00F37134">
      <w:pPr>
        <w:pStyle w:val="mpcbullets1"/>
      </w:pPr>
      <w:r w:rsidRPr="004F4B7B">
        <w:t>using an adjusted French Nutri-Score System with a policy overlay for flavoured waters</w:t>
      </w:r>
    </w:p>
    <w:p w14:paraId="4BBCC14C" w14:textId="77777777" w:rsidR="00F37134" w:rsidRPr="004F4B7B" w:rsidRDefault="00F37134" w:rsidP="00F37134">
      <w:pPr>
        <w:pStyle w:val="mpcbullets2"/>
      </w:pPr>
      <w:r w:rsidRPr="004F4B7B">
        <w:t>This option was tested in the Draft Review Report and was received well by stakeholders, with some specific concerns regarding:</w:t>
      </w:r>
    </w:p>
    <w:p w14:paraId="23504FBC" w14:textId="77777777" w:rsidR="00F37134" w:rsidRPr="004F4B7B" w:rsidRDefault="00F37134" w:rsidP="00F37134">
      <w:pPr>
        <w:pStyle w:val="mpcbullets3"/>
      </w:pPr>
      <w:r w:rsidRPr="004F4B7B">
        <w:t>using another policy overlay to discriminate between flavoured waters and other low kilojoule, sugar free drinks (such as diet soft drinks). Some stakeholders believed this added complexity to the System and that it is difficult to define flavoured waters as this product type is expanding rapidly</w:t>
      </w:r>
    </w:p>
    <w:p w14:paraId="5B0FB1F1" w14:textId="77777777" w:rsidR="00F37134" w:rsidRPr="004F4B7B" w:rsidRDefault="00F37134" w:rsidP="00F37134">
      <w:pPr>
        <w:pStyle w:val="mpcbullets3"/>
      </w:pPr>
      <w:r w:rsidRPr="004F4B7B">
        <w:t>the definition of flavoured waters eligible to receive an HSR of 4.5. Some stakeholders were concerned that the definition included some intense sweeteners. Others were concerned that it did not allow for additions of a small amount of fruit juice or certain sweeteners such as stevia glycosides.</w:t>
      </w:r>
    </w:p>
    <w:p w14:paraId="042A51CE" w14:textId="77777777" w:rsidR="00F37134" w:rsidRPr="004F4B7B" w:rsidRDefault="00F37134" w:rsidP="00F37134">
      <w:pPr>
        <w:pStyle w:val="mpcbullets3"/>
      </w:pPr>
      <w:r w:rsidRPr="004F4B7B">
        <w:t>the rationale behind the modifying points for FVNL. Some stakeholders were concerned that these values were entrenched in the French food regulation system rather than the Australian. Others were concerned that they too strongly rewarded FVNL, such that some fruit juices with high sugars (up to 8g/100mL) scored HSRs of up to 4.</w:t>
      </w:r>
    </w:p>
    <w:p w14:paraId="66910AD9" w14:textId="77777777" w:rsidR="00F37134" w:rsidRDefault="00F37134" w:rsidP="00F37134">
      <w:pPr>
        <w:pStyle w:val="mpcbullets3"/>
        <w:numPr>
          <w:ilvl w:val="0"/>
          <w:numId w:val="0"/>
        </w:numPr>
        <w:rPr>
          <w:highlight w:val="yellow"/>
        </w:rPr>
      </w:pPr>
    </w:p>
    <w:p w14:paraId="655A1DD1" w14:textId="77777777" w:rsidR="00F37134" w:rsidRDefault="00F37134" w:rsidP="00F37134">
      <w:pPr>
        <w:pStyle w:val="mpcNormal"/>
        <w:keepNext w:val="0"/>
      </w:pPr>
      <w:r>
        <w:t xml:space="preserve">Recommendation 5 was refined based on modelling and in response to stakeholder feedback to address the above concerns. </w:t>
      </w:r>
    </w:p>
    <w:p w14:paraId="4D36C5D9" w14:textId="77777777" w:rsidR="00F37134" w:rsidRPr="00CC1ADD" w:rsidRDefault="00F37134" w:rsidP="00F37134">
      <w:pPr>
        <w:pStyle w:val="mpcbullets3"/>
        <w:numPr>
          <w:ilvl w:val="0"/>
          <w:numId w:val="0"/>
        </w:numPr>
        <w:ind w:left="1276"/>
      </w:pPr>
    </w:p>
    <w:p w14:paraId="7EE3B1B4" w14:textId="77777777" w:rsidR="00F37134" w:rsidRDefault="00F37134" w:rsidP="00F37134">
      <w:pPr>
        <w:pStyle w:val="mpcNormal"/>
        <w:keepNext w:val="0"/>
      </w:pPr>
    </w:p>
    <w:p w14:paraId="6C4D9ACE" w14:textId="06780B2D" w:rsidR="000D64E2" w:rsidRDefault="00F37134" w:rsidP="004D0222">
      <w:pPr>
        <w:pStyle w:val="mpcheading1"/>
      </w:pPr>
      <w:r>
        <w:br w:type="column"/>
      </w:r>
      <w:bookmarkStart w:id="193" w:name="_Toc9955090"/>
      <w:r w:rsidR="009B0396">
        <w:t>Appendix</w:t>
      </w:r>
      <w:r w:rsidR="00B76A4B" w:rsidRPr="00CC1ADD">
        <w:t xml:space="preserve"> </w:t>
      </w:r>
      <w:r>
        <w:t>E</w:t>
      </w:r>
      <w:r w:rsidR="00012057">
        <w:t xml:space="preserve">: </w:t>
      </w:r>
      <w:r w:rsidR="000D64E2">
        <w:t>Revised points tables for System enhancements</w:t>
      </w:r>
      <w:bookmarkEnd w:id="193"/>
    </w:p>
    <w:p w14:paraId="6B853C40" w14:textId="3F7E8803" w:rsidR="000C6E56" w:rsidRPr="000C6E56" w:rsidRDefault="000C6E56" w:rsidP="000C6E56">
      <w:pPr>
        <w:rPr>
          <w:rFonts w:cstheme="minorHAnsi"/>
          <w:b/>
          <w:sz w:val="22"/>
          <w:szCs w:val="20"/>
        </w:rPr>
      </w:pPr>
      <w:r w:rsidRPr="000C6E56">
        <w:rPr>
          <w:rFonts w:cstheme="minorHAnsi"/>
          <w:b/>
          <w:sz w:val="22"/>
          <w:szCs w:val="20"/>
        </w:rPr>
        <w:t xml:space="preserve">Table </w:t>
      </w:r>
      <w:r w:rsidR="00F37134">
        <w:rPr>
          <w:rFonts w:cstheme="minorHAnsi"/>
          <w:b/>
          <w:sz w:val="22"/>
          <w:szCs w:val="20"/>
        </w:rPr>
        <w:t>E</w:t>
      </w:r>
      <w:r w:rsidR="00CA03D9">
        <w:rPr>
          <w:rFonts w:cstheme="minorHAnsi"/>
          <w:b/>
          <w:sz w:val="22"/>
          <w:szCs w:val="20"/>
        </w:rPr>
        <w:t>.</w:t>
      </w:r>
      <w:r>
        <w:rPr>
          <w:rFonts w:cstheme="minorHAnsi"/>
          <w:b/>
          <w:sz w:val="22"/>
          <w:szCs w:val="20"/>
        </w:rPr>
        <w:t>1</w:t>
      </w:r>
      <w:r w:rsidRPr="000C6E56">
        <w:rPr>
          <w:rFonts w:cstheme="minorHAnsi"/>
          <w:b/>
          <w:sz w:val="22"/>
          <w:szCs w:val="20"/>
        </w:rPr>
        <w:t xml:space="preserve">: HSR Baseline Points for Category 1D, 2 or 2D </w:t>
      </w:r>
      <w:r>
        <w:rPr>
          <w:rFonts w:cstheme="minorHAnsi"/>
          <w:b/>
          <w:sz w:val="22"/>
          <w:szCs w:val="20"/>
        </w:rPr>
        <w:t>f</w:t>
      </w:r>
      <w:r w:rsidRPr="000C6E56">
        <w:rPr>
          <w:rFonts w:cstheme="minorHAnsi"/>
          <w:b/>
          <w:sz w:val="22"/>
          <w:szCs w:val="20"/>
        </w:rPr>
        <w:t>oods</w:t>
      </w:r>
    </w:p>
    <w:p w14:paraId="7AB9D911" w14:textId="77777777" w:rsidR="000C6E56" w:rsidRPr="000C6E56" w:rsidRDefault="000C6E56" w:rsidP="000C6E56">
      <w:pPr>
        <w:rPr>
          <w:rFonts w:cstheme="minorHAnsi"/>
          <w:sz w:val="22"/>
          <w:szCs w:val="20"/>
        </w:rPr>
      </w:pPr>
    </w:p>
    <w:tbl>
      <w:tblPr>
        <w:tblStyle w:val="TableGrid"/>
        <w:tblW w:w="0" w:type="auto"/>
        <w:tblLook w:val="01E0" w:firstRow="1" w:lastRow="1" w:firstColumn="1" w:lastColumn="1" w:noHBand="0" w:noVBand="0"/>
        <w:tblCaption w:val="Table E.1"/>
        <w:tblDescription w:val="This table shows the new proposed points tables for baseline points"/>
      </w:tblPr>
      <w:tblGrid>
        <w:gridCol w:w="1122"/>
        <w:gridCol w:w="1963"/>
        <w:gridCol w:w="2126"/>
        <w:gridCol w:w="1843"/>
        <w:gridCol w:w="1843"/>
      </w:tblGrid>
      <w:tr w:rsidR="000C6E56" w:rsidRPr="000C6E56" w14:paraId="4F73E78F" w14:textId="77777777" w:rsidTr="00E5003E">
        <w:trPr>
          <w:trHeight w:val="698"/>
          <w:tblHeader/>
        </w:trPr>
        <w:tc>
          <w:tcPr>
            <w:tcW w:w="1122" w:type="dxa"/>
            <w:shd w:val="clear" w:color="auto" w:fill="516A8E"/>
          </w:tcPr>
          <w:p w14:paraId="71655F54"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Baseline points</w:t>
            </w:r>
          </w:p>
        </w:tc>
        <w:tc>
          <w:tcPr>
            <w:tcW w:w="1963" w:type="dxa"/>
            <w:shd w:val="clear" w:color="auto" w:fill="516A8E"/>
          </w:tcPr>
          <w:p w14:paraId="590711ED"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Average energy content (kJ) per 100 g or 100 mL</w:t>
            </w:r>
          </w:p>
        </w:tc>
        <w:tc>
          <w:tcPr>
            <w:tcW w:w="2126" w:type="dxa"/>
            <w:shd w:val="clear" w:color="auto" w:fill="516A8E"/>
          </w:tcPr>
          <w:p w14:paraId="7F478709"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Average saturated fatty acids (g) per 100 g or 100 mL</w:t>
            </w:r>
          </w:p>
        </w:tc>
        <w:tc>
          <w:tcPr>
            <w:tcW w:w="1843" w:type="dxa"/>
            <w:shd w:val="clear" w:color="auto" w:fill="516A8E"/>
          </w:tcPr>
          <w:p w14:paraId="76147195"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Average total sugars (g) per 100 g or 100 mL</w:t>
            </w:r>
          </w:p>
        </w:tc>
        <w:tc>
          <w:tcPr>
            <w:tcW w:w="1843" w:type="dxa"/>
            <w:shd w:val="clear" w:color="auto" w:fill="516A8E"/>
          </w:tcPr>
          <w:p w14:paraId="09565126" w14:textId="77777777" w:rsidR="000C6E56" w:rsidRPr="000C6E56" w:rsidRDefault="000C6E56" w:rsidP="000C6E56">
            <w:pPr>
              <w:rPr>
                <w:rStyle w:val="Strong"/>
                <w:rFonts w:cstheme="minorHAnsi"/>
                <w:color w:val="FFFFFF" w:themeColor="background1"/>
                <w:sz w:val="20"/>
                <w:szCs w:val="20"/>
              </w:rPr>
            </w:pPr>
            <w:r w:rsidRPr="000C6E56">
              <w:rPr>
                <w:rStyle w:val="Strong"/>
                <w:rFonts w:cstheme="minorHAnsi"/>
                <w:color w:val="FFFFFF" w:themeColor="background1"/>
                <w:sz w:val="20"/>
                <w:szCs w:val="20"/>
              </w:rPr>
              <w:t>Average sodium (mg) per 100 g or 100 mL</w:t>
            </w:r>
          </w:p>
        </w:tc>
      </w:tr>
      <w:tr w:rsidR="000C6E56" w:rsidRPr="000C6E56" w14:paraId="336A3D25" w14:textId="77777777" w:rsidTr="00E5003E">
        <w:trPr>
          <w:trHeight w:val="284"/>
        </w:trPr>
        <w:tc>
          <w:tcPr>
            <w:tcW w:w="1122" w:type="dxa"/>
            <w:shd w:val="clear" w:color="auto" w:fill="F2F2F2" w:themeFill="background1" w:themeFillShade="F2"/>
          </w:tcPr>
          <w:p w14:paraId="2C87411A" w14:textId="77777777" w:rsidR="000C6E56" w:rsidRPr="000C6E56" w:rsidRDefault="000C6E56" w:rsidP="000C6E56">
            <w:pPr>
              <w:pStyle w:val="Table2"/>
              <w:keepNext/>
              <w:keepLines/>
              <w:spacing w:before="0" w:after="0"/>
              <w:jc w:val="center"/>
              <w:rPr>
                <w:rFonts w:asciiTheme="minorHAnsi" w:hAnsiTheme="minorHAnsi" w:cstheme="minorHAnsi"/>
                <w:b/>
              </w:rPr>
            </w:pPr>
            <w:r w:rsidRPr="000C6E56">
              <w:rPr>
                <w:rFonts w:asciiTheme="minorHAnsi" w:hAnsiTheme="minorHAnsi" w:cstheme="minorHAnsi"/>
                <w:b/>
              </w:rPr>
              <w:t>0</w:t>
            </w:r>
          </w:p>
        </w:tc>
        <w:tc>
          <w:tcPr>
            <w:tcW w:w="1963" w:type="dxa"/>
          </w:tcPr>
          <w:p w14:paraId="5BD9485A" w14:textId="77777777" w:rsidR="000C6E56" w:rsidRPr="000C6E56" w:rsidRDefault="000C6E56" w:rsidP="000C6E56">
            <w:pPr>
              <w:pStyle w:val="Table2"/>
              <w:keepNext/>
              <w:keepLines/>
              <w:spacing w:before="0" w:after="0"/>
              <w:jc w:val="center"/>
              <w:rPr>
                <w:rFonts w:asciiTheme="minorHAnsi" w:hAnsiTheme="minorHAnsi" w:cstheme="minorHAnsi"/>
              </w:rPr>
            </w:pPr>
            <w:r w:rsidRPr="000C6E56">
              <w:rPr>
                <w:rFonts w:asciiTheme="minorHAnsi" w:hAnsiTheme="minorHAnsi" w:cstheme="minorHAnsi"/>
              </w:rPr>
              <w:t>≤335</w:t>
            </w:r>
          </w:p>
        </w:tc>
        <w:tc>
          <w:tcPr>
            <w:tcW w:w="2126" w:type="dxa"/>
            <w:shd w:val="clear" w:color="auto" w:fill="auto"/>
          </w:tcPr>
          <w:p w14:paraId="39B99098" w14:textId="77777777" w:rsidR="000C6E56" w:rsidRPr="000C6E56" w:rsidRDefault="000C6E56" w:rsidP="000C6E56">
            <w:pPr>
              <w:pStyle w:val="Table2"/>
              <w:keepNext/>
              <w:keepLines/>
              <w:spacing w:before="0" w:after="0"/>
              <w:jc w:val="center"/>
              <w:rPr>
                <w:rFonts w:asciiTheme="minorHAnsi" w:hAnsiTheme="minorHAnsi" w:cstheme="minorHAnsi"/>
              </w:rPr>
            </w:pPr>
            <w:r w:rsidRPr="000C6E56">
              <w:rPr>
                <w:rFonts w:asciiTheme="minorHAnsi" w:hAnsiTheme="minorHAnsi" w:cstheme="minorHAnsi"/>
              </w:rPr>
              <w:t>≤1.0</w:t>
            </w:r>
          </w:p>
        </w:tc>
        <w:tc>
          <w:tcPr>
            <w:tcW w:w="1843" w:type="dxa"/>
            <w:shd w:val="clear" w:color="auto" w:fill="auto"/>
          </w:tcPr>
          <w:p w14:paraId="1EECE047" w14:textId="1B00E202"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≤5.00</w:t>
            </w:r>
          </w:p>
        </w:tc>
        <w:tc>
          <w:tcPr>
            <w:tcW w:w="1843" w:type="dxa"/>
            <w:shd w:val="clear" w:color="auto" w:fill="auto"/>
          </w:tcPr>
          <w:p w14:paraId="0064BB18" w14:textId="2201B220"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 90</w:t>
            </w:r>
          </w:p>
        </w:tc>
      </w:tr>
      <w:tr w:rsidR="000C6E56" w:rsidRPr="000C6E56" w14:paraId="6F8F4EC5" w14:textId="77777777" w:rsidTr="00E5003E">
        <w:trPr>
          <w:trHeight w:val="284"/>
        </w:trPr>
        <w:tc>
          <w:tcPr>
            <w:tcW w:w="1122" w:type="dxa"/>
            <w:shd w:val="clear" w:color="auto" w:fill="F2F2F2" w:themeFill="background1" w:themeFillShade="F2"/>
          </w:tcPr>
          <w:p w14:paraId="0DB87B7A" w14:textId="77777777" w:rsidR="000C6E56" w:rsidRPr="000C6E56" w:rsidRDefault="000C6E56" w:rsidP="000C6E56">
            <w:pPr>
              <w:pStyle w:val="Table2"/>
              <w:keepNext/>
              <w:keepLines/>
              <w:spacing w:before="0" w:after="0"/>
              <w:jc w:val="center"/>
              <w:rPr>
                <w:rFonts w:asciiTheme="minorHAnsi" w:hAnsiTheme="minorHAnsi" w:cstheme="minorHAnsi"/>
                <w:b/>
              </w:rPr>
            </w:pPr>
            <w:r w:rsidRPr="000C6E56">
              <w:rPr>
                <w:rFonts w:asciiTheme="minorHAnsi" w:hAnsiTheme="minorHAnsi" w:cstheme="minorHAnsi"/>
                <w:b/>
              </w:rPr>
              <w:t>1</w:t>
            </w:r>
          </w:p>
        </w:tc>
        <w:tc>
          <w:tcPr>
            <w:tcW w:w="1963" w:type="dxa"/>
          </w:tcPr>
          <w:p w14:paraId="7965C0AC" w14:textId="77777777" w:rsidR="000C6E56" w:rsidRPr="000C6E56" w:rsidRDefault="000C6E56" w:rsidP="000C6E56">
            <w:pPr>
              <w:pStyle w:val="Table2"/>
              <w:keepNext/>
              <w:keepLines/>
              <w:spacing w:before="0" w:after="0"/>
              <w:jc w:val="center"/>
              <w:rPr>
                <w:rFonts w:asciiTheme="minorHAnsi" w:hAnsiTheme="minorHAnsi" w:cstheme="minorHAnsi"/>
              </w:rPr>
            </w:pPr>
            <w:r w:rsidRPr="000C6E56">
              <w:rPr>
                <w:rFonts w:asciiTheme="minorHAnsi" w:hAnsiTheme="minorHAnsi" w:cstheme="minorHAnsi"/>
              </w:rPr>
              <w:t>&gt;335</w:t>
            </w:r>
          </w:p>
        </w:tc>
        <w:tc>
          <w:tcPr>
            <w:tcW w:w="2126" w:type="dxa"/>
            <w:shd w:val="clear" w:color="auto" w:fill="auto"/>
          </w:tcPr>
          <w:p w14:paraId="4F9D8004" w14:textId="77777777" w:rsidR="000C6E56" w:rsidRPr="000C6E56" w:rsidRDefault="000C6E56" w:rsidP="000C6E56">
            <w:pPr>
              <w:pStyle w:val="Table2"/>
              <w:keepNext/>
              <w:keepLines/>
              <w:spacing w:before="0" w:after="0"/>
              <w:jc w:val="center"/>
              <w:rPr>
                <w:rFonts w:asciiTheme="minorHAnsi" w:hAnsiTheme="minorHAnsi" w:cstheme="minorHAnsi"/>
              </w:rPr>
            </w:pPr>
            <w:r w:rsidRPr="000C6E56">
              <w:rPr>
                <w:rFonts w:asciiTheme="minorHAnsi" w:hAnsiTheme="minorHAnsi" w:cstheme="minorHAnsi"/>
              </w:rPr>
              <w:t>&gt;1.0</w:t>
            </w:r>
          </w:p>
        </w:tc>
        <w:tc>
          <w:tcPr>
            <w:tcW w:w="1843" w:type="dxa"/>
            <w:shd w:val="clear" w:color="auto" w:fill="auto"/>
          </w:tcPr>
          <w:p w14:paraId="68450B44" w14:textId="0BEB32A2"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&gt;5.00</w:t>
            </w:r>
          </w:p>
        </w:tc>
        <w:tc>
          <w:tcPr>
            <w:tcW w:w="1843" w:type="dxa"/>
            <w:shd w:val="clear" w:color="auto" w:fill="auto"/>
          </w:tcPr>
          <w:p w14:paraId="3BCE2C89" w14:textId="4D4F01BC"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&gt;90</w:t>
            </w:r>
          </w:p>
        </w:tc>
      </w:tr>
      <w:tr w:rsidR="000C6E56" w:rsidRPr="000C6E56" w14:paraId="4CE42DC5" w14:textId="77777777" w:rsidTr="00E5003E">
        <w:trPr>
          <w:trHeight w:val="284"/>
        </w:trPr>
        <w:tc>
          <w:tcPr>
            <w:tcW w:w="1122" w:type="dxa"/>
            <w:shd w:val="clear" w:color="auto" w:fill="F2F2F2" w:themeFill="background1" w:themeFillShade="F2"/>
          </w:tcPr>
          <w:p w14:paraId="67CDD4F3"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w:t>
            </w:r>
          </w:p>
        </w:tc>
        <w:tc>
          <w:tcPr>
            <w:tcW w:w="1963" w:type="dxa"/>
          </w:tcPr>
          <w:p w14:paraId="5E6F5201"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&gt;670</w:t>
            </w:r>
          </w:p>
        </w:tc>
        <w:tc>
          <w:tcPr>
            <w:tcW w:w="2126" w:type="dxa"/>
            <w:shd w:val="clear" w:color="auto" w:fill="auto"/>
          </w:tcPr>
          <w:p w14:paraId="6FA9E77F"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&gt;2.0</w:t>
            </w:r>
          </w:p>
        </w:tc>
        <w:tc>
          <w:tcPr>
            <w:tcW w:w="1843" w:type="dxa"/>
            <w:shd w:val="clear" w:color="auto" w:fill="auto"/>
          </w:tcPr>
          <w:p w14:paraId="6422EBFF" w14:textId="5902246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&gt;8.92</w:t>
            </w:r>
          </w:p>
        </w:tc>
        <w:tc>
          <w:tcPr>
            <w:tcW w:w="1843" w:type="dxa"/>
            <w:shd w:val="clear" w:color="auto" w:fill="auto"/>
          </w:tcPr>
          <w:p w14:paraId="2AC46F07" w14:textId="560F4279"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&gt;180</w:t>
            </w:r>
          </w:p>
        </w:tc>
      </w:tr>
      <w:tr w:rsidR="000C6E56" w:rsidRPr="000C6E56" w14:paraId="7F15EADF" w14:textId="77777777" w:rsidTr="00E5003E">
        <w:trPr>
          <w:trHeight w:val="284"/>
        </w:trPr>
        <w:tc>
          <w:tcPr>
            <w:tcW w:w="1122" w:type="dxa"/>
            <w:shd w:val="clear" w:color="auto" w:fill="F2F2F2" w:themeFill="background1" w:themeFillShade="F2"/>
          </w:tcPr>
          <w:p w14:paraId="68BCAA51"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3</w:t>
            </w:r>
          </w:p>
        </w:tc>
        <w:tc>
          <w:tcPr>
            <w:tcW w:w="1963" w:type="dxa"/>
          </w:tcPr>
          <w:p w14:paraId="28DED7C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&gt;1005</w:t>
            </w:r>
          </w:p>
        </w:tc>
        <w:tc>
          <w:tcPr>
            <w:tcW w:w="2126" w:type="dxa"/>
            <w:shd w:val="clear" w:color="auto" w:fill="auto"/>
          </w:tcPr>
          <w:p w14:paraId="08085B17"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&gt;3.0</w:t>
            </w:r>
          </w:p>
        </w:tc>
        <w:tc>
          <w:tcPr>
            <w:tcW w:w="1843" w:type="dxa"/>
            <w:shd w:val="clear" w:color="auto" w:fill="auto"/>
          </w:tcPr>
          <w:p w14:paraId="439B2F83" w14:textId="423B5C0F"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&gt;12.83</w:t>
            </w:r>
          </w:p>
        </w:tc>
        <w:tc>
          <w:tcPr>
            <w:tcW w:w="1843" w:type="dxa"/>
            <w:shd w:val="clear" w:color="auto" w:fill="auto"/>
          </w:tcPr>
          <w:p w14:paraId="337A8A3C" w14:textId="21D96AFE"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&gt;270</w:t>
            </w:r>
          </w:p>
        </w:tc>
      </w:tr>
      <w:tr w:rsidR="000C6E56" w:rsidRPr="000C6E56" w14:paraId="5524D21A" w14:textId="77777777" w:rsidTr="00E5003E">
        <w:trPr>
          <w:trHeight w:val="284"/>
        </w:trPr>
        <w:tc>
          <w:tcPr>
            <w:tcW w:w="1122" w:type="dxa"/>
            <w:shd w:val="clear" w:color="auto" w:fill="F2F2F2" w:themeFill="background1" w:themeFillShade="F2"/>
          </w:tcPr>
          <w:p w14:paraId="06E06D5E"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4</w:t>
            </w:r>
          </w:p>
        </w:tc>
        <w:tc>
          <w:tcPr>
            <w:tcW w:w="1963" w:type="dxa"/>
          </w:tcPr>
          <w:p w14:paraId="6AD06877"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&gt;1340</w:t>
            </w:r>
          </w:p>
        </w:tc>
        <w:tc>
          <w:tcPr>
            <w:tcW w:w="2126" w:type="dxa"/>
            <w:shd w:val="clear" w:color="auto" w:fill="auto"/>
          </w:tcPr>
          <w:p w14:paraId="58449BB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&gt;4.0</w:t>
            </w:r>
          </w:p>
        </w:tc>
        <w:tc>
          <w:tcPr>
            <w:tcW w:w="1843" w:type="dxa"/>
            <w:shd w:val="clear" w:color="auto" w:fill="auto"/>
          </w:tcPr>
          <w:p w14:paraId="5B165FF8" w14:textId="7A4780B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&gt;16.75</w:t>
            </w:r>
          </w:p>
        </w:tc>
        <w:tc>
          <w:tcPr>
            <w:tcW w:w="1843" w:type="dxa"/>
            <w:shd w:val="clear" w:color="auto" w:fill="auto"/>
          </w:tcPr>
          <w:p w14:paraId="046C988B" w14:textId="33575EDA"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&gt;360</w:t>
            </w:r>
          </w:p>
        </w:tc>
      </w:tr>
      <w:tr w:rsidR="000C6E56" w:rsidRPr="000C6E56" w14:paraId="7998AB17" w14:textId="77777777" w:rsidTr="00E5003E">
        <w:trPr>
          <w:trHeight w:val="284"/>
        </w:trPr>
        <w:tc>
          <w:tcPr>
            <w:tcW w:w="1122" w:type="dxa"/>
            <w:shd w:val="clear" w:color="auto" w:fill="F2F2F2" w:themeFill="background1" w:themeFillShade="F2"/>
          </w:tcPr>
          <w:p w14:paraId="009D25D6"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5</w:t>
            </w:r>
          </w:p>
        </w:tc>
        <w:tc>
          <w:tcPr>
            <w:tcW w:w="1963" w:type="dxa"/>
          </w:tcPr>
          <w:p w14:paraId="27C135EC"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&gt;1675</w:t>
            </w:r>
          </w:p>
        </w:tc>
        <w:tc>
          <w:tcPr>
            <w:tcW w:w="2126" w:type="dxa"/>
            <w:shd w:val="clear" w:color="auto" w:fill="auto"/>
          </w:tcPr>
          <w:p w14:paraId="3A3E5489"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&gt;5.0</w:t>
            </w:r>
          </w:p>
        </w:tc>
        <w:tc>
          <w:tcPr>
            <w:tcW w:w="1843" w:type="dxa"/>
            <w:shd w:val="clear" w:color="auto" w:fill="auto"/>
          </w:tcPr>
          <w:p w14:paraId="043DDAC9" w14:textId="2421E172"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&gt;20.67</w:t>
            </w:r>
          </w:p>
        </w:tc>
        <w:tc>
          <w:tcPr>
            <w:tcW w:w="1843" w:type="dxa"/>
            <w:shd w:val="clear" w:color="auto" w:fill="auto"/>
          </w:tcPr>
          <w:p w14:paraId="53FF0611" w14:textId="2E8DC75B"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&gt;450</w:t>
            </w:r>
          </w:p>
        </w:tc>
      </w:tr>
      <w:tr w:rsidR="000C6E56" w:rsidRPr="000C6E56" w14:paraId="3F95EB27" w14:textId="77777777" w:rsidTr="00E5003E">
        <w:trPr>
          <w:trHeight w:val="284"/>
        </w:trPr>
        <w:tc>
          <w:tcPr>
            <w:tcW w:w="1122" w:type="dxa"/>
            <w:shd w:val="clear" w:color="auto" w:fill="F2F2F2" w:themeFill="background1" w:themeFillShade="F2"/>
          </w:tcPr>
          <w:p w14:paraId="70E8874A"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6</w:t>
            </w:r>
          </w:p>
        </w:tc>
        <w:tc>
          <w:tcPr>
            <w:tcW w:w="1963" w:type="dxa"/>
          </w:tcPr>
          <w:p w14:paraId="239B1E7E"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&gt;2010</w:t>
            </w:r>
          </w:p>
        </w:tc>
        <w:tc>
          <w:tcPr>
            <w:tcW w:w="2126" w:type="dxa"/>
            <w:shd w:val="clear" w:color="auto" w:fill="auto"/>
          </w:tcPr>
          <w:p w14:paraId="10ED7DF3"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&gt;6.0</w:t>
            </w:r>
          </w:p>
        </w:tc>
        <w:tc>
          <w:tcPr>
            <w:tcW w:w="1843" w:type="dxa"/>
            <w:shd w:val="clear" w:color="auto" w:fill="auto"/>
          </w:tcPr>
          <w:p w14:paraId="02059345" w14:textId="42D29AB8"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&gt;24.58</w:t>
            </w:r>
          </w:p>
        </w:tc>
        <w:tc>
          <w:tcPr>
            <w:tcW w:w="1843" w:type="dxa"/>
            <w:shd w:val="clear" w:color="auto" w:fill="auto"/>
          </w:tcPr>
          <w:p w14:paraId="2AEF7630" w14:textId="1386DED6"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&gt;540</w:t>
            </w:r>
          </w:p>
        </w:tc>
      </w:tr>
      <w:tr w:rsidR="000C6E56" w:rsidRPr="000C6E56" w14:paraId="4FD8D085" w14:textId="77777777" w:rsidTr="00E5003E">
        <w:trPr>
          <w:trHeight w:val="284"/>
        </w:trPr>
        <w:tc>
          <w:tcPr>
            <w:tcW w:w="1122" w:type="dxa"/>
            <w:shd w:val="clear" w:color="auto" w:fill="F2F2F2" w:themeFill="background1" w:themeFillShade="F2"/>
          </w:tcPr>
          <w:p w14:paraId="756B0E3B"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7</w:t>
            </w:r>
          </w:p>
        </w:tc>
        <w:tc>
          <w:tcPr>
            <w:tcW w:w="1963" w:type="dxa"/>
          </w:tcPr>
          <w:p w14:paraId="270DF02F"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&gt;2345</w:t>
            </w:r>
          </w:p>
        </w:tc>
        <w:tc>
          <w:tcPr>
            <w:tcW w:w="2126" w:type="dxa"/>
            <w:shd w:val="clear" w:color="auto" w:fill="auto"/>
          </w:tcPr>
          <w:p w14:paraId="5CC41390"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&gt;7.0</w:t>
            </w:r>
          </w:p>
        </w:tc>
        <w:tc>
          <w:tcPr>
            <w:tcW w:w="1843" w:type="dxa"/>
            <w:shd w:val="clear" w:color="auto" w:fill="auto"/>
          </w:tcPr>
          <w:p w14:paraId="692F6901" w14:textId="2486698D"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&gt;28.50</w:t>
            </w:r>
          </w:p>
        </w:tc>
        <w:tc>
          <w:tcPr>
            <w:tcW w:w="1843" w:type="dxa"/>
            <w:shd w:val="clear" w:color="auto" w:fill="auto"/>
          </w:tcPr>
          <w:p w14:paraId="5ADC4891" w14:textId="27362278"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&gt;630</w:t>
            </w:r>
          </w:p>
        </w:tc>
      </w:tr>
      <w:tr w:rsidR="000C6E56" w:rsidRPr="000C6E56" w14:paraId="10611A61" w14:textId="77777777" w:rsidTr="00E5003E">
        <w:trPr>
          <w:trHeight w:val="284"/>
        </w:trPr>
        <w:tc>
          <w:tcPr>
            <w:tcW w:w="1122" w:type="dxa"/>
            <w:shd w:val="clear" w:color="auto" w:fill="F2F2F2" w:themeFill="background1" w:themeFillShade="F2"/>
          </w:tcPr>
          <w:p w14:paraId="4BC46318"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8</w:t>
            </w:r>
          </w:p>
        </w:tc>
        <w:tc>
          <w:tcPr>
            <w:tcW w:w="1963" w:type="dxa"/>
          </w:tcPr>
          <w:p w14:paraId="481A7552"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&gt;2680</w:t>
            </w:r>
          </w:p>
        </w:tc>
        <w:tc>
          <w:tcPr>
            <w:tcW w:w="2126" w:type="dxa"/>
            <w:shd w:val="clear" w:color="auto" w:fill="auto"/>
          </w:tcPr>
          <w:p w14:paraId="3A13B051"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&gt;8.0</w:t>
            </w:r>
          </w:p>
        </w:tc>
        <w:tc>
          <w:tcPr>
            <w:tcW w:w="1843" w:type="dxa"/>
            <w:shd w:val="clear" w:color="auto" w:fill="auto"/>
          </w:tcPr>
          <w:p w14:paraId="205FF1FD" w14:textId="538BFE7E"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&gt;32.42</w:t>
            </w:r>
          </w:p>
        </w:tc>
        <w:tc>
          <w:tcPr>
            <w:tcW w:w="1843" w:type="dxa"/>
            <w:shd w:val="clear" w:color="auto" w:fill="auto"/>
          </w:tcPr>
          <w:p w14:paraId="1BD3333B" w14:textId="22B57E9C"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&gt;720</w:t>
            </w:r>
          </w:p>
        </w:tc>
      </w:tr>
      <w:tr w:rsidR="000C6E56" w:rsidRPr="000C6E56" w14:paraId="66EFF3BF" w14:textId="77777777" w:rsidTr="00E5003E">
        <w:trPr>
          <w:trHeight w:val="284"/>
        </w:trPr>
        <w:tc>
          <w:tcPr>
            <w:tcW w:w="1122" w:type="dxa"/>
            <w:shd w:val="clear" w:color="auto" w:fill="F2F2F2" w:themeFill="background1" w:themeFillShade="F2"/>
          </w:tcPr>
          <w:p w14:paraId="783DBAB3"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9</w:t>
            </w:r>
          </w:p>
        </w:tc>
        <w:tc>
          <w:tcPr>
            <w:tcW w:w="1963" w:type="dxa"/>
          </w:tcPr>
          <w:p w14:paraId="73305F7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&gt;3015</w:t>
            </w:r>
          </w:p>
        </w:tc>
        <w:tc>
          <w:tcPr>
            <w:tcW w:w="2126" w:type="dxa"/>
            <w:shd w:val="clear" w:color="auto" w:fill="auto"/>
          </w:tcPr>
          <w:p w14:paraId="21CB0437"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&gt;9.0</w:t>
            </w:r>
          </w:p>
        </w:tc>
        <w:tc>
          <w:tcPr>
            <w:tcW w:w="1843" w:type="dxa"/>
            <w:shd w:val="clear" w:color="auto" w:fill="auto"/>
          </w:tcPr>
          <w:p w14:paraId="046D7D70" w14:textId="3CAF116C"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&gt;36.33</w:t>
            </w:r>
          </w:p>
        </w:tc>
        <w:tc>
          <w:tcPr>
            <w:tcW w:w="1843" w:type="dxa"/>
            <w:shd w:val="clear" w:color="auto" w:fill="auto"/>
          </w:tcPr>
          <w:p w14:paraId="7771E1CA" w14:textId="13B42995"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&gt;810</w:t>
            </w:r>
          </w:p>
        </w:tc>
      </w:tr>
      <w:tr w:rsidR="000C6E56" w:rsidRPr="000C6E56" w14:paraId="1FEB371C" w14:textId="77777777" w:rsidTr="00E5003E">
        <w:trPr>
          <w:trHeight w:val="284"/>
        </w:trPr>
        <w:tc>
          <w:tcPr>
            <w:tcW w:w="1122" w:type="dxa"/>
            <w:shd w:val="clear" w:color="auto" w:fill="F2F2F2" w:themeFill="background1" w:themeFillShade="F2"/>
          </w:tcPr>
          <w:p w14:paraId="1E66DFD9"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10</w:t>
            </w:r>
          </w:p>
        </w:tc>
        <w:tc>
          <w:tcPr>
            <w:tcW w:w="1963" w:type="dxa"/>
          </w:tcPr>
          <w:p w14:paraId="6BA64C2A"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&gt;3350</w:t>
            </w:r>
          </w:p>
        </w:tc>
        <w:tc>
          <w:tcPr>
            <w:tcW w:w="2126" w:type="dxa"/>
            <w:shd w:val="clear" w:color="auto" w:fill="auto"/>
          </w:tcPr>
          <w:p w14:paraId="65C4DA4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&gt;10.0</w:t>
            </w:r>
          </w:p>
        </w:tc>
        <w:tc>
          <w:tcPr>
            <w:tcW w:w="1843" w:type="dxa"/>
            <w:shd w:val="clear" w:color="auto" w:fill="auto"/>
          </w:tcPr>
          <w:p w14:paraId="4BF68260" w14:textId="233C3A6C"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&gt;40.25</w:t>
            </w:r>
          </w:p>
        </w:tc>
        <w:tc>
          <w:tcPr>
            <w:tcW w:w="1843" w:type="dxa"/>
            <w:shd w:val="clear" w:color="auto" w:fill="auto"/>
          </w:tcPr>
          <w:p w14:paraId="4AF479A3" w14:textId="3C3C00FF"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&gt;900</w:t>
            </w:r>
          </w:p>
        </w:tc>
      </w:tr>
      <w:tr w:rsidR="000C6E56" w:rsidRPr="000C6E56" w14:paraId="0A83BB6C" w14:textId="77777777" w:rsidTr="00E5003E">
        <w:trPr>
          <w:trHeight w:val="284"/>
        </w:trPr>
        <w:tc>
          <w:tcPr>
            <w:tcW w:w="1122" w:type="dxa"/>
            <w:shd w:val="clear" w:color="auto" w:fill="F2F2F2" w:themeFill="background1" w:themeFillShade="F2"/>
          </w:tcPr>
          <w:p w14:paraId="1DADFF4C"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11</w:t>
            </w:r>
          </w:p>
        </w:tc>
        <w:tc>
          <w:tcPr>
            <w:tcW w:w="1963" w:type="dxa"/>
          </w:tcPr>
          <w:p w14:paraId="3727BD15" w14:textId="7777777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&gt;3685</w:t>
            </w:r>
          </w:p>
        </w:tc>
        <w:tc>
          <w:tcPr>
            <w:tcW w:w="2126" w:type="dxa"/>
            <w:shd w:val="clear" w:color="auto" w:fill="auto"/>
          </w:tcPr>
          <w:p w14:paraId="0A8DAA7F" w14:textId="77777777" w:rsidR="000C6E56" w:rsidRPr="000C6E56" w:rsidRDefault="000C6E56" w:rsidP="000C6E56">
            <w:pPr>
              <w:jc w:val="center"/>
              <w:rPr>
                <w:rFonts w:cstheme="minorHAnsi"/>
                <w:sz w:val="20"/>
                <w:szCs w:val="20"/>
              </w:rPr>
            </w:pPr>
            <w:r w:rsidRPr="000C6E56">
              <w:rPr>
                <w:rFonts w:cstheme="minorHAnsi"/>
                <w:sz w:val="20"/>
                <w:szCs w:val="20"/>
              </w:rPr>
              <w:t>&gt;11.2</w:t>
            </w:r>
          </w:p>
        </w:tc>
        <w:tc>
          <w:tcPr>
            <w:tcW w:w="1843" w:type="dxa"/>
            <w:shd w:val="clear" w:color="auto" w:fill="auto"/>
          </w:tcPr>
          <w:p w14:paraId="77D271C5" w14:textId="589A0112"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&gt;44.17</w:t>
            </w:r>
          </w:p>
        </w:tc>
        <w:tc>
          <w:tcPr>
            <w:tcW w:w="1843" w:type="dxa"/>
            <w:shd w:val="clear" w:color="auto" w:fill="auto"/>
          </w:tcPr>
          <w:p w14:paraId="5F639624" w14:textId="293BF495"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&gt;990</w:t>
            </w:r>
          </w:p>
        </w:tc>
      </w:tr>
      <w:tr w:rsidR="000C6E56" w:rsidRPr="000C6E56" w14:paraId="0BF3B850" w14:textId="77777777" w:rsidTr="00E5003E">
        <w:trPr>
          <w:trHeight w:val="284"/>
        </w:trPr>
        <w:tc>
          <w:tcPr>
            <w:tcW w:w="1122" w:type="dxa"/>
            <w:shd w:val="clear" w:color="auto" w:fill="F2F2F2" w:themeFill="background1" w:themeFillShade="F2"/>
          </w:tcPr>
          <w:p w14:paraId="7AB9D7A0"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12</w:t>
            </w:r>
          </w:p>
        </w:tc>
        <w:tc>
          <w:tcPr>
            <w:tcW w:w="1963" w:type="dxa"/>
          </w:tcPr>
          <w:p w14:paraId="46921A92"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6E124035" w14:textId="77777777" w:rsidR="000C6E56" w:rsidRPr="000C6E56" w:rsidRDefault="000C6E56" w:rsidP="000C6E56">
            <w:pPr>
              <w:jc w:val="center"/>
              <w:rPr>
                <w:rFonts w:cstheme="minorHAnsi"/>
                <w:sz w:val="20"/>
                <w:szCs w:val="20"/>
              </w:rPr>
            </w:pPr>
            <w:r w:rsidRPr="000C6E56">
              <w:rPr>
                <w:rFonts w:cstheme="minorHAnsi"/>
                <w:sz w:val="20"/>
                <w:szCs w:val="20"/>
              </w:rPr>
              <w:t>&gt;12.5</w:t>
            </w:r>
          </w:p>
        </w:tc>
        <w:tc>
          <w:tcPr>
            <w:tcW w:w="1843" w:type="dxa"/>
            <w:shd w:val="clear" w:color="auto" w:fill="auto"/>
          </w:tcPr>
          <w:p w14:paraId="4D36240B" w14:textId="27280674"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&gt;48.08</w:t>
            </w:r>
          </w:p>
        </w:tc>
        <w:tc>
          <w:tcPr>
            <w:tcW w:w="1843" w:type="dxa"/>
            <w:shd w:val="clear" w:color="auto" w:fill="auto"/>
          </w:tcPr>
          <w:p w14:paraId="31119E54" w14:textId="5BA4EDE1"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&gt;1080</w:t>
            </w:r>
          </w:p>
        </w:tc>
      </w:tr>
      <w:tr w:rsidR="000C6E56" w:rsidRPr="000C6E56" w14:paraId="0A92E933" w14:textId="77777777" w:rsidTr="00E5003E">
        <w:trPr>
          <w:trHeight w:val="284"/>
        </w:trPr>
        <w:tc>
          <w:tcPr>
            <w:tcW w:w="1122" w:type="dxa"/>
            <w:shd w:val="clear" w:color="auto" w:fill="F2F2F2" w:themeFill="background1" w:themeFillShade="F2"/>
          </w:tcPr>
          <w:p w14:paraId="1FF28698"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13</w:t>
            </w:r>
          </w:p>
        </w:tc>
        <w:tc>
          <w:tcPr>
            <w:tcW w:w="1963" w:type="dxa"/>
          </w:tcPr>
          <w:p w14:paraId="36222B2B"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7DEE211" w14:textId="77777777" w:rsidR="000C6E56" w:rsidRPr="000C6E56" w:rsidRDefault="000C6E56" w:rsidP="000C6E56">
            <w:pPr>
              <w:jc w:val="center"/>
              <w:rPr>
                <w:rFonts w:cstheme="minorHAnsi"/>
                <w:sz w:val="20"/>
                <w:szCs w:val="20"/>
              </w:rPr>
            </w:pPr>
            <w:r w:rsidRPr="000C6E56">
              <w:rPr>
                <w:rFonts w:cstheme="minorHAnsi"/>
                <w:sz w:val="20"/>
                <w:szCs w:val="20"/>
              </w:rPr>
              <w:t>&gt;13.9</w:t>
            </w:r>
          </w:p>
        </w:tc>
        <w:tc>
          <w:tcPr>
            <w:tcW w:w="1843" w:type="dxa"/>
            <w:shd w:val="clear" w:color="auto" w:fill="auto"/>
          </w:tcPr>
          <w:p w14:paraId="1C939107" w14:textId="458C4DBB"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&gt;52.00</w:t>
            </w:r>
          </w:p>
        </w:tc>
        <w:tc>
          <w:tcPr>
            <w:tcW w:w="1843" w:type="dxa"/>
            <w:shd w:val="clear" w:color="auto" w:fill="auto"/>
          </w:tcPr>
          <w:p w14:paraId="642F6DC4" w14:textId="73C20B1E"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&gt;1170</w:t>
            </w:r>
          </w:p>
        </w:tc>
      </w:tr>
      <w:tr w:rsidR="000C6E56" w:rsidRPr="000C6E56" w14:paraId="72956B0B" w14:textId="77777777" w:rsidTr="00E5003E">
        <w:trPr>
          <w:trHeight w:val="284"/>
        </w:trPr>
        <w:tc>
          <w:tcPr>
            <w:tcW w:w="1122" w:type="dxa"/>
            <w:shd w:val="clear" w:color="auto" w:fill="F2F2F2" w:themeFill="background1" w:themeFillShade="F2"/>
          </w:tcPr>
          <w:p w14:paraId="4108F9B5"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14</w:t>
            </w:r>
          </w:p>
        </w:tc>
        <w:tc>
          <w:tcPr>
            <w:tcW w:w="1963" w:type="dxa"/>
          </w:tcPr>
          <w:p w14:paraId="106066BB"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D51BC78" w14:textId="77777777" w:rsidR="000C6E56" w:rsidRPr="000C6E56" w:rsidRDefault="000C6E56" w:rsidP="000C6E56">
            <w:pPr>
              <w:jc w:val="center"/>
              <w:rPr>
                <w:rFonts w:cstheme="minorHAnsi"/>
                <w:sz w:val="20"/>
                <w:szCs w:val="20"/>
              </w:rPr>
            </w:pPr>
            <w:r w:rsidRPr="000C6E56">
              <w:rPr>
                <w:rFonts w:cstheme="minorHAnsi"/>
                <w:sz w:val="20"/>
                <w:szCs w:val="20"/>
              </w:rPr>
              <w:t>&gt;15.5</w:t>
            </w:r>
          </w:p>
        </w:tc>
        <w:tc>
          <w:tcPr>
            <w:tcW w:w="1843" w:type="dxa"/>
            <w:shd w:val="clear" w:color="auto" w:fill="auto"/>
          </w:tcPr>
          <w:p w14:paraId="23B82BB3" w14:textId="328EE49D"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&gt;55.92</w:t>
            </w:r>
          </w:p>
        </w:tc>
        <w:tc>
          <w:tcPr>
            <w:tcW w:w="1843" w:type="dxa"/>
            <w:shd w:val="clear" w:color="auto" w:fill="auto"/>
          </w:tcPr>
          <w:p w14:paraId="6B713F47" w14:textId="6301C5B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&gt;1260</w:t>
            </w:r>
          </w:p>
        </w:tc>
      </w:tr>
      <w:tr w:rsidR="000C6E56" w:rsidRPr="000C6E56" w14:paraId="72C8CAB7" w14:textId="77777777" w:rsidTr="00E5003E">
        <w:trPr>
          <w:trHeight w:val="284"/>
        </w:trPr>
        <w:tc>
          <w:tcPr>
            <w:tcW w:w="1122" w:type="dxa"/>
            <w:shd w:val="clear" w:color="auto" w:fill="F2F2F2" w:themeFill="background1" w:themeFillShade="F2"/>
          </w:tcPr>
          <w:p w14:paraId="693886B2"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15</w:t>
            </w:r>
          </w:p>
        </w:tc>
        <w:tc>
          <w:tcPr>
            <w:tcW w:w="1963" w:type="dxa"/>
          </w:tcPr>
          <w:p w14:paraId="389444B0"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2B1BEE9A" w14:textId="77777777" w:rsidR="000C6E56" w:rsidRPr="000C6E56" w:rsidRDefault="000C6E56" w:rsidP="000C6E56">
            <w:pPr>
              <w:jc w:val="center"/>
              <w:rPr>
                <w:rFonts w:cstheme="minorHAnsi"/>
                <w:sz w:val="20"/>
                <w:szCs w:val="20"/>
              </w:rPr>
            </w:pPr>
            <w:r w:rsidRPr="000C6E56">
              <w:rPr>
                <w:rFonts w:cstheme="minorHAnsi"/>
                <w:sz w:val="20"/>
                <w:szCs w:val="20"/>
              </w:rPr>
              <w:t>&gt;17.3</w:t>
            </w:r>
          </w:p>
        </w:tc>
        <w:tc>
          <w:tcPr>
            <w:tcW w:w="1843" w:type="dxa"/>
            <w:shd w:val="clear" w:color="auto" w:fill="auto"/>
          </w:tcPr>
          <w:p w14:paraId="699D5B8A" w14:textId="2EE5212B"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&gt;59.83</w:t>
            </w:r>
          </w:p>
        </w:tc>
        <w:tc>
          <w:tcPr>
            <w:tcW w:w="1843" w:type="dxa"/>
            <w:shd w:val="clear" w:color="auto" w:fill="auto"/>
          </w:tcPr>
          <w:p w14:paraId="54CDB5EB" w14:textId="0BB39E7D"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&gt;1350</w:t>
            </w:r>
          </w:p>
        </w:tc>
      </w:tr>
      <w:tr w:rsidR="000C6E56" w:rsidRPr="000C6E56" w14:paraId="4372EEAF" w14:textId="77777777" w:rsidTr="00E5003E">
        <w:trPr>
          <w:trHeight w:val="284"/>
        </w:trPr>
        <w:tc>
          <w:tcPr>
            <w:tcW w:w="1122" w:type="dxa"/>
            <w:shd w:val="clear" w:color="auto" w:fill="F2F2F2" w:themeFill="background1" w:themeFillShade="F2"/>
          </w:tcPr>
          <w:p w14:paraId="1C15C039"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16</w:t>
            </w:r>
          </w:p>
        </w:tc>
        <w:tc>
          <w:tcPr>
            <w:tcW w:w="1963" w:type="dxa"/>
          </w:tcPr>
          <w:p w14:paraId="097C1A5C"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790BF21E" w14:textId="77777777" w:rsidR="000C6E56" w:rsidRPr="000C6E56" w:rsidRDefault="000C6E56" w:rsidP="000C6E56">
            <w:pPr>
              <w:jc w:val="center"/>
              <w:rPr>
                <w:rFonts w:cstheme="minorHAnsi"/>
                <w:sz w:val="20"/>
                <w:szCs w:val="20"/>
              </w:rPr>
            </w:pPr>
            <w:r w:rsidRPr="000C6E56">
              <w:rPr>
                <w:rFonts w:cstheme="minorHAnsi"/>
                <w:sz w:val="20"/>
                <w:szCs w:val="20"/>
              </w:rPr>
              <w:t>&gt;19.3</w:t>
            </w:r>
          </w:p>
        </w:tc>
        <w:tc>
          <w:tcPr>
            <w:tcW w:w="1843" w:type="dxa"/>
            <w:shd w:val="clear" w:color="auto" w:fill="auto"/>
          </w:tcPr>
          <w:p w14:paraId="5A5459AA" w14:textId="27364910"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&gt;63.75</w:t>
            </w:r>
          </w:p>
        </w:tc>
        <w:tc>
          <w:tcPr>
            <w:tcW w:w="1843" w:type="dxa"/>
            <w:shd w:val="clear" w:color="auto" w:fill="auto"/>
          </w:tcPr>
          <w:p w14:paraId="7100B6D5" w14:textId="5104B2D2"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&gt;1440</w:t>
            </w:r>
          </w:p>
        </w:tc>
      </w:tr>
      <w:tr w:rsidR="000C6E56" w:rsidRPr="000C6E56" w14:paraId="56279058" w14:textId="77777777" w:rsidTr="00E5003E">
        <w:trPr>
          <w:trHeight w:val="284"/>
        </w:trPr>
        <w:tc>
          <w:tcPr>
            <w:tcW w:w="1122" w:type="dxa"/>
            <w:shd w:val="clear" w:color="auto" w:fill="F2F2F2" w:themeFill="background1" w:themeFillShade="F2"/>
          </w:tcPr>
          <w:p w14:paraId="2B3B793B"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17</w:t>
            </w:r>
          </w:p>
        </w:tc>
        <w:tc>
          <w:tcPr>
            <w:tcW w:w="1963" w:type="dxa"/>
          </w:tcPr>
          <w:p w14:paraId="23A6951E"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48B35AB8" w14:textId="77777777" w:rsidR="000C6E56" w:rsidRPr="000C6E56" w:rsidRDefault="000C6E56" w:rsidP="000C6E56">
            <w:pPr>
              <w:jc w:val="center"/>
              <w:rPr>
                <w:rFonts w:cstheme="minorHAnsi"/>
                <w:sz w:val="20"/>
                <w:szCs w:val="20"/>
              </w:rPr>
            </w:pPr>
            <w:r w:rsidRPr="000C6E56">
              <w:rPr>
                <w:rFonts w:cstheme="minorHAnsi"/>
                <w:sz w:val="20"/>
                <w:szCs w:val="20"/>
              </w:rPr>
              <w:t>&gt;21.6</w:t>
            </w:r>
          </w:p>
        </w:tc>
        <w:tc>
          <w:tcPr>
            <w:tcW w:w="1843" w:type="dxa"/>
            <w:shd w:val="clear" w:color="auto" w:fill="auto"/>
          </w:tcPr>
          <w:p w14:paraId="23AC0EE0" w14:textId="689DA781"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&gt;67.67</w:t>
            </w:r>
          </w:p>
        </w:tc>
        <w:tc>
          <w:tcPr>
            <w:tcW w:w="1843" w:type="dxa"/>
            <w:shd w:val="clear" w:color="auto" w:fill="auto"/>
          </w:tcPr>
          <w:p w14:paraId="1AC36C89" w14:textId="7259F9AC"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&gt;1530</w:t>
            </w:r>
          </w:p>
        </w:tc>
      </w:tr>
      <w:tr w:rsidR="000C6E56" w:rsidRPr="000C6E56" w14:paraId="5E735137" w14:textId="77777777" w:rsidTr="00E5003E">
        <w:trPr>
          <w:trHeight w:val="284"/>
        </w:trPr>
        <w:tc>
          <w:tcPr>
            <w:tcW w:w="1122" w:type="dxa"/>
            <w:shd w:val="clear" w:color="auto" w:fill="F2F2F2" w:themeFill="background1" w:themeFillShade="F2"/>
          </w:tcPr>
          <w:p w14:paraId="46D9723C"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18</w:t>
            </w:r>
          </w:p>
        </w:tc>
        <w:tc>
          <w:tcPr>
            <w:tcW w:w="1963" w:type="dxa"/>
          </w:tcPr>
          <w:p w14:paraId="1F0041B7"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67E5BBC1" w14:textId="77777777" w:rsidR="000C6E56" w:rsidRPr="000C6E56" w:rsidRDefault="000C6E56" w:rsidP="000C6E56">
            <w:pPr>
              <w:jc w:val="center"/>
              <w:rPr>
                <w:rFonts w:cstheme="minorHAnsi"/>
                <w:sz w:val="20"/>
                <w:szCs w:val="20"/>
              </w:rPr>
            </w:pPr>
            <w:r w:rsidRPr="000C6E56">
              <w:rPr>
                <w:rFonts w:cstheme="minorHAnsi"/>
                <w:sz w:val="20"/>
                <w:szCs w:val="20"/>
              </w:rPr>
              <w:t>&gt;24.1</w:t>
            </w:r>
          </w:p>
        </w:tc>
        <w:tc>
          <w:tcPr>
            <w:tcW w:w="1843" w:type="dxa"/>
            <w:shd w:val="clear" w:color="auto" w:fill="auto"/>
          </w:tcPr>
          <w:p w14:paraId="7360D6BE" w14:textId="032FDEA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&gt;71.58</w:t>
            </w:r>
          </w:p>
        </w:tc>
        <w:tc>
          <w:tcPr>
            <w:tcW w:w="1843" w:type="dxa"/>
            <w:shd w:val="clear" w:color="auto" w:fill="auto"/>
          </w:tcPr>
          <w:p w14:paraId="651B2BFC" w14:textId="348832C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&gt;1620</w:t>
            </w:r>
          </w:p>
        </w:tc>
      </w:tr>
      <w:tr w:rsidR="000C6E56" w:rsidRPr="000C6E56" w14:paraId="721C08DA" w14:textId="77777777" w:rsidTr="00E5003E">
        <w:trPr>
          <w:trHeight w:val="284"/>
        </w:trPr>
        <w:tc>
          <w:tcPr>
            <w:tcW w:w="1122" w:type="dxa"/>
            <w:shd w:val="clear" w:color="auto" w:fill="F2F2F2" w:themeFill="background1" w:themeFillShade="F2"/>
          </w:tcPr>
          <w:p w14:paraId="08FF8FB0"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19</w:t>
            </w:r>
          </w:p>
        </w:tc>
        <w:tc>
          <w:tcPr>
            <w:tcW w:w="1963" w:type="dxa"/>
          </w:tcPr>
          <w:p w14:paraId="4F380B35"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3412D9E7" w14:textId="77777777" w:rsidR="000C6E56" w:rsidRPr="000C6E56" w:rsidRDefault="000C6E56" w:rsidP="000C6E56">
            <w:pPr>
              <w:jc w:val="center"/>
              <w:rPr>
                <w:rFonts w:cstheme="minorHAnsi"/>
                <w:sz w:val="20"/>
                <w:szCs w:val="20"/>
              </w:rPr>
            </w:pPr>
            <w:r w:rsidRPr="000C6E56">
              <w:rPr>
                <w:rFonts w:cstheme="minorHAnsi"/>
                <w:sz w:val="20"/>
                <w:szCs w:val="20"/>
              </w:rPr>
              <w:t>&gt;26.9</w:t>
            </w:r>
          </w:p>
        </w:tc>
        <w:tc>
          <w:tcPr>
            <w:tcW w:w="1843" w:type="dxa"/>
            <w:shd w:val="clear" w:color="auto" w:fill="auto"/>
          </w:tcPr>
          <w:p w14:paraId="523E511A" w14:textId="5E7D5787"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&gt;75.50</w:t>
            </w:r>
          </w:p>
        </w:tc>
        <w:tc>
          <w:tcPr>
            <w:tcW w:w="1843" w:type="dxa"/>
            <w:shd w:val="clear" w:color="auto" w:fill="auto"/>
          </w:tcPr>
          <w:p w14:paraId="3BBA38A6" w14:textId="7B667F0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&gt;1710</w:t>
            </w:r>
          </w:p>
        </w:tc>
      </w:tr>
      <w:tr w:rsidR="000C6E56" w:rsidRPr="000C6E56" w14:paraId="54494D39" w14:textId="77777777" w:rsidTr="00E5003E">
        <w:trPr>
          <w:trHeight w:val="284"/>
        </w:trPr>
        <w:tc>
          <w:tcPr>
            <w:tcW w:w="1122" w:type="dxa"/>
            <w:shd w:val="clear" w:color="auto" w:fill="F2F2F2" w:themeFill="background1" w:themeFillShade="F2"/>
          </w:tcPr>
          <w:p w14:paraId="388C7727"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20</w:t>
            </w:r>
          </w:p>
        </w:tc>
        <w:tc>
          <w:tcPr>
            <w:tcW w:w="1963" w:type="dxa"/>
          </w:tcPr>
          <w:p w14:paraId="7FC3D2A1"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167464ED" w14:textId="77777777" w:rsidR="000C6E56" w:rsidRPr="000C6E56" w:rsidRDefault="000C6E56" w:rsidP="000C6E56">
            <w:pPr>
              <w:jc w:val="center"/>
              <w:rPr>
                <w:rFonts w:cstheme="minorHAnsi"/>
                <w:sz w:val="20"/>
                <w:szCs w:val="20"/>
              </w:rPr>
            </w:pPr>
            <w:r w:rsidRPr="000C6E56">
              <w:rPr>
                <w:rFonts w:cstheme="minorHAnsi"/>
                <w:sz w:val="20"/>
                <w:szCs w:val="20"/>
              </w:rPr>
              <w:t>&gt;30.0</w:t>
            </w:r>
          </w:p>
        </w:tc>
        <w:tc>
          <w:tcPr>
            <w:tcW w:w="1843" w:type="dxa"/>
            <w:shd w:val="clear" w:color="auto" w:fill="auto"/>
          </w:tcPr>
          <w:p w14:paraId="0A508416" w14:textId="0993ABFE"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&gt;79.42</w:t>
            </w:r>
          </w:p>
        </w:tc>
        <w:tc>
          <w:tcPr>
            <w:tcW w:w="1843" w:type="dxa"/>
            <w:shd w:val="clear" w:color="auto" w:fill="auto"/>
          </w:tcPr>
          <w:p w14:paraId="4DE7E502" w14:textId="65D2A58F"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&gt;1800</w:t>
            </w:r>
          </w:p>
        </w:tc>
      </w:tr>
      <w:tr w:rsidR="000C6E56" w:rsidRPr="000C6E56" w14:paraId="2F4AAFF6" w14:textId="77777777" w:rsidTr="00E5003E">
        <w:trPr>
          <w:trHeight w:val="284"/>
        </w:trPr>
        <w:tc>
          <w:tcPr>
            <w:tcW w:w="1122" w:type="dxa"/>
            <w:shd w:val="clear" w:color="auto" w:fill="F2F2F2" w:themeFill="background1" w:themeFillShade="F2"/>
          </w:tcPr>
          <w:p w14:paraId="1B247932"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21</w:t>
            </w:r>
          </w:p>
        </w:tc>
        <w:tc>
          <w:tcPr>
            <w:tcW w:w="1963" w:type="dxa"/>
          </w:tcPr>
          <w:p w14:paraId="614A45CF"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7964FD72" w14:textId="77777777" w:rsidR="000C6E56" w:rsidRPr="000C6E56" w:rsidRDefault="000C6E56" w:rsidP="000C6E56">
            <w:pPr>
              <w:jc w:val="center"/>
              <w:rPr>
                <w:rFonts w:cstheme="minorHAnsi"/>
                <w:sz w:val="20"/>
                <w:szCs w:val="20"/>
              </w:rPr>
            </w:pPr>
            <w:r w:rsidRPr="000C6E56">
              <w:rPr>
                <w:rFonts w:cstheme="minorHAnsi"/>
                <w:sz w:val="20"/>
                <w:szCs w:val="20"/>
              </w:rPr>
              <w:t>&gt;33.5</w:t>
            </w:r>
          </w:p>
        </w:tc>
        <w:tc>
          <w:tcPr>
            <w:tcW w:w="1843" w:type="dxa"/>
            <w:shd w:val="clear" w:color="auto" w:fill="auto"/>
          </w:tcPr>
          <w:p w14:paraId="325C0A28" w14:textId="0139E081"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&gt;83.33</w:t>
            </w:r>
          </w:p>
        </w:tc>
        <w:tc>
          <w:tcPr>
            <w:tcW w:w="1843" w:type="dxa"/>
            <w:shd w:val="clear" w:color="auto" w:fill="auto"/>
          </w:tcPr>
          <w:p w14:paraId="0FFE713B" w14:textId="22B5DD02"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&gt;1890</w:t>
            </w:r>
          </w:p>
        </w:tc>
      </w:tr>
      <w:tr w:rsidR="000C6E56" w:rsidRPr="000C6E56" w14:paraId="529B1F94" w14:textId="77777777" w:rsidTr="00E5003E">
        <w:trPr>
          <w:trHeight w:val="284"/>
        </w:trPr>
        <w:tc>
          <w:tcPr>
            <w:tcW w:w="1122" w:type="dxa"/>
            <w:shd w:val="clear" w:color="auto" w:fill="F2F2F2" w:themeFill="background1" w:themeFillShade="F2"/>
          </w:tcPr>
          <w:p w14:paraId="5F4D4DCD"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22</w:t>
            </w:r>
          </w:p>
        </w:tc>
        <w:tc>
          <w:tcPr>
            <w:tcW w:w="1963" w:type="dxa"/>
          </w:tcPr>
          <w:p w14:paraId="33AE9EB8"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4D0BCC3D" w14:textId="77777777" w:rsidR="000C6E56" w:rsidRPr="000C6E56" w:rsidRDefault="000C6E56" w:rsidP="000C6E56">
            <w:pPr>
              <w:jc w:val="center"/>
              <w:rPr>
                <w:rFonts w:cstheme="minorHAnsi"/>
                <w:sz w:val="20"/>
                <w:szCs w:val="20"/>
              </w:rPr>
            </w:pPr>
            <w:r w:rsidRPr="000C6E56">
              <w:rPr>
                <w:rFonts w:cstheme="minorHAnsi"/>
                <w:sz w:val="20"/>
                <w:szCs w:val="20"/>
              </w:rPr>
              <w:t>&gt;37.4</w:t>
            </w:r>
          </w:p>
        </w:tc>
        <w:tc>
          <w:tcPr>
            <w:tcW w:w="1843" w:type="dxa"/>
            <w:shd w:val="clear" w:color="auto" w:fill="auto"/>
          </w:tcPr>
          <w:p w14:paraId="58A7205E" w14:textId="2466754E"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&gt;87.25</w:t>
            </w:r>
          </w:p>
        </w:tc>
        <w:tc>
          <w:tcPr>
            <w:tcW w:w="1843" w:type="dxa"/>
            <w:shd w:val="clear" w:color="auto" w:fill="auto"/>
          </w:tcPr>
          <w:p w14:paraId="1E9198AE" w14:textId="47256604"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&gt;1980</w:t>
            </w:r>
          </w:p>
        </w:tc>
      </w:tr>
      <w:tr w:rsidR="000C6E56" w:rsidRPr="000C6E56" w14:paraId="4DEA6B50" w14:textId="77777777" w:rsidTr="00E5003E">
        <w:trPr>
          <w:trHeight w:val="284"/>
        </w:trPr>
        <w:tc>
          <w:tcPr>
            <w:tcW w:w="1122" w:type="dxa"/>
            <w:shd w:val="clear" w:color="auto" w:fill="F2F2F2" w:themeFill="background1" w:themeFillShade="F2"/>
          </w:tcPr>
          <w:p w14:paraId="24175ED6"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23</w:t>
            </w:r>
          </w:p>
        </w:tc>
        <w:tc>
          <w:tcPr>
            <w:tcW w:w="1963" w:type="dxa"/>
          </w:tcPr>
          <w:p w14:paraId="2F9E0B10"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D1B3E0D" w14:textId="77777777" w:rsidR="000C6E56" w:rsidRPr="000C6E56" w:rsidRDefault="000C6E56" w:rsidP="000C6E56">
            <w:pPr>
              <w:jc w:val="center"/>
              <w:rPr>
                <w:rFonts w:cstheme="minorHAnsi"/>
                <w:sz w:val="20"/>
                <w:szCs w:val="20"/>
              </w:rPr>
            </w:pPr>
            <w:r w:rsidRPr="000C6E56">
              <w:rPr>
                <w:rFonts w:cstheme="minorHAnsi"/>
                <w:sz w:val="20"/>
                <w:szCs w:val="20"/>
              </w:rPr>
              <w:t>&gt;41.7</w:t>
            </w:r>
          </w:p>
        </w:tc>
        <w:tc>
          <w:tcPr>
            <w:tcW w:w="1843" w:type="dxa"/>
            <w:shd w:val="clear" w:color="auto" w:fill="auto"/>
          </w:tcPr>
          <w:p w14:paraId="79285F5F" w14:textId="09AEECE9"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&gt;91.17</w:t>
            </w:r>
          </w:p>
        </w:tc>
        <w:tc>
          <w:tcPr>
            <w:tcW w:w="1843" w:type="dxa"/>
            <w:shd w:val="clear" w:color="auto" w:fill="auto"/>
          </w:tcPr>
          <w:p w14:paraId="1CDFB9DF" w14:textId="015604CF"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&gt;2070</w:t>
            </w:r>
          </w:p>
        </w:tc>
      </w:tr>
      <w:tr w:rsidR="000C6E56" w:rsidRPr="000C6E56" w14:paraId="0B427093" w14:textId="77777777" w:rsidTr="00E5003E">
        <w:trPr>
          <w:trHeight w:val="284"/>
        </w:trPr>
        <w:tc>
          <w:tcPr>
            <w:tcW w:w="1122" w:type="dxa"/>
            <w:shd w:val="clear" w:color="auto" w:fill="F2F2F2" w:themeFill="background1" w:themeFillShade="F2"/>
          </w:tcPr>
          <w:p w14:paraId="3523CAF5"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24</w:t>
            </w:r>
          </w:p>
        </w:tc>
        <w:tc>
          <w:tcPr>
            <w:tcW w:w="1963" w:type="dxa"/>
          </w:tcPr>
          <w:p w14:paraId="392DEC40"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31CD2586" w14:textId="77777777" w:rsidR="000C6E56" w:rsidRPr="000C6E56" w:rsidRDefault="000C6E56" w:rsidP="000C6E56">
            <w:pPr>
              <w:jc w:val="center"/>
              <w:rPr>
                <w:rFonts w:cstheme="minorHAnsi"/>
                <w:sz w:val="20"/>
                <w:szCs w:val="20"/>
              </w:rPr>
            </w:pPr>
            <w:r w:rsidRPr="000C6E56">
              <w:rPr>
                <w:rFonts w:cstheme="minorHAnsi"/>
                <w:sz w:val="20"/>
                <w:szCs w:val="20"/>
              </w:rPr>
              <w:t>&gt;46.6</w:t>
            </w:r>
          </w:p>
        </w:tc>
        <w:tc>
          <w:tcPr>
            <w:tcW w:w="1843" w:type="dxa"/>
            <w:shd w:val="clear" w:color="auto" w:fill="auto"/>
          </w:tcPr>
          <w:p w14:paraId="26254A17" w14:textId="16C34EC5"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&gt;95.08</w:t>
            </w:r>
          </w:p>
        </w:tc>
        <w:tc>
          <w:tcPr>
            <w:tcW w:w="1843" w:type="dxa"/>
            <w:shd w:val="clear" w:color="auto" w:fill="auto"/>
          </w:tcPr>
          <w:p w14:paraId="7F9827F9" w14:textId="014BA0B8"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&gt;2160</w:t>
            </w:r>
          </w:p>
        </w:tc>
      </w:tr>
      <w:tr w:rsidR="000C6E56" w:rsidRPr="000C6E56" w14:paraId="54FE97CC" w14:textId="77777777" w:rsidTr="00E5003E">
        <w:trPr>
          <w:trHeight w:val="284"/>
        </w:trPr>
        <w:tc>
          <w:tcPr>
            <w:tcW w:w="1122" w:type="dxa"/>
            <w:shd w:val="clear" w:color="auto" w:fill="F2F2F2" w:themeFill="background1" w:themeFillShade="F2"/>
          </w:tcPr>
          <w:p w14:paraId="0EE56749"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25</w:t>
            </w:r>
          </w:p>
        </w:tc>
        <w:tc>
          <w:tcPr>
            <w:tcW w:w="1963" w:type="dxa"/>
          </w:tcPr>
          <w:p w14:paraId="11B8119F"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D88B9C8" w14:textId="77777777" w:rsidR="000C6E56" w:rsidRPr="000C6E56" w:rsidRDefault="000C6E56" w:rsidP="000C6E56">
            <w:pPr>
              <w:jc w:val="center"/>
              <w:rPr>
                <w:rFonts w:cstheme="minorHAnsi"/>
                <w:sz w:val="20"/>
                <w:szCs w:val="20"/>
              </w:rPr>
            </w:pPr>
            <w:r w:rsidRPr="000C6E56">
              <w:rPr>
                <w:rFonts w:cstheme="minorHAnsi"/>
                <w:sz w:val="20"/>
                <w:szCs w:val="20"/>
              </w:rPr>
              <w:t>&gt;52.0</w:t>
            </w:r>
          </w:p>
        </w:tc>
        <w:tc>
          <w:tcPr>
            <w:tcW w:w="1843" w:type="dxa"/>
            <w:shd w:val="clear" w:color="auto" w:fill="auto"/>
          </w:tcPr>
          <w:p w14:paraId="614C1043" w14:textId="5DB1AC86" w:rsidR="000C6E56" w:rsidRPr="000C6E56" w:rsidRDefault="000C6E56" w:rsidP="000C6E56">
            <w:pPr>
              <w:pStyle w:val="Table2"/>
              <w:spacing w:before="0" w:after="0"/>
              <w:jc w:val="center"/>
              <w:rPr>
                <w:rFonts w:asciiTheme="minorHAnsi" w:hAnsiTheme="minorHAnsi" w:cstheme="minorHAnsi"/>
              </w:rPr>
            </w:pPr>
            <w:r w:rsidRPr="000C6E56">
              <w:rPr>
                <w:rFonts w:asciiTheme="minorHAnsi" w:hAnsiTheme="minorHAnsi" w:cstheme="minorHAnsi"/>
              </w:rPr>
              <w:t>&gt;99.00</w:t>
            </w:r>
          </w:p>
        </w:tc>
        <w:tc>
          <w:tcPr>
            <w:tcW w:w="1843" w:type="dxa"/>
            <w:shd w:val="clear" w:color="auto" w:fill="auto"/>
          </w:tcPr>
          <w:p w14:paraId="3E18B5AE" w14:textId="2EBB9126"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&gt;2250</w:t>
            </w:r>
          </w:p>
        </w:tc>
      </w:tr>
      <w:tr w:rsidR="000C6E56" w:rsidRPr="000C6E56" w14:paraId="63CAA9A4" w14:textId="77777777" w:rsidTr="00E5003E">
        <w:trPr>
          <w:trHeight w:val="284"/>
        </w:trPr>
        <w:tc>
          <w:tcPr>
            <w:tcW w:w="1122" w:type="dxa"/>
            <w:shd w:val="clear" w:color="auto" w:fill="F2F2F2" w:themeFill="background1" w:themeFillShade="F2"/>
          </w:tcPr>
          <w:p w14:paraId="461240CE"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26</w:t>
            </w:r>
          </w:p>
        </w:tc>
        <w:tc>
          <w:tcPr>
            <w:tcW w:w="1963" w:type="dxa"/>
          </w:tcPr>
          <w:p w14:paraId="454CF48E"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344EBDA2" w14:textId="77777777" w:rsidR="000C6E56" w:rsidRPr="000C6E56" w:rsidRDefault="000C6E56" w:rsidP="000C6E56">
            <w:pPr>
              <w:jc w:val="center"/>
              <w:rPr>
                <w:rFonts w:cstheme="minorHAnsi"/>
                <w:sz w:val="20"/>
                <w:szCs w:val="20"/>
              </w:rPr>
            </w:pPr>
            <w:r w:rsidRPr="000C6E56">
              <w:rPr>
                <w:rFonts w:cstheme="minorHAnsi"/>
                <w:sz w:val="20"/>
                <w:szCs w:val="20"/>
              </w:rPr>
              <w:t>&gt;58.0</w:t>
            </w:r>
          </w:p>
        </w:tc>
        <w:tc>
          <w:tcPr>
            <w:tcW w:w="1843" w:type="dxa"/>
            <w:shd w:val="clear" w:color="auto" w:fill="auto"/>
          </w:tcPr>
          <w:p w14:paraId="4BCDC5B8"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302703D4" w14:textId="0C5CFD8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&gt;2340</w:t>
            </w:r>
          </w:p>
        </w:tc>
      </w:tr>
      <w:tr w:rsidR="000C6E56" w:rsidRPr="000C6E56" w14:paraId="458A01DC" w14:textId="77777777" w:rsidTr="00E5003E">
        <w:trPr>
          <w:trHeight w:val="284"/>
        </w:trPr>
        <w:tc>
          <w:tcPr>
            <w:tcW w:w="1122" w:type="dxa"/>
            <w:shd w:val="clear" w:color="auto" w:fill="F2F2F2" w:themeFill="background1" w:themeFillShade="F2"/>
          </w:tcPr>
          <w:p w14:paraId="70DAD94F"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27</w:t>
            </w:r>
          </w:p>
        </w:tc>
        <w:tc>
          <w:tcPr>
            <w:tcW w:w="1963" w:type="dxa"/>
          </w:tcPr>
          <w:p w14:paraId="16CF98A6"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351FCFFA" w14:textId="77777777" w:rsidR="000C6E56" w:rsidRPr="000C6E56" w:rsidRDefault="000C6E56" w:rsidP="000C6E56">
            <w:pPr>
              <w:jc w:val="center"/>
              <w:rPr>
                <w:rFonts w:cstheme="minorHAnsi"/>
                <w:sz w:val="20"/>
                <w:szCs w:val="20"/>
              </w:rPr>
            </w:pPr>
            <w:r w:rsidRPr="000C6E56">
              <w:rPr>
                <w:rFonts w:cstheme="minorHAnsi"/>
                <w:sz w:val="20"/>
                <w:szCs w:val="20"/>
              </w:rPr>
              <w:t>&gt;64.7</w:t>
            </w:r>
          </w:p>
        </w:tc>
        <w:tc>
          <w:tcPr>
            <w:tcW w:w="1843" w:type="dxa"/>
            <w:shd w:val="clear" w:color="auto" w:fill="auto"/>
          </w:tcPr>
          <w:p w14:paraId="207A8217"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16DD5EC9" w14:textId="091FD83A" w:rsidR="000C6E56" w:rsidRPr="000C6E56" w:rsidRDefault="000C6E56" w:rsidP="000C6E56">
            <w:pPr>
              <w:jc w:val="center"/>
              <w:rPr>
                <w:rFonts w:eastAsia="Times New Roman" w:cstheme="minorHAnsi"/>
                <w:bCs/>
                <w:sz w:val="20"/>
                <w:szCs w:val="20"/>
                <w:lang w:val="en-GB"/>
              </w:rPr>
            </w:pPr>
            <w:r w:rsidRPr="000C6E56">
              <w:rPr>
                <w:rFonts w:eastAsia="Times New Roman" w:cstheme="minorHAnsi"/>
                <w:bCs/>
                <w:sz w:val="20"/>
                <w:szCs w:val="20"/>
                <w:lang w:val="en-GB"/>
              </w:rPr>
              <w:t>&gt;2430</w:t>
            </w:r>
          </w:p>
        </w:tc>
      </w:tr>
      <w:tr w:rsidR="000C6E56" w:rsidRPr="000C6E56" w14:paraId="77504FF4" w14:textId="77777777" w:rsidTr="00E5003E">
        <w:trPr>
          <w:trHeight w:val="284"/>
        </w:trPr>
        <w:tc>
          <w:tcPr>
            <w:tcW w:w="1122" w:type="dxa"/>
            <w:shd w:val="clear" w:color="auto" w:fill="F2F2F2" w:themeFill="background1" w:themeFillShade="F2"/>
          </w:tcPr>
          <w:p w14:paraId="5A7641A4"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28</w:t>
            </w:r>
          </w:p>
        </w:tc>
        <w:tc>
          <w:tcPr>
            <w:tcW w:w="1963" w:type="dxa"/>
          </w:tcPr>
          <w:p w14:paraId="05C11FED"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5CF2776D" w14:textId="77777777" w:rsidR="000C6E56" w:rsidRPr="000C6E56" w:rsidRDefault="000C6E56" w:rsidP="000C6E56">
            <w:pPr>
              <w:jc w:val="center"/>
              <w:rPr>
                <w:rFonts w:cstheme="minorHAnsi"/>
                <w:sz w:val="20"/>
                <w:szCs w:val="20"/>
              </w:rPr>
            </w:pPr>
            <w:r w:rsidRPr="000C6E56">
              <w:rPr>
                <w:rFonts w:cstheme="minorHAnsi"/>
                <w:sz w:val="20"/>
                <w:szCs w:val="20"/>
              </w:rPr>
              <w:t>&gt;72.3</w:t>
            </w:r>
          </w:p>
        </w:tc>
        <w:tc>
          <w:tcPr>
            <w:tcW w:w="1843" w:type="dxa"/>
            <w:shd w:val="clear" w:color="auto" w:fill="auto"/>
          </w:tcPr>
          <w:p w14:paraId="5CDC7081"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0FD4F1E3" w14:textId="746E2A90" w:rsidR="000C6E56" w:rsidRPr="000C6E56" w:rsidRDefault="000C6E56" w:rsidP="000C6E56">
            <w:pPr>
              <w:jc w:val="center"/>
              <w:rPr>
                <w:rFonts w:cstheme="minorHAnsi"/>
                <w:sz w:val="20"/>
                <w:szCs w:val="20"/>
              </w:rPr>
            </w:pPr>
            <w:r w:rsidRPr="000C6E56">
              <w:rPr>
                <w:rFonts w:cstheme="minorHAnsi"/>
                <w:sz w:val="20"/>
                <w:szCs w:val="20"/>
              </w:rPr>
              <w:t>&gt;2520</w:t>
            </w:r>
          </w:p>
        </w:tc>
      </w:tr>
      <w:tr w:rsidR="000C6E56" w:rsidRPr="000C6E56" w14:paraId="1B6DC1DC" w14:textId="77777777" w:rsidTr="00E5003E">
        <w:trPr>
          <w:trHeight w:val="284"/>
        </w:trPr>
        <w:tc>
          <w:tcPr>
            <w:tcW w:w="1122" w:type="dxa"/>
            <w:shd w:val="clear" w:color="auto" w:fill="F2F2F2" w:themeFill="background1" w:themeFillShade="F2"/>
          </w:tcPr>
          <w:p w14:paraId="5F183036"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29</w:t>
            </w:r>
          </w:p>
        </w:tc>
        <w:tc>
          <w:tcPr>
            <w:tcW w:w="1963" w:type="dxa"/>
          </w:tcPr>
          <w:p w14:paraId="3DFE6919"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6412C9FC" w14:textId="77777777" w:rsidR="000C6E56" w:rsidRPr="000C6E56" w:rsidRDefault="000C6E56" w:rsidP="000C6E56">
            <w:pPr>
              <w:jc w:val="center"/>
              <w:rPr>
                <w:rFonts w:cstheme="minorHAnsi"/>
                <w:sz w:val="20"/>
                <w:szCs w:val="20"/>
              </w:rPr>
            </w:pPr>
            <w:r w:rsidRPr="000C6E56">
              <w:rPr>
                <w:rFonts w:cstheme="minorHAnsi"/>
                <w:sz w:val="20"/>
                <w:szCs w:val="20"/>
              </w:rPr>
              <w:t>&gt;80.6</w:t>
            </w:r>
          </w:p>
        </w:tc>
        <w:tc>
          <w:tcPr>
            <w:tcW w:w="1843" w:type="dxa"/>
            <w:shd w:val="clear" w:color="auto" w:fill="auto"/>
          </w:tcPr>
          <w:p w14:paraId="3FDBA396"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681F7F91" w14:textId="2AA2C04F" w:rsidR="000C6E56" w:rsidRPr="000C6E56" w:rsidRDefault="000C6E56" w:rsidP="000C6E56">
            <w:pPr>
              <w:jc w:val="center"/>
              <w:rPr>
                <w:rFonts w:cstheme="minorHAnsi"/>
                <w:sz w:val="20"/>
                <w:szCs w:val="20"/>
              </w:rPr>
            </w:pPr>
            <w:r w:rsidRPr="000C6E56">
              <w:rPr>
                <w:rFonts w:cstheme="minorHAnsi"/>
                <w:sz w:val="20"/>
                <w:szCs w:val="20"/>
              </w:rPr>
              <w:t>&gt;2610</w:t>
            </w:r>
          </w:p>
        </w:tc>
      </w:tr>
      <w:tr w:rsidR="000C6E56" w:rsidRPr="000C6E56" w14:paraId="5F68C973" w14:textId="77777777" w:rsidTr="00E5003E">
        <w:trPr>
          <w:trHeight w:val="284"/>
        </w:trPr>
        <w:tc>
          <w:tcPr>
            <w:tcW w:w="1122" w:type="dxa"/>
            <w:shd w:val="clear" w:color="auto" w:fill="F2F2F2" w:themeFill="background1" w:themeFillShade="F2"/>
          </w:tcPr>
          <w:p w14:paraId="5CB2C2C7" w14:textId="77777777" w:rsidR="000C6E56" w:rsidRPr="000C6E56" w:rsidRDefault="000C6E56" w:rsidP="000C6E56">
            <w:pPr>
              <w:pStyle w:val="Table2"/>
              <w:spacing w:before="0" w:after="0"/>
              <w:jc w:val="center"/>
              <w:rPr>
                <w:rFonts w:asciiTheme="minorHAnsi" w:hAnsiTheme="minorHAnsi" w:cstheme="minorHAnsi"/>
                <w:b/>
              </w:rPr>
            </w:pPr>
            <w:r w:rsidRPr="000C6E56">
              <w:rPr>
                <w:rFonts w:asciiTheme="minorHAnsi" w:hAnsiTheme="minorHAnsi" w:cstheme="minorHAnsi"/>
                <w:b/>
              </w:rPr>
              <w:t>30</w:t>
            </w:r>
          </w:p>
        </w:tc>
        <w:tc>
          <w:tcPr>
            <w:tcW w:w="1963" w:type="dxa"/>
          </w:tcPr>
          <w:p w14:paraId="50E72C6D" w14:textId="77777777" w:rsidR="000C6E56" w:rsidRPr="000C6E56" w:rsidRDefault="000C6E56" w:rsidP="000C6E56">
            <w:pPr>
              <w:pStyle w:val="Table2"/>
              <w:spacing w:before="0" w:after="0"/>
              <w:jc w:val="center"/>
              <w:rPr>
                <w:rFonts w:asciiTheme="minorHAnsi" w:hAnsiTheme="minorHAnsi" w:cstheme="minorHAnsi"/>
              </w:rPr>
            </w:pPr>
          </w:p>
        </w:tc>
        <w:tc>
          <w:tcPr>
            <w:tcW w:w="2126" w:type="dxa"/>
            <w:shd w:val="clear" w:color="auto" w:fill="auto"/>
          </w:tcPr>
          <w:p w14:paraId="4FA02D29" w14:textId="77777777" w:rsidR="000C6E56" w:rsidRPr="000C6E56" w:rsidRDefault="000C6E56" w:rsidP="000C6E56">
            <w:pPr>
              <w:jc w:val="center"/>
              <w:rPr>
                <w:rFonts w:cstheme="minorHAnsi"/>
                <w:sz w:val="20"/>
                <w:szCs w:val="20"/>
              </w:rPr>
            </w:pPr>
            <w:r w:rsidRPr="000C6E56">
              <w:rPr>
                <w:rFonts w:cstheme="minorHAnsi"/>
                <w:sz w:val="20"/>
                <w:szCs w:val="20"/>
              </w:rPr>
              <w:t>&gt;90</w:t>
            </w:r>
          </w:p>
        </w:tc>
        <w:tc>
          <w:tcPr>
            <w:tcW w:w="1843" w:type="dxa"/>
            <w:shd w:val="clear" w:color="auto" w:fill="auto"/>
          </w:tcPr>
          <w:p w14:paraId="4EF15662" w14:textId="77777777" w:rsidR="000C6E56" w:rsidRPr="000C6E56" w:rsidRDefault="000C6E56" w:rsidP="000C6E56">
            <w:pPr>
              <w:pStyle w:val="Table2"/>
              <w:spacing w:before="0" w:after="0"/>
              <w:jc w:val="center"/>
              <w:rPr>
                <w:rFonts w:asciiTheme="minorHAnsi" w:hAnsiTheme="minorHAnsi" w:cstheme="minorHAnsi"/>
              </w:rPr>
            </w:pPr>
          </w:p>
        </w:tc>
        <w:tc>
          <w:tcPr>
            <w:tcW w:w="1843" w:type="dxa"/>
            <w:shd w:val="clear" w:color="auto" w:fill="auto"/>
          </w:tcPr>
          <w:p w14:paraId="1B8BDB4D" w14:textId="7E2F9666" w:rsidR="000C6E56" w:rsidRPr="000C6E56" w:rsidRDefault="000C6E56" w:rsidP="000C6E56">
            <w:pPr>
              <w:jc w:val="center"/>
              <w:rPr>
                <w:rFonts w:cstheme="minorHAnsi"/>
                <w:sz w:val="20"/>
                <w:szCs w:val="20"/>
              </w:rPr>
            </w:pPr>
            <w:r w:rsidRPr="000C6E56">
              <w:rPr>
                <w:rFonts w:cstheme="minorHAnsi"/>
                <w:sz w:val="20"/>
                <w:szCs w:val="20"/>
              </w:rPr>
              <w:t>&gt;2700</w:t>
            </w:r>
          </w:p>
        </w:tc>
      </w:tr>
    </w:tbl>
    <w:p w14:paraId="4C9411C1" w14:textId="3B305A81" w:rsidR="000C6E56" w:rsidRDefault="000C6E56" w:rsidP="000C6E56">
      <w:pPr>
        <w:rPr>
          <w:rFonts w:cstheme="minorHAnsi"/>
          <w:bCs/>
          <w:sz w:val="22"/>
          <w:szCs w:val="20"/>
        </w:rPr>
      </w:pPr>
    </w:p>
    <w:p w14:paraId="14F490C8" w14:textId="23DD2DD8" w:rsidR="000C6E56" w:rsidRDefault="000C6E56" w:rsidP="000C6E56">
      <w:pPr>
        <w:rPr>
          <w:rFonts w:cstheme="minorHAnsi"/>
          <w:b/>
          <w:bCs/>
          <w:sz w:val="22"/>
          <w:szCs w:val="20"/>
        </w:rPr>
      </w:pPr>
      <w:r>
        <w:rPr>
          <w:rFonts w:cstheme="minorHAnsi"/>
          <w:bCs/>
          <w:sz w:val="22"/>
          <w:szCs w:val="20"/>
        </w:rPr>
        <w:br w:type="column"/>
      </w:r>
      <w:r w:rsidRPr="000C6E56">
        <w:rPr>
          <w:rFonts w:cstheme="minorHAnsi"/>
          <w:b/>
          <w:bCs/>
          <w:sz w:val="22"/>
          <w:szCs w:val="20"/>
        </w:rPr>
        <w:t xml:space="preserve">Table </w:t>
      </w:r>
      <w:r w:rsidR="00F37134">
        <w:rPr>
          <w:rFonts w:cstheme="minorHAnsi"/>
          <w:b/>
          <w:bCs/>
          <w:sz w:val="22"/>
          <w:szCs w:val="20"/>
        </w:rPr>
        <w:t>E</w:t>
      </w:r>
      <w:r w:rsidR="00CA03D9">
        <w:rPr>
          <w:rFonts w:cstheme="minorHAnsi"/>
          <w:b/>
          <w:bCs/>
          <w:sz w:val="22"/>
          <w:szCs w:val="20"/>
        </w:rPr>
        <w:t>.</w:t>
      </w:r>
      <w:r>
        <w:rPr>
          <w:rFonts w:cstheme="minorHAnsi"/>
          <w:b/>
          <w:bCs/>
          <w:sz w:val="22"/>
          <w:szCs w:val="20"/>
        </w:rPr>
        <w:t>2</w:t>
      </w:r>
      <w:r w:rsidRPr="000C6E56">
        <w:rPr>
          <w:rFonts w:cstheme="minorHAnsi"/>
          <w:b/>
          <w:bCs/>
          <w:sz w:val="22"/>
          <w:szCs w:val="20"/>
        </w:rPr>
        <w:t xml:space="preserve">: HSR Baseline </w:t>
      </w:r>
      <w:r>
        <w:rPr>
          <w:rFonts w:cstheme="minorHAnsi"/>
          <w:b/>
          <w:bCs/>
          <w:sz w:val="22"/>
          <w:szCs w:val="20"/>
        </w:rPr>
        <w:t xml:space="preserve">and Modifying </w:t>
      </w:r>
      <w:r w:rsidRPr="000C6E56">
        <w:rPr>
          <w:rFonts w:cstheme="minorHAnsi"/>
          <w:b/>
          <w:bCs/>
          <w:sz w:val="22"/>
          <w:szCs w:val="20"/>
        </w:rPr>
        <w:t>Points for Category 1, non-dairy beverages</w:t>
      </w:r>
    </w:p>
    <w:p w14:paraId="3E99A089" w14:textId="77777777" w:rsidR="000C6E56" w:rsidRPr="000C6E56" w:rsidRDefault="000C6E56" w:rsidP="000C6E56">
      <w:pPr>
        <w:rPr>
          <w:rFonts w:cstheme="minorHAnsi"/>
          <w:b/>
          <w:bCs/>
          <w:sz w:val="22"/>
          <w:szCs w:val="20"/>
        </w:rPr>
      </w:pPr>
    </w:p>
    <w:tbl>
      <w:tblPr>
        <w:tblStyle w:val="TableGrid"/>
        <w:tblW w:w="7366" w:type="dxa"/>
        <w:tblLook w:val="04A0" w:firstRow="1" w:lastRow="0" w:firstColumn="1" w:lastColumn="0" w:noHBand="0" w:noVBand="1"/>
        <w:tblCaption w:val="Table E.2 "/>
        <w:tblDescription w:val="This table shows the proposed baseline and modifying points for Category 1"/>
      </w:tblPr>
      <w:tblGrid>
        <w:gridCol w:w="914"/>
        <w:gridCol w:w="1633"/>
        <w:gridCol w:w="1559"/>
        <w:gridCol w:w="1065"/>
        <w:gridCol w:w="2195"/>
      </w:tblGrid>
      <w:tr w:rsidR="000A2E69" w:rsidRPr="00ED385A" w14:paraId="3579F1D0" w14:textId="77777777" w:rsidTr="00894BA5">
        <w:trPr>
          <w:trHeight w:val="315"/>
        </w:trPr>
        <w:tc>
          <w:tcPr>
            <w:tcW w:w="914" w:type="dxa"/>
            <w:shd w:val="clear" w:color="auto" w:fill="516A8E"/>
            <w:vAlign w:val="center"/>
          </w:tcPr>
          <w:p w14:paraId="4959F2D8"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Baseline points</w:t>
            </w:r>
          </w:p>
        </w:tc>
        <w:tc>
          <w:tcPr>
            <w:tcW w:w="1633" w:type="dxa"/>
            <w:shd w:val="clear" w:color="auto" w:fill="516A8E"/>
            <w:vAlign w:val="center"/>
          </w:tcPr>
          <w:p w14:paraId="1AC6271B"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Proposed energy (kJ/100g)</w:t>
            </w:r>
          </w:p>
        </w:tc>
        <w:tc>
          <w:tcPr>
            <w:tcW w:w="1559" w:type="dxa"/>
            <w:tcBorders>
              <w:right w:val="single" w:sz="4" w:space="0" w:color="auto"/>
            </w:tcBorders>
            <w:shd w:val="clear" w:color="auto" w:fill="516A8E"/>
            <w:vAlign w:val="center"/>
          </w:tcPr>
          <w:p w14:paraId="3ED6FA18"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Proposed total sugars (g/100g)</w:t>
            </w:r>
          </w:p>
        </w:tc>
        <w:tc>
          <w:tcPr>
            <w:tcW w:w="1065" w:type="dxa"/>
            <w:tcBorders>
              <w:left w:val="single" w:sz="4" w:space="0" w:color="auto"/>
            </w:tcBorders>
            <w:shd w:val="clear" w:color="auto" w:fill="516A8E"/>
            <w:vAlign w:val="center"/>
          </w:tcPr>
          <w:p w14:paraId="584548E7"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Modifying points</w:t>
            </w:r>
          </w:p>
        </w:tc>
        <w:tc>
          <w:tcPr>
            <w:tcW w:w="2195" w:type="dxa"/>
            <w:shd w:val="clear" w:color="auto" w:fill="516A8E"/>
            <w:vAlign w:val="center"/>
          </w:tcPr>
          <w:p w14:paraId="750AAC1E" w14:textId="77777777" w:rsidR="000A2E69" w:rsidRPr="00ED385A" w:rsidRDefault="000A2E69" w:rsidP="00894BA5">
            <w:pPr>
              <w:keepNext/>
              <w:jc w:val="center"/>
              <w:rPr>
                <w:rFonts w:cstheme="minorHAnsi"/>
                <w:b/>
                <w:color w:val="FFFFFF" w:themeColor="background1"/>
                <w:sz w:val="20"/>
                <w:szCs w:val="20"/>
              </w:rPr>
            </w:pPr>
            <w:r w:rsidRPr="00ED385A">
              <w:rPr>
                <w:rFonts w:cstheme="minorHAnsi"/>
                <w:b/>
                <w:color w:val="FFFFFF" w:themeColor="background1"/>
                <w:sz w:val="20"/>
                <w:szCs w:val="20"/>
              </w:rPr>
              <w:t>Proposed fruit and vegetable content (%)</w:t>
            </w:r>
          </w:p>
        </w:tc>
      </w:tr>
      <w:tr w:rsidR="000A2E69" w:rsidRPr="00ED385A" w14:paraId="579CDD8A" w14:textId="77777777" w:rsidTr="00894BA5">
        <w:tc>
          <w:tcPr>
            <w:tcW w:w="914" w:type="dxa"/>
            <w:shd w:val="clear" w:color="auto" w:fill="F2F2F2" w:themeFill="background1" w:themeFillShade="F2"/>
          </w:tcPr>
          <w:p w14:paraId="223E763B" w14:textId="77777777" w:rsidR="000A2E69" w:rsidRPr="00ED385A" w:rsidRDefault="000A2E69" w:rsidP="00894BA5">
            <w:pPr>
              <w:jc w:val="center"/>
              <w:rPr>
                <w:rFonts w:cstheme="minorHAnsi"/>
                <w:sz w:val="20"/>
                <w:szCs w:val="20"/>
              </w:rPr>
            </w:pPr>
            <w:r w:rsidRPr="00ED385A">
              <w:rPr>
                <w:rFonts w:cstheme="minorHAnsi"/>
                <w:sz w:val="20"/>
                <w:szCs w:val="20"/>
              </w:rPr>
              <w:t>0</w:t>
            </w:r>
          </w:p>
        </w:tc>
        <w:tc>
          <w:tcPr>
            <w:tcW w:w="1633" w:type="dxa"/>
            <w:vAlign w:val="center"/>
          </w:tcPr>
          <w:p w14:paraId="514A7BB7" w14:textId="77777777" w:rsidR="000A2E69" w:rsidRPr="007F2141" w:rsidRDefault="000A2E69" w:rsidP="00894BA5">
            <w:pPr>
              <w:jc w:val="center"/>
              <w:rPr>
                <w:rFonts w:cstheme="minorHAnsi"/>
                <w:color w:val="000000"/>
                <w:sz w:val="20"/>
                <w:szCs w:val="20"/>
              </w:rPr>
            </w:pPr>
            <w:r>
              <w:rPr>
                <w:rFonts w:cstheme="minorHAnsi"/>
                <w:color w:val="000000"/>
                <w:sz w:val="20"/>
                <w:szCs w:val="20"/>
              </w:rPr>
              <w:sym w:font="Symbol" w:char="F0B3"/>
            </w:r>
            <w:r>
              <w:rPr>
                <w:rFonts w:cstheme="minorHAnsi"/>
                <w:color w:val="000000"/>
                <w:sz w:val="20"/>
                <w:szCs w:val="20"/>
              </w:rPr>
              <w:t xml:space="preserve"> </w:t>
            </w:r>
            <w:r w:rsidRPr="00ED385A">
              <w:rPr>
                <w:rFonts w:cstheme="minorHAnsi"/>
                <w:color w:val="000000"/>
                <w:sz w:val="20"/>
                <w:szCs w:val="20"/>
              </w:rPr>
              <w:t>0</w:t>
            </w:r>
            <w:r>
              <w:rPr>
                <w:rFonts w:cstheme="minorHAnsi"/>
                <w:color w:val="000000"/>
                <w:sz w:val="20"/>
                <w:szCs w:val="20"/>
              </w:rPr>
              <w:t>.1</w:t>
            </w:r>
          </w:p>
        </w:tc>
        <w:tc>
          <w:tcPr>
            <w:tcW w:w="1559" w:type="dxa"/>
            <w:tcBorders>
              <w:right w:val="single" w:sz="4" w:space="0" w:color="auto"/>
            </w:tcBorders>
            <w:vAlign w:val="center"/>
          </w:tcPr>
          <w:p w14:paraId="317903DB" w14:textId="77777777" w:rsidR="000A2E69" w:rsidRPr="00ED385A" w:rsidRDefault="000A2E69" w:rsidP="00894BA5">
            <w:pPr>
              <w:jc w:val="center"/>
              <w:rPr>
                <w:rFonts w:cstheme="minorHAnsi"/>
                <w:sz w:val="20"/>
                <w:szCs w:val="20"/>
              </w:rPr>
            </w:pPr>
            <w:r w:rsidRPr="00442BA5">
              <w:rPr>
                <w:rFonts w:eastAsia="Times New Roman" w:cstheme="minorHAnsi"/>
                <w:sz w:val="20"/>
                <w:szCs w:val="20"/>
              </w:rPr>
              <w:t>≤</w:t>
            </w:r>
            <w:r>
              <w:rPr>
                <w:rFonts w:eastAsia="Times New Roman" w:cstheme="minorHAnsi"/>
                <w:sz w:val="20"/>
                <w:szCs w:val="20"/>
              </w:rPr>
              <w:t xml:space="preserve"> </w:t>
            </w:r>
            <w:r w:rsidRPr="00ED385A">
              <w:rPr>
                <w:rFonts w:cstheme="minorHAnsi"/>
                <w:color w:val="000000"/>
                <w:sz w:val="20"/>
                <w:szCs w:val="20"/>
              </w:rPr>
              <w:t>0</w:t>
            </w:r>
            <w:r>
              <w:rPr>
                <w:rFonts w:cstheme="minorHAnsi"/>
                <w:color w:val="000000"/>
                <w:sz w:val="20"/>
                <w:szCs w:val="20"/>
              </w:rPr>
              <w:t>.1</w:t>
            </w:r>
          </w:p>
        </w:tc>
        <w:tc>
          <w:tcPr>
            <w:tcW w:w="1065" w:type="dxa"/>
            <w:tcBorders>
              <w:left w:val="single" w:sz="4" w:space="0" w:color="auto"/>
            </w:tcBorders>
            <w:shd w:val="clear" w:color="auto" w:fill="F2F2F2" w:themeFill="background1" w:themeFillShade="F2"/>
          </w:tcPr>
          <w:p w14:paraId="0A95C360" w14:textId="77777777" w:rsidR="000A2E69" w:rsidRPr="00ED385A" w:rsidRDefault="000A2E69" w:rsidP="00894BA5">
            <w:pPr>
              <w:jc w:val="center"/>
              <w:rPr>
                <w:rFonts w:cstheme="minorHAnsi"/>
                <w:sz w:val="20"/>
                <w:szCs w:val="20"/>
              </w:rPr>
            </w:pPr>
            <w:r w:rsidRPr="00ED385A">
              <w:rPr>
                <w:rFonts w:cstheme="minorHAnsi"/>
                <w:sz w:val="20"/>
                <w:szCs w:val="20"/>
              </w:rPr>
              <w:t>0</w:t>
            </w:r>
          </w:p>
        </w:tc>
        <w:tc>
          <w:tcPr>
            <w:tcW w:w="2195" w:type="dxa"/>
            <w:vAlign w:val="center"/>
          </w:tcPr>
          <w:p w14:paraId="2E74F30C" w14:textId="77777777" w:rsidR="000A2E69" w:rsidRPr="00ED385A" w:rsidRDefault="000A2E69" w:rsidP="00894BA5">
            <w:pPr>
              <w:jc w:val="center"/>
              <w:rPr>
                <w:rFonts w:cstheme="minorHAnsi"/>
                <w:sz w:val="20"/>
                <w:szCs w:val="20"/>
              </w:rPr>
            </w:pPr>
            <w:r>
              <w:rPr>
                <w:rFonts w:cstheme="minorHAnsi"/>
                <w:sz w:val="20"/>
                <w:szCs w:val="20"/>
              </w:rPr>
              <w:t>&lt; 25</w:t>
            </w:r>
          </w:p>
        </w:tc>
      </w:tr>
      <w:tr w:rsidR="000A2E69" w:rsidRPr="00ED385A" w14:paraId="0CB42BD7" w14:textId="77777777" w:rsidTr="00894BA5">
        <w:tc>
          <w:tcPr>
            <w:tcW w:w="914" w:type="dxa"/>
            <w:shd w:val="clear" w:color="auto" w:fill="F2F2F2" w:themeFill="background1" w:themeFillShade="F2"/>
          </w:tcPr>
          <w:p w14:paraId="37EBCA3B" w14:textId="77777777" w:rsidR="000A2E69" w:rsidRPr="00ED385A" w:rsidRDefault="000A2E69" w:rsidP="00894BA5">
            <w:pPr>
              <w:jc w:val="center"/>
              <w:rPr>
                <w:rFonts w:cstheme="minorHAnsi"/>
                <w:sz w:val="20"/>
                <w:szCs w:val="20"/>
              </w:rPr>
            </w:pPr>
            <w:r w:rsidRPr="00ED385A">
              <w:rPr>
                <w:rFonts w:cstheme="minorHAnsi"/>
                <w:sz w:val="20"/>
                <w:szCs w:val="20"/>
              </w:rPr>
              <w:t>1</w:t>
            </w:r>
          </w:p>
        </w:tc>
        <w:tc>
          <w:tcPr>
            <w:tcW w:w="1633" w:type="dxa"/>
            <w:vAlign w:val="center"/>
          </w:tcPr>
          <w:p w14:paraId="6BB9FDC4" w14:textId="77777777" w:rsidR="000A2E69" w:rsidRPr="00ED385A" w:rsidRDefault="000A2E69" w:rsidP="00894BA5">
            <w:pPr>
              <w:jc w:val="center"/>
              <w:rPr>
                <w:rFonts w:cstheme="minorHAnsi"/>
                <w:sz w:val="20"/>
                <w:szCs w:val="20"/>
              </w:rPr>
            </w:pPr>
            <w:r>
              <w:rPr>
                <w:rFonts w:cstheme="minorHAnsi"/>
                <w:color w:val="000000"/>
                <w:sz w:val="20"/>
                <w:szCs w:val="20"/>
              </w:rPr>
              <w:t xml:space="preserve">&gt; </w:t>
            </w:r>
            <w:r w:rsidRPr="00ED385A">
              <w:rPr>
                <w:rFonts w:cstheme="minorHAnsi"/>
                <w:color w:val="000000"/>
                <w:sz w:val="20"/>
                <w:szCs w:val="20"/>
              </w:rPr>
              <w:t>1</w:t>
            </w:r>
            <w:r>
              <w:rPr>
                <w:rFonts w:cstheme="minorHAnsi"/>
                <w:color w:val="000000"/>
                <w:sz w:val="20"/>
                <w:szCs w:val="20"/>
              </w:rPr>
              <w:t>.1</w:t>
            </w:r>
          </w:p>
        </w:tc>
        <w:tc>
          <w:tcPr>
            <w:tcW w:w="1559" w:type="dxa"/>
            <w:tcBorders>
              <w:right w:val="single" w:sz="4" w:space="0" w:color="auto"/>
            </w:tcBorders>
            <w:vAlign w:val="center"/>
          </w:tcPr>
          <w:p w14:paraId="59493B38" w14:textId="77777777" w:rsidR="000A2E69" w:rsidRPr="00ED385A" w:rsidRDefault="000A2E69" w:rsidP="00894BA5">
            <w:pPr>
              <w:jc w:val="center"/>
              <w:rPr>
                <w:rFonts w:cstheme="minorHAnsi"/>
                <w:sz w:val="20"/>
                <w:szCs w:val="20"/>
              </w:rPr>
            </w:pPr>
            <w:r>
              <w:rPr>
                <w:rFonts w:cstheme="minorHAnsi"/>
                <w:color w:val="000000"/>
                <w:sz w:val="20"/>
                <w:szCs w:val="20"/>
              </w:rPr>
              <w:t xml:space="preserve">&gt; </w:t>
            </w:r>
            <w:r w:rsidRPr="00ED385A">
              <w:rPr>
                <w:rFonts w:cstheme="minorHAnsi"/>
                <w:color w:val="000000"/>
                <w:sz w:val="20"/>
                <w:szCs w:val="20"/>
              </w:rPr>
              <w:t>0.1</w:t>
            </w:r>
          </w:p>
        </w:tc>
        <w:tc>
          <w:tcPr>
            <w:tcW w:w="1065" w:type="dxa"/>
            <w:tcBorders>
              <w:left w:val="single" w:sz="4" w:space="0" w:color="auto"/>
            </w:tcBorders>
            <w:shd w:val="clear" w:color="auto" w:fill="F2F2F2" w:themeFill="background1" w:themeFillShade="F2"/>
          </w:tcPr>
          <w:p w14:paraId="6971A64A" w14:textId="77777777" w:rsidR="000A2E69" w:rsidRPr="00ED385A" w:rsidRDefault="000A2E69" w:rsidP="00894BA5">
            <w:pPr>
              <w:jc w:val="center"/>
              <w:rPr>
                <w:rFonts w:cstheme="minorHAnsi"/>
                <w:sz w:val="20"/>
                <w:szCs w:val="20"/>
              </w:rPr>
            </w:pPr>
            <w:r w:rsidRPr="00ED385A">
              <w:rPr>
                <w:rFonts w:cstheme="minorHAnsi"/>
                <w:sz w:val="20"/>
                <w:szCs w:val="20"/>
              </w:rPr>
              <w:t>1</w:t>
            </w:r>
          </w:p>
        </w:tc>
        <w:tc>
          <w:tcPr>
            <w:tcW w:w="2195" w:type="dxa"/>
            <w:vAlign w:val="center"/>
          </w:tcPr>
          <w:p w14:paraId="480541A5" w14:textId="77777777" w:rsidR="000A2E69" w:rsidRPr="00ED385A"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25</w:t>
            </w:r>
          </w:p>
        </w:tc>
      </w:tr>
      <w:tr w:rsidR="000A2E69" w:rsidRPr="00A2683C" w14:paraId="50E911C9" w14:textId="77777777" w:rsidTr="00894BA5">
        <w:tc>
          <w:tcPr>
            <w:tcW w:w="914" w:type="dxa"/>
            <w:shd w:val="clear" w:color="auto" w:fill="F2F2F2" w:themeFill="background1" w:themeFillShade="F2"/>
          </w:tcPr>
          <w:p w14:paraId="770282DC"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2</w:t>
            </w:r>
          </w:p>
        </w:tc>
        <w:tc>
          <w:tcPr>
            <w:tcW w:w="1633" w:type="dxa"/>
            <w:vAlign w:val="center"/>
          </w:tcPr>
          <w:p w14:paraId="3663351F"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31</w:t>
            </w:r>
          </w:p>
        </w:tc>
        <w:tc>
          <w:tcPr>
            <w:tcW w:w="1559" w:type="dxa"/>
            <w:tcBorders>
              <w:right w:val="single" w:sz="4" w:space="0" w:color="auto"/>
            </w:tcBorders>
            <w:vAlign w:val="center"/>
          </w:tcPr>
          <w:p w14:paraId="16F9C234"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1.6</w:t>
            </w:r>
          </w:p>
        </w:tc>
        <w:tc>
          <w:tcPr>
            <w:tcW w:w="1065" w:type="dxa"/>
            <w:tcBorders>
              <w:left w:val="single" w:sz="4" w:space="0" w:color="auto"/>
            </w:tcBorders>
            <w:shd w:val="clear" w:color="auto" w:fill="F2F2F2" w:themeFill="background1" w:themeFillShade="F2"/>
          </w:tcPr>
          <w:p w14:paraId="069BF380"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2</w:t>
            </w:r>
          </w:p>
        </w:tc>
        <w:tc>
          <w:tcPr>
            <w:tcW w:w="2195" w:type="dxa"/>
            <w:vAlign w:val="center"/>
          </w:tcPr>
          <w:p w14:paraId="27D9283A"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33</w:t>
            </w:r>
          </w:p>
        </w:tc>
      </w:tr>
      <w:tr w:rsidR="000A2E69" w:rsidRPr="00A2683C" w14:paraId="3AC8EEAF" w14:textId="77777777" w:rsidTr="00894BA5">
        <w:tc>
          <w:tcPr>
            <w:tcW w:w="914" w:type="dxa"/>
            <w:shd w:val="clear" w:color="auto" w:fill="F2F2F2" w:themeFill="background1" w:themeFillShade="F2"/>
          </w:tcPr>
          <w:p w14:paraId="185C2842"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3</w:t>
            </w:r>
          </w:p>
        </w:tc>
        <w:tc>
          <w:tcPr>
            <w:tcW w:w="1633" w:type="dxa"/>
            <w:vAlign w:val="center"/>
          </w:tcPr>
          <w:p w14:paraId="22813675"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61</w:t>
            </w:r>
          </w:p>
        </w:tc>
        <w:tc>
          <w:tcPr>
            <w:tcW w:w="1559" w:type="dxa"/>
            <w:tcBorders>
              <w:right w:val="single" w:sz="4" w:space="0" w:color="auto"/>
            </w:tcBorders>
            <w:vAlign w:val="center"/>
          </w:tcPr>
          <w:p w14:paraId="5212EF1C"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3.1</w:t>
            </w:r>
          </w:p>
        </w:tc>
        <w:tc>
          <w:tcPr>
            <w:tcW w:w="1065" w:type="dxa"/>
            <w:tcBorders>
              <w:left w:val="single" w:sz="4" w:space="0" w:color="auto"/>
            </w:tcBorders>
            <w:shd w:val="clear" w:color="auto" w:fill="F2F2F2" w:themeFill="background1" w:themeFillShade="F2"/>
          </w:tcPr>
          <w:p w14:paraId="3B6BDF63"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3</w:t>
            </w:r>
          </w:p>
        </w:tc>
        <w:tc>
          <w:tcPr>
            <w:tcW w:w="2195" w:type="dxa"/>
            <w:vAlign w:val="center"/>
          </w:tcPr>
          <w:p w14:paraId="3465A71E"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41</w:t>
            </w:r>
          </w:p>
        </w:tc>
      </w:tr>
      <w:tr w:rsidR="000A2E69" w:rsidRPr="00A2683C" w14:paraId="2FE80A4D" w14:textId="77777777" w:rsidTr="00894BA5">
        <w:tc>
          <w:tcPr>
            <w:tcW w:w="914" w:type="dxa"/>
            <w:shd w:val="clear" w:color="auto" w:fill="F2F2F2" w:themeFill="background1" w:themeFillShade="F2"/>
          </w:tcPr>
          <w:p w14:paraId="49797FAC"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4</w:t>
            </w:r>
          </w:p>
        </w:tc>
        <w:tc>
          <w:tcPr>
            <w:tcW w:w="1633" w:type="dxa"/>
            <w:vAlign w:val="center"/>
          </w:tcPr>
          <w:p w14:paraId="5523C9FE"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91</w:t>
            </w:r>
          </w:p>
        </w:tc>
        <w:tc>
          <w:tcPr>
            <w:tcW w:w="1559" w:type="dxa"/>
            <w:tcBorders>
              <w:right w:val="single" w:sz="4" w:space="0" w:color="auto"/>
            </w:tcBorders>
            <w:vAlign w:val="center"/>
          </w:tcPr>
          <w:p w14:paraId="5908ED50"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4.6</w:t>
            </w:r>
          </w:p>
        </w:tc>
        <w:tc>
          <w:tcPr>
            <w:tcW w:w="1065" w:type="dxa"/>
            <w:tcBorders>
              <w:left w:val="single" w:sz="4" w:space="0" w:color="auto"/>
            </w:tcBorders>
            <w:shd w:val="clear" w:color="auto" w:fill="F2F2F2" w:themeFill="background1" w:themeFillShade="F2"/>
          </w:tcPr>
          <w:p w14:paraId="46850050"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4</w:t>
            </w:r>
          </w:p>
        </w:tc>
        <w:tc>
          <w:tcPr>
            <w:tcW w:w="2195" w:type="dxa"/>
            <w:vAlign w:val="center"/>
          </w:tcPr>
          <w:p w14:paraId="7769C644"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49</w:t>
            </w:r>
          </w:p>
        </w:tc>
      </w:tr>
      <w:tr w:rsidR="000A2E69" w:rsidRPr="00A2683C" w14:paraId="1EBA0C98" w14:textId="77777777" w:rsidTr="00894BA5">
        <w:tc>
          <w:tcPr>
            <w:tcW w:w="914" w:type="dxa"/>
            <w:shd w:val="clear" w:color="auto" w:fill="F2F2F2" w:themeFill="background1" w:themeFillShade="F2"/>
          </w:tcPr>
          <w:p w14:paraId="73DFFF84"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5</w:t>
            </w:r>
          </w:p>
        </w:tc>
        <w:tc>
          <w:tcPr>
            <w:tcW w:w="1633" w:type="dxa"/>
            <w:vAlign w:val="center"/>
          </w:tcPr>
          <w:p w14:paraId="735A5918"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121</w:t>
            </w:r>
          </w:p>
        </w:tc>
        <w:tc>
          <w:tcPr>
            <w:tcW w:w="1559" w:type="dxa"/>
            <w:tcBorders>
              <w:right w:val="single" w:sz="4" w:space="0" w:color="auto"/>
            </w:tcBorders>
            <w:vAlign w:val="center"/>
          </w:tcPr>
          <w:p w14:paraId="6C18EE85"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6.1</w:t>
            </w:r>
          </w:p>
        </w:tc>
        <w:tc>
          <w:tcPr>
            <w:tcW w:w="1065" w:type="dxa"/>
            <w:tcBorders>
              <w:left w:val="single" w:sz="4" w:space="0" w:color="auto"/>
            </w:tcBorders>
            <w:shd w:val="clear" w:color="auto" w:fill="F2F2F2" w:themeFill="background1" w:themeFillShade="F2"/>
          </w:tcPr>
          <w:p w14:paraId="13834773"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5</w:t>
            </w:r>
          </w:p>
        </w:tc>
        <w:tc>
          <w:tcPr>
            <w:tcW w:w="2195" w:type="dxa"/>
            <w:vAlign w:val="center"/>
          </w:tcPr>
          <w:p w14:paraId="2E58C63E"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57</w:t>
            </w:r>
          </w:p>
        </w:tc>
      </w:tr>
      <w:tr w:rsidR="000A2E69" w:rsidRPr="00A2683C" w14:paraId="7BFD976E" w14:textId="77777777" w:rsidTr="00894BA5">
        <w:tc>
          <w:tcPr>
            <w:tcW w:w="914" w:type="dxa"/>
            <w:shd w:val="clear" w:color="auto" w:fill="F2F2F2" w:themeFill="background1" w:themeFillShade="F2"/>
          </w:tcPr>
          <w:p w14:paraId="6281F56A"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6</w:t>
            </w:r>
          </w:p>
        </w:tc>
        <w:tc>
          <w:tcPr>
            <w:tcW w:w="1633" w:type="dxa"/>
            <w:vAlign w:val="center"/>
          </w:tcPr>
          <w:p w14:paraId="2EB0C750"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151</w:t>
            </w:r>
          </w:p>
        </w:tc>
        <w:tc>
          <w:tcPr>
            <w:tcW w:w="1559" w:type="dxa"/>
            <w:tcBorders>
              <w:right w:val="single" w:sz="4" w:space="0" w:color="auto"/>
            </w:tcBorders>
            <w:vAlign w:val="center"/>
          </w:tcPr>
          <w:p w14:paraId="4EDB1FCE"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7.6</w:t>
            </w:r>
          </w:p>
        </w:tc>
        <w:tc>
          <w:tcPr>
            <w:tcW w:w="1065" w:type="dxa"/>
            <w:tcBorders>
              <w:left w:val="single" w:sz="4" w:space="0" w:color="auto"/>
            </w:tcBorders>
            <w:shd w:val="clear" w:color="auto" w:fill="F2F2F2" w:themeFill="background1" w:themeFillShade="F2"/>
          </w:tcPr>
          <w:p w14:paraId="475FF036"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6</w:t>
            </w:r>
          </w:p>
        </w:tc>
        <w:tc>
          <w:tcPr>
            <w:tcW w:w="2195" w:type="dxa"/>
            <w:vAlign w:val="center"/>
          </w:tcPr>
          <w:p w14:paraId="468F214E"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65</w:t>
            </w:r>
          </w:p>
        </w:tc>
      </w:tr>
      <w:tr w:rsidR="000A2E69" w:rsidRPr="00A2683C" w14:paraId="37028487" w14:textId="77777777" w:rsidTr="00894BA5">
        <w:tc>
          <w:tcPr>
            <w:tcW w:w="914" w:type="dxa"/>
            <w:shd w:val="clear" w:color="auto" w:fill="F2F2F2" w:themeFill="background1" w:themeFillShade="F2"/>
          </w:tcPr>
          <w:p w14:paraId="4AA75EF5"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7</w:t>
            </w:r>
          </w:p>
        </w:tc>
        <w:tc>
          <w:tcPr>
            <w:tcW w:w="1633" w:type="dxa"/>
            <w:vAlign w:val="center"/>
          </w:tcPr>
          <w:p w14:paraId="11F2AA8F"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181</w:t>
            </w:r>
          </w:p>
        </w:tc>
        <w:tc>
          <w:tcPr>
            <w:tcW w:w="1559" w:type="dxa"/>
            <w:tcBorders>
              <w:right w:val="single" w:sz="4" w:space="0" w:color="auto"/>
            </w:tcBorders>
            <w:vAlign w:val="center"/>
          </w:tcPr>
          <w:p w14:paraId="2585E35A"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9.1</w:t>
            </w:r>
          </w:p>
        </w:tc>
        <w:tc>
          <w:tcPr>
            <w:tcW w:w="1065" w:type="dxa"/>
            <w:tcBorders>
              <w:left w:val="single" w:sz="4" w:space="0" w:color="auto"/>
            </w:tcBorders>
            <w:shd w:val="clear" w:color="auto" w:fill="F2F2F2" w:themeFill="background1" w:themeFillShade="F2"/>
          </w:tcPr>
          <w:p w14:paraId="1C6FBE67"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7</w:t>
            </w:r>
          </w:p>
        </w:tc>
        <w:tc>
          <w:tcPr>
            <w:tcW w:w="2195" w:type="dxa"/>
            <w:vAlign w:val="center"/>
          </w:tcPr>
          <w:p w14:paraId="05E82C92"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73</w:t>
            </w:r>
          </w:p>
        </w:tc>
      </w:tr>
      <w:tr w:rsidR="000A2E69" w:rsidRPr="00A2683C" w14:paraId="7B669C9F" w14:textId="77777777" w:rsidTr="00894BA5">
        <w:tc>
          <w:tcPr>
            <w:tcW w:w="914" w:type="dxa"/>
            <w:shd w:val="clear" w:color="auto" w:fill="F2F2F2" w:themeFill="background1" w:themeFillShade="F2"/>
          </w:tcPr>
          <w:p w14:paraId="76A2FE50"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8</w:t>
            </w:r>
          </w:p>
        </w:tc>
        <w:tc>
          <w:tcPr>
            <w:tcW w:w="1633" w:type="dxa"/>
            <w:vAlign w:val="center"/>
          </w:tcPr>
          <w:p w14:paraId="66034A02"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211</w:t>
            </w:r>
          </w:p>
        </w:tc>
        <w:tc>
          <w:tcPr>
            <w:tcW w:w="1559" w:type="dxa"/>
            <w:tcBorders>
              <w:right w:val="single" w:sz="4" w:space="0" w:color="auto"/>
            </w:tcBorders>
            <w:vAlign w:val="center"/>
          </w:tcPr>
          <w:p w14:paraId="273B0DD0"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10.6</w:t>
            </w:r>
          </w:p>
        </w:tc>
        <w:tc>
          <w:tcPr>
            <w:tcW w:w="1065" w:type="dxa"/>
            <w:tcBorders>
              <w:left w:val="single" w:sz="4" w:space="0" w:color="auto"/>
            </w:tcBorders>
            <w:shd w:val="clear" w:color="auto" w:fill="F2F2F2" w:themeFill="background1" w:themeFillShade="F2"/>
          </w:tcPr>
          <w:p w14:paraId="1F8DAB4C"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8</w:t>
            </w:r>
          </w:p>
        </w:tc>
        <w:tc>
          <w:tcPr>
            <w:tcW w:w="2195" w:type="dxa"/>
            <w:vAlign w:val="center"/>
          </w:tcPr>
          <w:p w14:paraId="18F14812"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81</w:t>
            </w:r>
          </w:p>
        </w:tc>
      </w:tr>
      <w:tr w:rsidR="000A2E69" w:rsidRPr="00A2683C" w14:paraId="4BBD5C20" w14:textId="77777777" w:rsidTr="00894BA5">
        <w:tc>
          <w:tcPr>
            <w:tcW w:w="914" w:type="dxa"/>
            <w:shd w:val="clear" w:color="auto" w:fill="F2F2F2" w:themeFill="background1" w:themeFillShade="F2"/>
          </w:tcPr>
          <w:p w14:paraId="2A9387E8"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9</w:t>
            </w:r>
          </w:p>
        </w:tc>
        <w:tc>
          <w:tcPr>
            <w:tcW w:w="1633" w:type="dxa"/>
            <w:vAlign w:val="center"/>
          </w:tcPr>
          <w:p w14:paraId="78D1AAC4"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241</w:t>
            </w:r>
          </w:p>
        </w:tc>
        <w:tc>
          <w:tcPr>
            <w:tcW w:w="1559" w:type="dxa"/>
            <w:tcBorders>
              <w:right w:val="single" w:sz="4" w:space="0" w:color="auto"/>
            </w:tcBorders>
            <w:vAlign w:val="center"/>
          </w:tcPr>
          <w:p w14:paraId="1E911917"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12.1</w:t>
            </w:r>
          </w:p>
        </w:tc>
        <w:tc>
          <w:tcPr>
            <w:tcW w:w="1065" w:type="dxa"/>
            <w:tcBorders>
              <w:left w:val="single" w:sz="4" w:space="0" w:color="auto"/>
            </w:tcBorders>
            <w:shd w:val="clear" w:color="auto" w:fill="F2F2F2" w:themeFill="background1" w:themeFillShade="F2"/>
          </w:tcPr>
          <w:p w14:paraId="3F7C52CF"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9</w:t>
            </w:r>
          </w:p>
        </w:tc>
        <w:tc>
          <w:tcPr>
            <w:tcW w:w="2195" w:type="dxa"/>
            <w:vAlign w:val="center"/>
          </w:tcPr>
          <w:p w14:paraId="1F81A5AB"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89</w:t>
            </w:r>
          </w:p>
        </w:tc>
      </w:tr>
      <w:tr w:rsidR="000A2E69" w:rsidRPr="00A2683C" w14:paraId="3C8B6F6A" w14:textId="77777777" w:rsidTr="00894BA5">
        <w:tc>
          <w:tcPr>
            <w:tcW w:w="914" w:type="dxa"/>
            <w:shd w:val="clear" w:color="auto" w:fill="F2F2F2" w:themeFill="background1" w:themeFillShade="F2"/>
          </w:tcPr>
          <w:p w14:paraId="3A840AA5"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10</w:t>
            </w:r>
          </w:p>
        </w:tc>
        <w:tc>
          <w:tcPr>
            <w:tcW w:w="1633" w:type="dxa"/>
            <w:vAlign w:val="center"/>
          </w:tcPr>
          <w:p w14:paraId="76993FAB"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271</w:t>
            </w:r>
          </w:p>
        </w:tc>
        <w:tc>
          <w:tcPr>
            <w:tcW w:w="1559" w:type="dxa"/>
            <w:tcBorders>
              <w:right w:val="single" w:sz="4" w:space="0" w:color="auto"/>
            </w:tcBorders>
            <w:vAlign w:val="center"/>
          </w:tcPr>
          <w:p w14:paraId="702C7A41" w14:textId="77777777" w:rsidR="000A2E69" w:rsidRPr="00A2683C" w:rsidRDefault="000A2E69" w:rsidP="00894BA5">
            <w:pPr>
              <w:jc w:val="center"/>
              <w:rPr>
                <w:rFonts w:cstheme="minorHAnsi"/>
                <w:color w:val="000000"/>
                <w:sz w:val="20"/>
                <w:szCs w:val="20"/>
              </w:rPr>
            </w:pPr>
            <w:r>
              <w:rPr>
                <w:rFonts w:cstheme="minorHAnsi"/>
                <w:color w:val="000000"/>
                <w:sz w:val="20"/>
                <w:szCs w:val="20"/>
              </w:rPr>
              <w:t xml:space="preserve">&gt; </w:t>
            </w:r>
            <w:r w:rsidRPr="00ED385A">
              <w:rPr>
                <w:rFonts w:cstheme="minorHAnsi"/>
                <w:color w:val="000000"/>
                <w:sz w:val="20"/>
                <w:szCs w:val="20"/>
              </w:rPr>
              <w:t>13.6</w:t>
            </w:r>
          </w:p>
        </w:tc>
        <w:tc>
          <w:tcPr>
            <w:tcW w:w="1065" w:type="dxa"/>
            <w:tcBorders>
              <w:left w:val="single" w:sz="4" w:space="0" w:color="auto"/>
            </w:tcBorders>
            <w:shd w:val="clear" w:color="auto" w:fill="F2F2F2" w:themeFill="background1" w:themeFillShade="F2"/>
          </w:tcPr>
          <w:p w14:paraId="755B089F" w14:textId="77777777" w:rsidR="000A2E69" w:rsidRPr="00A2683C" w:rsidRDefault="000A2E69" w:rsidP="00894BA5">
            <w:pPr>
              <w:jc w:val="center"/>
              <w:rPr>
                <w:rFonts w:cstheme="minorHAnsi"/>
                <w:color w:val="000000"/>
                <w:sz w:val="20"/>
                <w:szCs w:val="20"/>
              </w:rPr>
            </w:pPr>
            <w:r w:rsidRPr="00A2683C">
              <w:rPr>
                <w:rFonts w:cstheme="minorHAnsi"/>
                <w:color w:val="000000"/>
                <w:sz w:val="20"/>
                <w:szCs w:val="20"/>
              </w:rPr>
              <w:t>10</w:t>
            </w:r>
          </w:p>
        </w:tc>
        <w:tc>
          <w:tcPr>
            <w:tcW w:w="2195" w:type="dxa"/>
            <w:vAlign w:val="center"/>
          </w:tcPr>
          <w:p w14:paraId="4066A317" w14:textId="77777777" w:rsidR="000A2E69" w:rsidRPr="00A2683C" w:rsidRDefault="000A2E69" w:rsidP="00894BA5">
            <w:pPr>
              <w:jc w:val="center"/>
              <w:rPr>
                <w:rFonts w:cstheme="minorHAnsi"/>
                <w:sz w:val="20"/>
                <w:szCs w:val="20"/>
              </w:rPr>
            </w:pPr>
            <w:r>
              <w:rPr>
                <w:rFonts w:cstheme="minorHAnsi"/>
                <w:color w:val="000000"/>
                <w:sz w:val="20"/>
                <w:szCs w:val="20"/>
              </w:rPr>
              <w:sym w:font="Symbol" w:char="F0B3"/>
            </w:r>
            <w:r>
              <w:rPr>
                <w:rFonts w:cstheme="minorHAnsi"/>
                <w:color w:val="000000"/>
                <w:sz w:val="20"/>
                <w:szCs w:val="20"/>
              </w:rPr>
              <w:t xml:space="preserve"> </w:t>
            </w:r>
            <w:r w:rsidRPr="00A2683C">
              <w:rPr>
                <w:rFonts w:cstheme="minorHAnsi"/>
                <w:sz w:val="20"/>
                <w:szCs w:val="20"/>
              </w:rPr>
              <w:t>96</w:t>
            </w:r>
          </w:p>
        </w:tc>
      </w:tr>
    </w:tbl>
    <w:p w14:paraId="0BE6165C" w14:textId="77777777" w:rsidR="000C6E56" w:rsidRDefault="000C6E56" w:rsidP="000C6E56">
      <w:pPr>
        <w:rPr>
          <w:rFonts w:cstheme="minorHAnsi"/>
          <w:bCs/>
          <w:sz w:val="22"/>
          <w:szCs w:val="20"/>
        </w:rPr>
      </w:pPr>
    </w:p>
    <w:p w14:paraId="7D0566B4" w14:textId="331F7EC2" w:rsidR="000C6E56" w:rsidRPr="000C6E56" w:rsidRDefault="000C6E56" w:rsidP="000C6E56">
      <w:pPr>
        <w:rPr>
          <w:rFonts w:cstheme="minorHAnsi"/>
          <w:b/>
          <w:sz w:val="22"/>
          <w:szCs w:val="20"/>
        </w:rPr>
      </w:pPr>
      <w:r w:rsidRPr="000C6E56">
        <w:rPr>
          <w:rFonts w:cstheme="minorHAnsi"/>
          <w:b/>
          <w:sz w:val="22"/>
          <w:szCs w:val="20"/>
        </w:rPr>
        <w:t xml:space="preserve">Table </w:t>
      </w:r>
      <w:r w:rsidR="00F37134">
        <w:rPr>
          <w:rFonts w:cstheme="minorHAnsi"/>
          <w:b/>
          <w:sz w:val="22"/>
          <w:szCs w:val="20"/>
        </w:rPr>
        <w:t>E</w:t>
      </w:r>
      <w:r w:rsidR="00CA03D9">
        <w:rPr>
          <w:rFonts w:cstheme="minorHAnsi"/>
          <w:b/>
          <w:sz w:val="22"/>
          <w:szCs w:val="20"/>
        </w:rPr>
        <w:t>.</w:t>
      </w:r>
      <w:r>
        <w:rPr>
          <w:rFonts w:cstheme="minorHAnsi"/>
          <w:b/>
          <w:sz w:val="22"/>
          <w:szCs w:val="20"/>
        </w:rPr>
        <w:t>3</w:t>
      </w:r>
      <w:r w:rsidRPr="000C6E56">
        <w:rPr>
          <w:rFonts w:cstheme="minorHAnsi"/>
          <w:b/>
          <w:sz w:val="22"/>
          <w:szCs w:val="20"/>
        </w:rPr>
        <w:t>: Final scores used to assign Heath Star Ratings</w:t>
      </w:r>
    </w:p>
    <w:p w14:paraId="3C644CCD" w14:textId="6EE32039" w:rsidR="000D64E2" w:rsidRDefault="000D64E2" w:rsidP="000D64E2">
      <w:pPr>
        <w:pStyle w:val="mpcNormal"/>
      </w:pPr>
    </w:p>
    <w:tbl>
      <w:tblPr>
        <w:tblW w:w="8495" w:type="dxa"/>
        <w:tblCellMar>
          <w:left w:w="0" w:type="dxa"/>
          <w:right w:w="0" w:type="dxa"/>
        </w:tblCellMar>
        <w:tblLook w:val="04A0" w:firstRow="1" w:lastRow="0" w:firstColumn="1" w:lastColumn="0" w:noHBand="0" w:noVBand="1"/>
        <w:tblCaption w:val="Table E.3"/>
        <w:tblDescription w:val="This table shows the scaling of points to determine the final HSR for all categories."/>
      </w:tblPr>
      <w:tblGrid>
        <w:gridCol w:w="960"/>
        <w:gridCol w:w="1440"/>
        <w:gridCol w:w="1087"/>
        <w:gridCol w:w="1606"/>
        <w:gridCol w:w="1134"/>
        <w:gridCol w:w="1134"/>
        <w:gridCol w:w="1134"/>
      </w:tblGrid>
      <w:tr w:rsidR="007E484D" w:rsidRPr="00442BA5" w14:paraId="5943920B" w14:textId="77777777" w:rsidTr="00E5003E">
        <w:trPr>
          <w:trHeight w:val="711"/>
        </w:trPr>
        <w:tc>
          <w:tcPr>
            <w:tcW w:w="960" w:type="dxa"/>
            <w:tcBorders>
              <w:top w:val="single" w:sz="8" w:space="0" w:color="auto"/>
              <w:left w:val="single" w:sz="8" w:space="0" w:color="auto"/>
              <w:bottom w:val="single" w:sz="8" w:space="0" w:color="auto"/>
              <w:right w:val="single" w:sz="8" w:space="0" w:color="auto"/>
            </w:tcBorders>
            <w:shd w:val="clear" w:color="auto" w:fill="516A8E"/>
            <w:noWrap/>
            <w:tcMar>
              <w:top w:w="0" w:type="dxa"/>
              <w:left w:w="108" w:type="dxa"/>
              <w:bottom w:w="0" w:type="dxa"/>
              <w:right w:w="108" w:type="dxa"/>
            </w:tcMar>
            <w:vAlign w:val="center"/>
            <w:hideMark/>
          </w:tcPr>
          <w:p w14:paraId="071BA55B"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HSR</w:t>
            </w:r>
          </w:p>
        </w:tc>
        <w:tc>
          <w:tcPr>
            <w:tcW w:w="1440" w:type="dxa"/>
            <w:tcBorders>
              <w:top w:val="single" w:sz="8" w:space="0" w:color="auto"/>
              <w:left w:val="nil"/>
              <w:bottom w:val="single" w:sz="8" w:space="0" w:color="auto"/>
              <w:right w:val="single" w:sz="8" w:space="0" w:color="auto"/>
            </w:tcBorders>
            <w:shd w:val="clear" w:color="auto" w:fill="516A8E"/>
            <w:vAlign w:val="center"/>
            <w:hideMark/>
          </w:tcPr>
          <w:p w14:paraId="4AA33686"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1</w:t>
            </w:r>
          </w:p>
        </w:tc>
        <w:tc>
          <w:tcPr>
            <w:tcW w:w="1087" w:type="dxa"/>
            <w:tcBorders>
              <w:top w:val="single" w:sz="8" w:space="0" w:color="auto"/>
              <w:left w:val="nil"/>
              <w:bottom w:val="single" w:sz="8" w:space="0" w:color="auto"/>
              <w:right w:val="single" w:sz="8" w:space="0" w:color="auto"/>
            </w:tcBorders>
            <w:shd w:val="clear" w:color="auto" w:fill="516A8E"/>
            <w:vAlign w:val="center"/>
            <w:hideMark/>
          </w:tcPr>
          <w:p w14:paraId="726FA1CC"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1D</w:t>
            </w:r>
          </w:p>
        </w:tc>
        <w:tc>
          <w:tcPr>
            <w:tcW w:w="1606" w:type="dxa"/>
            <w:tcBorders>
              <w:top w:val="single" w:sz="8" w:space="0" w:color="auto"/>
              <w:left w:val="nil"/>
              <w:bottom w:val="single" w:sz="8" w:space="0" w:color="auto"/>
              <w:right w:val="single" w:sz="8" w:space="0" w:color="auto"/>
            </w:tcBorders>
            <w:shd w:val="clear" w:color="auto" w:fill="516A8E"/>
            <w:vAlign w:val="center"/>
            <w:hideMark/>
          </w:tcPr>
          <w:p w14:paraId="3F9EF743"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2</w:t>
            </w:r>
          </w:p>
        </w:tc>
        <w:tc>
          <w:tcPr>
            <w:tcW w:w="1134" w:type="dxa"/>
            <w:tcBorders>
              <w:top w:val="single" w:sz="8" w:space="0" w:color="auto"/>
              <w:left w:val="nil"/>
              <w:bottom w:val="single" w:sz="8" w:space="0" w:color="auto"/>
              <w:right w:val="single" w:sz="8" w:space="0" w:color="auto"/>
            </w:tcBorders>
            <w:shd w:val="clear" w:color="auto" w:fill="516A8E"/>
            <w:noWrap/>
            <w:tcMar>
              <w:top w:w="0" w:type="dxa"/>
              <w:left w:w="108" w:type="dxa"/>
              <w:bottom w:w="0" w:type="dxa"/>
              <w:right w:w="108" w:type="dxa"/>
            </w:tcMar>
            <w:vAlign w:val="center"/>
            <w:hideMark/>
          </w:tcPr>
          <w:p w14:paraId="50808B66"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2D</w:t>
            </w:r>
          </w:p>
        </w:tc>
        <w:tc>
          <w:tcPr>
            <w:tcW w:w="1134" w:type="dxa"/>
            <w:tcBorders>
              <w:top w:val="single" w:sz="8" w:space="0" w:color="auto"/>
              <w:left w:val="nil"/>
              <w:bottom w:val="single" w:sz="8" w:space="0" w:color="auto"/>
              <w:right w:val="single" w:sz="8" w:space="0" w:color="auto"/>
            </w:tcBorders>
            <w:shd w:val="clear" w:color="auto" w:fill="516A8E"/>
            <w:vAlign w:val="center"/>
            <w:hideMark/>
          </w:tcPr>
          <w:p w14:paraId="6E709B86"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3</w:t>
            </w:r>
          </w:p>
        </w:tc>
        <w:tc>
          <w:tcPr>
            <w:tcW w:w="1134" w:type="dxa"/>
            <w:tcBorders>
              <w:top w:val="single" w:sz="8" w:space="0" w:color="auto"/>
              <w:left w:val="nil"/>
              <w:bottom w:val="single" w:sz="8" w:space="0" w:color="auto"/>
              <w:right w:val="single" w:sz="8" w:space="0" w:color="auto"/>
            </w:tcBorders>
            <w:shd w:val="clear" w:color="auto" w:fill="516A8E"/>
            <w:noWrap/>
            <w:tcMar>
              <w:top w:w="0" w:type="dxa"/>
              <w:left w:w="108" w:type="dxa"/>
              <w:bottom w:w="0" w:type="dxa"/>
              <w:right w:w="108" w:type="dxa"/>
            </w:tcMar>
            <w:vAlign w:val="center"/>
            <w:hideMark/>
          </w:tcPr>
          <w:p w14:paraId="710B4ADA" w14:textId="77777777" w:rsidR="000A2E69" w:rsidRPr="00442BA5" w:rsidRDefault="000A2E69" w:rsidP="00894BA5">
            <w:pPr>
              <w:jc w:val="center"/>
              <w:rPr>
                <w:rFonts w:cstheme="minorHAnsi"/>
                <w:b/>
                <w:color w:val="FFFFFF" w:themeColor="background1"/>
                <w:sz w:val="20"/>
                <w:szCs w:val="20"/>
              </w:rPr>
            </w:pPr>
            <w:r w:rsidRPr="00442BA5">
              <w:rPr>
                <w:rFonts w:cstheme="minorHAnsi"/>
                <w:b/>
                <w:color w:val="FFFFFF" w:themeColor="background1"/>
                <w:sz w:val="20"/>
                <w:szCs w:val="20"/>
              </w:rPr>
              <w:t>Cat. 3D</w:t>
            </w:r>
          </w:p>
        </w:tc>
      </w:tr>
      <w:tr w:rsidR="007E484D" w:rsidRPr="00442BA5" w14:paraId="4B7AED54"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10468BC9"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5</w:t>
            </w:r>
          </w:p>
        </w:tc>
        <w:tc>
          <w:tcPr>
            <w:tcW w:w="1440" w:type="dxa"/>
            <w:tcBorders>
              <w:top w:val="nil"/>
              <w:left w:val="nil"/>
              <w:bottom w:val="single" w:sz="8" w:space="0" w:color="auto"/>
              <w:right w:val="single" w:sz="8" w:space="0" w:color="auto"/>
            </w:tcBorders>
            <w:vAlign w:val="bottom"/>
            <w:hideMark/>
          </w:tcPr>
          <w:p w14:paraId="7D6D650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Water</w:t>
            </w:r>
          </w:p>
        </w:tc>
        <w:tc>
          <w:tcPr>
            <w:tcW w:w="1087" w:type="dxa"/>
            <w:tcBorders>
              <w:top w:val="nil"/>
              <w:left w:val="nil"/>
              <w:bottom w:val="single" w:sz="8" w:space="0" w:color="auto"/>
              <w:right w:val="single" w:sz="8" w:space="0" w:color="auto"/>
            </w:tcBorders>
            <w:vAlign w:val="bottom"/>
            <w:hideMark/>
          </w:tcPr>
          <w:p w14:paraId="68CA850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p>
        </w:tc>
        <w:tc>
          <w:tcPr>
            <w:tcW w:w="1606" w:type="dxa"/>
            <w:tcBorders>
              <w:top w:val="nil"/>
              <w:left w:val="nil"/>
              <w:bottom w:val="single" w:sz="8" w:space="0" w:color="auto"/>
              <w:right w:val="single" w:sz="8" w:space="0" w:color="auto"/>
            </w:tcBorders>
            <w:vAlign w:val="bottom"/>
            <w:hideMark/>
          </w:tcPr>
          <w:p w14:paraId="1926B5F3" w14:textId="77777777" w:rsidR="007E484D" w:rsidRDefault="000A2E69" w:rsidP="007E484D">
            <w:pPr>
              <w:spacing w:line="231" w:lineRule="atLeast"/>
              <w:jc w:val="center"/>
              <w:rPr>
                <w:rFonts w:eastAsia="Times New Roman" w:cstheme="minorHAnsi"/>
                <w:sz w:val="20"/>
                <w:szCs w:val="20"/>
              </w:rPr>
            </w:pPr>
            <w:r w:rsidRPr="00442BA5">
              <w:rPr>
                <w:rFonts w:eastAsia="Times New Roman" w:cstheme="minorHAnsi"/>
                <w:sz w:val="20"/>
                <w:szCs w:val="20"/>
              </w:rPr>
              <w:t>≤-11</w:t>
            </w:r>
            <w:r w:rsidR="007E484D">
              <w:rPr>
                <w:rFonts w:eastAsia="Times New Roman" w:cstheme="minorHAnsi"/>
                <w:sz w:val="20"/>
                <w:szCs w:val="20"/>
              </w:rPr>
              <w:t xml:space="preserve"> </w:t>
            </w:r>
          </w:p>
          <w:p w14:paraId="03B6F389" w14:textId="7F707ADF" w:rsidR="007E484D" w:rsidRDefault="007E484D" w:rsidP="007E484D">
            <w:pPr>
              <w:spacing w:line="231" w:lineRule="atLeast"/>
              <w:jc w:val="center"/>
              <w:rPr>
                <w:rFonts w:eastAsia="Times New Roman" w:cstheme="minorHAnsi"/>
                <w:sz w:val="20"/>
                <w:szCs w:val="20"/>
              </w:rPr>
            </w:pPr>
            <w:r>
              <w:rPr>
                <w:rFonts w:eastAsia="Times New Roman" w:cstheme="minorHAnsi"/>
                <w:sz w:val="20"/>
                <w:szCs w:val="20"/>
              </w:rPr>
              <w:t>Eligible fruits and vegetables</w:t>
            </w:r>
          </w:p>
          <w:p w14:paraId="3C5F4221" w14:textId="2AE5F320" w:rsidR="000A2E69" w:rsidRPr="00442BA5" w:rsidRDefault="000A2E69" w:rsidP="00894BA5">
            <w:pPr>
              <w:spacing w:line="231" w:lineRule="atLeast"/>
              <w:jc w:val="center"/>
              <w:rPr>
                <w:rFonts w:eastAsia="Times New Roman" w:cstheme="minorHAnsi"/>
                <w:sz w:val="20"/>
                <w:szCs w:val="20"/>
              </w:rPr>
            </w:pP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78AFE0"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p>
        </w:tc>
        <w:tc>
          <w:tcPr>
            <w:tcW w:w="1134" w:type="dxa"/>
            <w:tcBorders>
              <w:top w:val="nil"/>
              <w:left w:val="nil"/>
              <w:bottom w:val="single" w:sz="8" w:space="0" w:color="auto"/>
              <w:right w:val="single" w:sz="8" w:space="0" w:color="auto"/>
            </w:tcBorders>
            <w:vAlign w:val="bottom"/>
            <w:hideMark/>
          </w:tcPr>
          <w:p w14:paraId="09FFED9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w:t>
            </w:r>
            <w:r>
              <w:rPr>
                <w:rFonts w:eastAsia="Times New Roman" w:cstheme="minorHAnsi"/>
                <w:sz w:val="20"/>
                <w:szCs w:val="20"/>
              </w:rPr>
              <w:t>13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A4A325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≤24</w:t>
            </w:r>
          </w:p>
        </w:tc>
      </w:tr>
      <w:tr w:rsidR="007E484D" w:rsidRPr="00442BA5" w14:paraId="381474E7"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45EF9DA9"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4.5</w:t>
            </w:r>
          </w:p>
        </w:tc>
        <w:tc>
          <w:tcPr>
            <w:tcW w:w="1440" w:type="dxa"/>
            <w:tcBorders>
              <w:top w:val="nil"/>
              <w:left w:val="nil"/>
              <w:bottom w:val="single" w:sz="8" w:space="0" w:color="auto"/>
              <w:right w:val="single" w:sz="8" w:space="0" w:color="auto"/>
            </w:tcBorders>
            <w:vAlign w:val="bottom"/>
            <w:hideMark/>
          </w:tcPr>
          <w:p w14:paraId="148036B0"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Flavoured water</w:t>
            </w:r>
          </w:p>
        </w:tc>
        <w:tc>
          <w:tcPr>
            <w:tcW w:w="1087" w:type="dxa"/>
            <w:tcBorders>
              <w:top w:val="nil"/>
              <w:left w:val="nil"/>
              <w:bottom w:val="single" w:sz="8" w:space="0" w:color="auto"/>
              <w:right w:val="single" w:sz="8" w:space="0" w:color="auto"/>
            </w:tcBorders>
            <w:vAlign w:val="bottom"/>
            <w:hideMark/>
          </w:tcPr>
          <w:p w14:paraId="15BEACB2"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w:t>
            </w:r>
          </w:p>
        </w:tc>
        <w:tc>
          <w:tcPr>
            <w:tcW w:w="1606" w:type="dxa"/>
            <w:tcBorders>
              <w:top w:val="nil"/>
              <w:left w:val="nil"/>
              <w:bottom w:val="single" w:sz="8" w:space="0" w:color="auto"/>
              <w:right w:val="single" w:sz="8" w:space="0" w:color="auto"/>
            </w:tcBorders>
            <w:vAlign w:val="bottom"/>
            <w:hideMark/>
          </w:tcPr>
          <w:p w14:paraId="4EF3E95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-10 – -7</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E4B0BF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 – 0</w:t>
            </w:r>
          </w:p>
        </w:tc>
        <w:tc>
          <w:tcPr>
            <w:tcW w:w="1134" w:type="dxa"/>
            <w:tcBorders>
              <w:top w:val="nil"/>
              <w:left w:val="nil"/>
              <w:bottom w:val="single" w:sz="8" w:space="0" w:color="auto"/>
              <w:right w:val="single" w:sz="8" w:space="0" w:color="auto"/>
            </w:tcBorders>
            <w:vAlign w:val="bottom"/>
            <w:hideMark/>
          </w:tcPr>
          <w:p w14:paraId="2017C5E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w:t>
            </w:r>
            <w:r>
              <w:rPr>
                <w:rFonts w:eastAsia="Times New Roman" w:cstheme="minorHAnsi"/>
                <w:sz w:val="20"/>
                <w:szCs w:val="20"/>
              </w:rPr>
              <w:t>4</w:t>
            </w:r>
            <w:r w:rsidRPr="00442BA5">
              <w:rPr>
                <w:rFonts w:eastAsia="Times New Roman" w:cstheme="minorHAnsi"/>
                <w:sz w:val="20"/>
                <w:szCs w:val="20"/>
              </w:rPr>
              <w:t xml:space="preserve"> – </w:t>
            </w:r>
            <w:r>
              <w:rPr>
                <w:rFonts w:eastAsia="Times New Roman" w:cstheme="minorHAnsi"/>
                <w:sz w:val="20"/>
                <w:szCs w:val="20"/>
              </w:rPr>
              <w:t>16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B0FCC1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25 – 26</w:t>
            </w:r>
          </w:p>
        </w:tc>
      </w:tr>
      <w:tr w:rsidR="007E484D" w:rsidRPr="00442BA5" w14:paraId="0886D253"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03D59BC3"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4</w:t>
            </w:r>
          </w:p>
        </w:tc>
        <w:tc>
          <w:tcPr>
            <w:tcW w:w="1440" w:type="dxa"/>
            <w:tcBorders>
              <w:top w:val="nil"/>
              <w:left w:val="nil"/>
              <w:bottom w:val="single" w:sz="8" w:space="0" w:color="auto"/>
              <w:right w:val="single" w:sz="8" w:space="0" w:color="auto"/>
            </w:tcBorders>
            <w:vAlign w:val="bottom"/>
            <w:hideMark/>
          </w:tcPr>
          <w:p w14:paraId="34C5332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≤0</w:t>
            </w:r>
          </w:p>
        </w:tc>
        <w:tc>
          <w:tcPr>
            <w:tcW w:w="1087" w:type="dxa"/>
            <w:tcBorders>
              <w:top w:val="nil"/>
              <w:left w:val="nil"/>
              <w:bottom w:val="single" w:sz="8" w:space="0" w:color="auto"/>
              <w:right w:val="single" w:sz="8" w:space="0" w:color="auto"/>
            </w:tcBorders>
            <w:vAlign w:val="bottom"/>
            <w:hideMark/>
          </w:tcPr>
          <w:p w14:paraId="0C481233"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0</w:t>
            </w:r>
          </w:p>
        </w:tc>
        <w:tc>
          <w:tcPr>
            <w:tcW w:w="1606" w:type="dxa"/>
            <w:tcBorders>
              <w:top w:val="nil"/>
              <w:left w:val="nil"/>
              <w:bottom w:val="single" w:sz="8" w:space="0" w:color="auto"/>
              <w:right w:val="single" w:sz="8" w:space="0" w:color="auto"/>
            </w:tcBorders>
            <w:vAlign w:val="bottom"/>
            <w:hideMark/>
          </w:tcPr>
          <w:p w14:paraId="43EED66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-6 – -2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A3861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 – 2</w:t>
            </w:r>
          </w:p>
        </w:tc>
        <w:tc>
          <w:tcPr>
            <w:tcW w:w="1134" w:type="dxa"/>
            <w:tcBorders>
              <w:top w:val="nil"/>
              <w:left w:val="nil"/>
              <w:bottom w:val="single" w:sz="8" w:space="0" w:color="auto"/>
              <w:right w:val="single" w:sz="8" w:space="0" w:color="auto"/>
            </w:tcBorders>
            <w:vAlign w:val="bottom"/>
            <w:hideMark/>
          </w:tcPr>
          <w:p w14:paraId="685B9F9B" w14:textId="77777777" w:rsidR="000A2E69" w:rsidRPr="00442BA5" w:rsidRDefault="000A2E69" w:rsidP="00894BA5">
            <w:pPr>
              <w:spacing w:line="231" w:lineRule="atLeast"/>
              <w:jc w:val="center"/>
              <w:rPr>
                <w:rFonts w:eastAsia="Times New Roman" w:cstheme="minorHAnsi"/>
                <w:sz w:val="20"/>
                <w:szCs w:val="20"/>
              </w:rPr>
            </w:pPr>
            <w:r>
              <w:rPr>
                <w:rFonts w:eastAsia="Times New Roman" w:cstheme="minorHAnsi"/>
                <w:sz w:val="20"/>
                <w:szCs w:val="20"/>
              </w:rPr>
              <w:t>17</w:t>
            </w:r>
            <w:r w:rsidRPr="00442BA5">
              <w:rPr>
                <w:rFonts w:eastAsia="Times New Roman" w:cstheme="minorHAnsi"/>
                <w:sz w:val="20"/>
                <w:szCs w:val="20"/>
              </w:rPr>
              <w:t xml:space="preserve"> – 2</w:t>
            </w:r>
            <w:r>
              <w:rPr>
                <w:rFonts w:eastAsia="Times New Roman" w:cstheme="minorHAnsi"/>
                <w:sz w:val="20"/>
                <w:szCs w:val="20"/>
              </w:rPr>
              <w:t>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E06DE3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27 – 28</w:t>
            </w:r>
          </w:p>
        </w:tc>
      </w:tr>
      <w:tr w:rsidR="007E484D" w:rsidRPr="00442BA5" w14:paraId="230B06EC"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373F696F"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3.5</w:t>
            </w:r>
          </w:p>
        </w:tc>
        <w:tc>
          <w:tcPr>
            <w:tcW w:w="1440" w:type="dxa"/>
            <w:tcBorders>
              <w:top w:val="nil"/>
              <w:left w:val="nil"/>
              <w:bottom w:val="single" w:sz="8" w:space="0" w:color="auto"/>
              <w:right w:val="single" w:sz="8" w:space="0" w:color="auto"/>
            </w:tcBorders>
            <w:vAlign w:val="bottom"/>
            <w:hideMark/>
          </w:tcPr>
          <w:p w14:paraId="16BC9268"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w:t>
            </w:r>
          </w:p>
        </w:tc>
        <w:tc>
          <w:tcPr>
            <w:tcW w:w="1087" w:type="dxa"/>
            <w:tcBorders>
              <w:top w:val="nil"/>
              <w:left w:val="nil"/>
              <w:bottom w:val="single" w:sz="8" w:space="0" w:color="auto"/>
              <w:right w:val="single" w:sz="8" w:space="0" w:color="auto"/>
            </w:tcBorders>
            <w:vAlign w:val="bottom"/>
            <w:hideMark/>
          </w:tcPr>
          <w:p w14:paraId="5B495368"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w:t>
            </w:r>
          </w:p>
        </w:tc>
        <w:tc>
          <w:tcPr>
            <w:tcW w:w="1606" w:type="dxa"/>
            <w:tcBorders>
              <w:top w:val="nil"/>
              <w:left w:val="nil"/>
              <w:bottom w:val="single" w:sz="8" w:space="0" w:color="auto"/>
              <w:right w:val="single" w:sz="8" w:space="0" w:color="auto"/>
            </w:tcBorders>
            <w:vAlign w:val="bottom"/>
            <w:hideMark/>
          </w:tcPr>
          <w:p w14:paraId="27119C6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 – 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9A97979"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p>
        </w:tc>
        <w:tc>
          <w:tcPr>
            <w:tcW w:w="1134" w:type="dxa"/>
            <w:tcBorders>
              <w:top w:val="nil"/>
              <w:left w:val="nil"/>
              <w:bottom w:val="single" w:sz="8" w:space="0" w:color="auto"/>
              <w:right w:val="single" w:sz="8" w:space="0" w:color="auto"/>
            </w:tcBorders>
            <w:vAlign w:val="bottom"/>
            <w:hideMark/>
          </w:tcPr>
          <w:p w14:paraId="25A60C4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r>
              <w:rPr>
                <w:rFonts w:eastAsia="Times New Roman" w:cstheme="minorHAnsi"/>
                <w:sz w:val="20"/>
                <w:szCs w:val="20"/>
              </w:rPr>
              <w:t>1</w:t>
            </w:r>
            <w:r w:rsidRPr="00442BA5">
              <w:rPr>
                <w:rFonts w:eastAsia="Times New Roman" w:cstheme="minorHAnsi"/>
                <w:sz w:val="20"/>
                <w:szCs w:val="20"/>
              </w:rPr>
              <w:t xml:space="preserve"> – 2</w:t>
            </w:r>
            <w:r>
              <w:rPr>
                <w:rFonts w:eastAsia="Times New Roman" w:cstheme="minorHAnsi"/>
                <w:sz w:val="20"/>
                <w:szCs w:val="20"/>
              </w:rPr>
              <w:t>3</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E32845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29 – 30</w:t>
            </w:r>
          </w:p>
        </w:tc>
      </w:tr>
      <w:tr w:rsidR="007E484D" w:rsidRPr="00442BA5" w14:paraId="61CDD1A6"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791549FF"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3</w:t>
            </w:r>
          </w:p>
        </w:tc>
        <w:tc>
          <w:tcPr>
            <w:tcW w:w="1440" w:type="dxa"/>
            <w:tcBorders>
              <w:top w:val="nil"/>
              <w:left w:val="nil"/>
              <w:bottom w:val="single" w:sz="8" w:space="0" w:color="auto"/>
              <w:right w:val="single" w:sz="8" w:space="0" w:color="auto"/>
            </w:tcBorders>
            <w:vAlign w:val="bottom"/>
            <w:hideMark/>
          </w:tcPr>
          <w:p w14:paraId="40C4B9AB"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 – 3</w:t>
            </w:r>
          </w:p>
        </w:tc>
        <w:tc>
          <w:tcPr>
            <w:tcW w:w="1087" w:type="dxa"/>
            <w:tcBorders>
              <w:top w:val="nil"/>
              <w:left w:val="nil"/>
              <w:bottom w:val="single" w:sz="8" w:space="0" w:color="auto"/>
              <w:right w:val="single" w:sz="8" w:space="0" w:color="auto"/>
            </w:tcBorders>
            <w:vAlign w:val="bottom"/>
            <w:hideMark/>
          </w:tcPr>
          <w:p w14:paraId="56139CA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p>
        </w:tc>
        <w:tc>
          <w:tcPr>
            <w:tcW w:w="1606" w:type="dxa"/>
            <w:tcBorders>
              <w:top w:val="nil"/>
              <w:left w:val="nil"/>
              <w:bottom w:val="single" w:sz="8" w:space="0" w:color="auto"/>
              <w:right w:val="single" w:sz="8" w:space="0" w:color="auto"/>
            </w:tcBorders>
            <w:vAlign w:val="bottom"/>
            <w:hideMark/>
          </w:tcPr>
          <w:p w14:paraId="496E8498"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 – 6</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FE19CB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 – 5</w:t>
            </w:r>
          </w:p>
        </w:tc>
        <w:tc>
          <w:tcPr>
            <w:tcW w:w="1134" w:type="dxa"/>
            <w:tcBorders>
              <w:top w:val="nil"/>
              <w:left w:val="nil"/>
              <w:bottom w:val="single" w:sz="8" w:space="0" w:color="auto"/>
              <w:right w:val="single" w:sz="8" w:space="0" w:color="auto"/>
            </w:tcBorders>
            <w:vAlign w:val="bottom"/>
            <w:hideMark/>
          </w:tcPr>
          <w:p w14:paraId="7D4564E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w:t>
            </w:r>
            <w:r>
              <w:rPr>
                <w:rFonts w:eastAsia="Times New Roman" w:cstheme="minorHAnsi"/>
                <w:sz w:val="20"/>
                <w:szCs w:val="20"/>
              </w:rPr>
              <w:t>4</w:t>
            </w:r>
            <w:r w:rsidRPr="00442BA5">
              <w:rPr>
                <w:rFonts w:eastAsia="Times New Roman" w:cstheme="minorHAnsi"/>
                <w:sz w:val="20"/>
                <w:szCs w:val="20"/>
              </w:rPr>
              <w:t xml:space="preserve"> – 2</w:t>
            </w:r>
            <w:r>
              <w:rPr>
                <w:rFonts w:eastAsia="Times New Roman" w:cstheme="minorHAnsi"/>
                <w:sz w:val="20"/>
                <w:szCs w:val="20"/>
              </w:rPr>
              <w:t>7</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A3DD97F"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31</w:t>
            </w:r>
          </w:p>
        </w:tc>
      </w:tr>
      <w:tr w:rsidR="007E484D" w:rsidRPr="00442BA5" w14:paraId="46E76324"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2FF0B874"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2.5</w:t>
            </w:r>
          </w:p>
        </w:tc>
        <w:tc>
          <w:tcPr>
            <w:tcW w:w="1440" w:type="dxa"/>
            <w:tcBorders>
              <w:top w:val="nil"/>
              <w:left w:val="nil"/>
              <w:bottom w:val="single" w:sz="8" w:space="0" w:color="auto"/>
              <w:right w:val="single" w:sz="8" w:space="0" w:color="auto"/>
            </w:tcBorders>
            <w:vAlign w:val="bottom"/>
            <w:hideMark/>
          </w:tcPr>
          <w:p w14:paraId="40E10A3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 – 5</w:t>
            </w:r>
          </w:p>
        </w:tc>
        <w:tc>
          <w:tcPr>
            <w:tcW w:w="1087" w:type="dxa"/>
            <w:tcBorders>
              <w:top w:val="nil"/>
              <w:left w:val="nil"/>
              <w:bottom w:val="single" w:sz="8" w:space="0" w:color="auto"/>
              <w:right w:val="single" w:sz="8" w:space="0" w:color="auto"/>
            </w:tcBorders>
            <w:vAlign w:val="bottom"/>
            <w:hideMark/>
          </w:tcPr>
          <w:p w14:paraId="1452A6A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p>
        </w:tc>
        <w:tc>
          <w:tcPr>
            <w:tcW w:w="1606" w:type="dxa"/>
            <w:tcBorders>
              <w:top w:val="nil"/>
              <w:left w:val="nil"/>
              <w:bottom w:val="single" w:sz="8" w:space="0" w:color="auto"/>
              <w:right w:val="single" w:sz="8" w:space="0" w:color="auto"/>
            </w:tcBorders>
            <w:vAlign w:val="bottom"/>
            <w:hideMark/>
          </w:tcPr>
          <w:p w14:paraId="41D0C629"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7 – 11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14EFD2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6 – 7</w:t>
            </w:r>
          </w:p>
        </w:tc>
        <w:tc>
          <w:tcPr>
            <w:tcW w:w="1134" w:type="dxa"/>
            <w:tcBorders>
              <w:top w:val="nil"/>
              <w:left w:val="nil"/>
              <w:bottom w:val="single" w:sz="8" w:space="0" w:color="auto"/>
              <w:right w:val="single" w:sz="8" w:space="0" w:color="auto"/>
            </w:tcBorders>
            <w:vAlign w:val="bottom"/>
            <w:hideMark/>
          </w:tcPr>
          <w:p w14:paraId="4E523DA5" w14:textId="77777777" w:rsidR="000A2E69" w:rsidRPr="00442BA5" w:rsidRDefault="000A2E69" w:rsidP="00894BA5">
            <w:pPr>
              <w:spacing w:line="231" w:lineRule="atLeast"/>
              <w:jc w:val="center"/>
              <w:rPr>
                <w:rFonts w:eastAsia="Times New Roman" w:cstheme="minorHAnsi"/>
                <w:sz w:val="20"/>
                <w:szCs w:val="20"/>
              </w:rPr>
            </w:pPr>
            <w:r>
              <w:rPr>
                <w:rFonts w:eastAsia="Times New Roman" w:cstheme="minorHAnsi"/>
                <w:sz w:val="20"/>
                <w:szCs w:val="20"/>
              </w:rPr>
              <w:t>28</w:t>
            </w:r>
            <w:r w:rsidRPr="00442BA5">
              <w:rPr>
                <w:rFonts w:eastAsia="Times New Roman" w:cstheme="minorHAnsi"/>
                <w:sz w:val="20"/>
                <w:szCs w:val="20"/>
              </w:rPr>
              <w:t xml:space="preserve"> – 3</w:t>
            </w:r>
            <w:r>
              <w:rPr>
                <w:rFonts w:eastAsia="Times New Roman" w:cstheme="minorHAnsi"/>
                <w:sz w:val="20"/>
                <w:szCs w:val="20"/>
              </w:rPr>
              <w:t>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413CE8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32 – 33</w:t>
            </w:r>
          </w:p>
        </w:tc>
      </w:tr>
      <w:tr w:rsidR="007E484D" w:rsidRPr="00442BA5" w14:paraId="0EB8501E"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35D34235"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2</w:t>
            </w:r>
          </w:p>
        </w:tc>
        <w:tc>
          <w:tcPr>
            <w:tcW w:w="1440" w:type="dxa"/>
            <w:tcBorders>
              <w:top w:val="nil"/>
              <w:left w:val="nil"/>
              <w:bottom w:val="single" w:sz="8" w:space="0" w:color="auto"/>
              <w:right w:val="single" w:sz="8" w:space="0" w:color="auto"/>
            </w:tcBorders>
            <w:vAlign w:val="bottom"/>
            <w:hideMark/>
          </w:tcPr>
          <w:p w14:paraId="049FB4D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6 – 7</w:t>
            </w:r>
          </w:p>
        </w:tc>
        <w:tc>
          <w:tcPr>
            <w:tcW w:w="1087" w:type="dxa"/>
            <w:tcBorders>
              <w:top w:val="nil"/>
              <w:left w:val="nil"/>
              <w:bottom w:val="single" w:sz="8" w:space="0" w:color="auto"/>
              <w:right w:val="single" w:sz="8" w:space="0" w:color="auto"/>
            </w:tcBorders>
            <w:vAlign w:val="bottom"/>
            <w:hideMark/>
          </w:tcPr>
          <w:p w14:paraId="7DE93773"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w:t>
            </w:r>
          </w:p>
        </w:tc>
        <w:tc>
          <w:tcPr>
            <w:tcW w:w="1606" w:type="dxa"/>
            <w:tcBorders>
              <w:top w:val="nil"/>
              <w:left w:val="nil"/>
              <w:bottom w:val="single" w:sz="8" w:space="0" w:color="auto"/>
              <w:right w:val="single" w:sz="8" w:space="0" w:color="auto"/>
            </w:tcBorders>
            <w:vAlign w:val="bottom"/>
            <w:hideMark/>
          </w:tcPr>
          <w:p w14:paraId="7701427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12 – 15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65ED913"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8</w:t>
            </w:r>
          </w:p>
        </w:tc>
        <w:tc>
          <w:tcPr>
            <w:tcW w:w="1134" w:type="dxa"/>
            <w:tcBorders>
              <w:top w:val="nil"/>
              <w:left w:val="nil"/>
              <w:bottom w:val="single" w:sz="8" w:space="0" w:color="auto"/>
              <w:right w:val="single" w:sz="8" w:space="0" w:color="auto"/>
            </w:tcBorders>
            <w:vAlign w:val="bottom"/>
            <w:hideMark/>
          </w:tcPr>
          <w:p w14:paraId="7FBA504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r>
              <w:rPr>
                <w:rFonts w:eastAsia="Times New Roman" w:cstheme="minorHAnsi"/>
                <w:sz w:val="20"/>
                <w:szCs w:val="20"/>
              </w:rPr>
              <w:t>1</w:t>
            </w:r>
            <w:r w:rsidRPr="00442BA5">
              <w:rPr>
                <w:rFonts w:eastAsia="Times New Roman" w:cstheme="minorHAnsi"/>
                <w:sz w:val="20"/>
                <w:szCs w:val="20"/>
              </w:rPr>
              <w:t xml:space="preserve"> – </w:t>
            </w:r>
            <w:r>
              <w:rPr>
                <w:rFonts w:eastAsia="Times New Roman" w:cstheme="minorHAnsi"/>
                <w:sz w:val="20"/>
                <w:szCs w:val="20"/>
              </w:rPr>
              <w:t>34</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9A7356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34 – 35</w:t>
            </w:r>
          </w:p>
        </w:tc>
      </w:tr>
      <w:tr w:rsidR="007E484D" w:rsidRPr="00442BA5" w14:paraId="1A1AD4D2"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4FE63C01"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1.5</w:t>
            </w:r>
          </w:p>
        </w:tc>
        <w:tc>
          <w:tcPr>
            <w:tcW w:w="1440" w:type="dxa"/>
            <w:tcBorders>
              <w:top w:val="nil"/>
              <w:left w:val="nil"/>
              <w:bottom w:val="single" w:sz="8" w:space="0" w:color="auto"/>
              <w:right w:val="single" w:sz="8" w:space="0" w:color="auto"/>
            </w:tcBorders>
            <w:vAlign w:val="bottom"/>
            <w:hideMark/>
          </w:tcPr>
          <w:p w14:paraId="4E98D98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8 – 9</w:t>
            </w:r>
          </w:p>
        </w:tc>
        <w:tc>
          <w:tcPr>
            <w:tcW w:w="1087" w:type="dxa"/>
            <w:tcBorders>
              <w:top w:val="nil"/>
              <w:left w:val="nil"/>
              <w:bottom w:val="single" w:sz="8" w:space="0" w:color="auto"/>
              <w:right w:val="single" w:sz="8" w:space="0" w:color="auto"/>
            </w:tcBorders>
            <w:vAlign w:val="bottom"/>
            <w:hideMark/>
          </w:tcPr>
          <w:p w14:paraId="58DE618B"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5</w:t>
            </w:r>
          </w:p>
        </w:tc>
        <w:tc>
          <w:tcPr>
            <w:tcW w:w="1606" w:type="dxa"/>
            <w:tcBorders>
              <w:top w:val="nil"/>
              <w:left w:val="nil"/>
              <w:bottom w:val="single" w:sz="8" w:space="0" w:color="auto"/>
              <w:right w:val="single" w:sz="8" w:space="0" w:color="auto"/>
            </w:tcBorders>
            <w:vAlign w:val="bottom"/>
            <w:hideMark/>
          </w:tcPr>
          <w:p w14:paraId="6650E63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16 – 20</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89D9CB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9 – 10</w:t>
            </w:r>
          </w:p>
        </w:tc>
        <w:tc>
          <w:tcPr>
            <w:tcW w:w="1134" w:type="dxa"/>
            <w:tcBorders>
              <w:top w:val="nil"/>
              <w:left w:val="nil"/>
              <w:bottom w:val="single" w:sz="8" w:space="0" w:color="auto"/>
              <w:right w:val="single" w:sz="8" w:space="0" w:color="auto"/>
            </w:tcBorders>
            <w:vAlign w:val="bottom"/>
            <w:hideMark/>
          </w:tcPr>
          <w:p w14:paraId="6191B0D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r>
              <w:rPr>
                <w:rFonts w:eastAsia="Times New Roman" w:cstheme="minorHAnsi"/>
                <w:sz w:val="20"/>
                <w:szCs w:val="20"/>
              </w:rPr>
              <w:t>5</w:t>
            </w:r>
            <w:r w:rsidRPr="00442BA5">
              <w:rPr>
                <w:rFonts w:eastAsia="Times New Roman" w:cstheme="minorHAnsi"/>
                <w:sz w:val="20"/>
                <w:szCs w:val="20"/>
              </w:rPr>
              <w:t xml:space="preserve"> – 3</w:t>
            </w:r>
            <w:r>
              <w:rPr>
                <w:rFonts w:eastAsia="Times New Roman" w:cstheme="minorHAnsi"/>
                <w:sz w:val="20"/>
                <w:szCs w:val="20"/>
              </w:rPr>
              <w:t>7</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D39B67E"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36 – 37</w:t>
            </w:r>
          </w:p>
        </w:tc>
      </w:tr>
      <w:tr w:rsidR="007E484D" w:rsidRPr="00442BA5" w14:paraId="0869D36E"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126335FD"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1</w:t>
            </w:r>
          </w:p>
        </w:tc>
        <w:tc>
          <w:tcPr>
            <w:tcW w:w="1440" w:type="dxa"/>
            <w:tcBorders>
              <w:top w:val="nil"/>
              <w:left w:val="nil"/>
              <w:bottom w:val="single" w:sz="8" w:space="0" w:color="auto"/>
              <w:right w:val="single" w:sz="8" w:space="0" w:color="auto"/>
            </w:tcBorders>
            <w:vAlign w:val="bottom"/>
            <w:hideMark/>
          </w:tcPr>
          <w:p w14:paraId="031AD925"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10 – 11</w:t>
            </w:r>
          </w:p>
        </w:tc>
        <w:tc>
          <w:tcPr>
            <w:tcW w:w="1087" w:type="dxa"/>
            <w:tcBorders>
              <w:top w:val="nil"/>
              <w:left w:val="nil"/>
              <w:bottom w:val="single" w:sz="8" w:space="0" w:color="auto"/>
              <w:right w:val="single" w:sz="8" w:space="0" w:color="auto"/>
            </w:tcBorders>
            <w:vAlign w:val="bottom"/>
            <w:hideMark/>
          </w:tcPr>
          <w:p w14:paraId="380916B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6</w:t>
            </w:r>
          </w:p>
        </w:tc>
        <w:tc>
          <w:tcPr>
            <w:tcW w:w="1606" w:type="dxa"/>
            <w:tcBorders>
              <w:top w:val="nil"/>
              <w:left w:val="nil"/>
              <w:bottom w:val="single" w:sz="8" w:space="0" w:color="auto"/>
              <w:right w:val="single" w:sz="8" w:space="0" w:color="auto"/>
            </w:tcBorders>
            <w:vAlign w:val="bottom"/>
            <w:hideMark/>
          </w:tcPr>
          <w:p w14:paraId="4FB84B42"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21 – 24</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C2C1457"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11 – 12</w:t>
            </w:r>
          </w:p>
        </w:tc>
        <w:tc>
          <w:tcPr>
            <w:tcW w:w="1134" w:type="dxa"/>
            <w:tcBorders>
              <w:top w:val="nil"/>
              <w:left w:val="nil"/>
              <w:bottom w:val="single" w:sz="8" w:space="0" w:color="auto"/>
              <w:right w:val="single" w:sz="8" w:space="0" w:color="auto"/>
            </w:tcBorders>
            <w:vAlign w:val="bottom"/>
            <w:hideMark/>
          </w:tcPr>
          <w:p w14:paraId="721546FD"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w:t>
            </w:r>
            <w:r>
              <w:rPr>
                <w:rFonts w:eastAsia="Times New Roman" w:cstheme="minorHAnsi"/>
                <w:sz w:val="20"/>
                <w:szCs w:val="20"/>
              </w:rPr>
              <w:t>8</w:t>
            </w:r>
            <w:r w:rsidRPr="00442BA5">
              <w:rPr>
                <w:rFonts w:eastAsia="Times New Roman" w:cstheme="minorHAnsi"/>
                <w:sz w:val="20"/>
                <w:szCs w:val="20"/>
              </w:rPr>
              <w:t xml:space="preserve"> – 41</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5513BA4"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38 – 39</w:t>
            </w:r>
          </w:p>
        </w:tc>
      </w:tr>
      <w:tr w:rsidR="007E484D" w:rsidRPr="00442BA5" w14:paraId="3542D3D9" w14:textId="77777777" w:rsidTr="007E484D">
        <w:trPr>
          <w:trHeight w:val="300"/>
        </w:trPr>
        <w:tc>
          <w:tcPr>
            <w:tcW w:w="960" w:type="dxa"/>
            <w:tcBorders>
              <w:top w:val="nil"/>
              <w:left w:val="single" w:sz="8" w:space="0" w:color="auto"/>
              <w:bottom w:val="single" w:sz="8" w:space="0" w:color="auto"/>
              <w:right w:val="single" w:sz="8" w:space="0" w:color="auto"/>
            </w:tcBorders>
            <w:shd w:val="clear" w:color="auto" w:fill="F2F2F2" w:themeFill="background1" w:themeFillShade="F2"/>
            <w:noWrap/>
            <w:tcMar>
              <w:top w:w="0" w:type="dxa"/>
              <w:left w:w="108" w:type="dxa"/>
              <w:bottom w:w="0" w:type="dxa"/>
              <w:right w:w="108" w:type="dxa"/>
            </w:tcMar>
            <w:vAlign w:val="bottom"/>
            <w:hideMark/>
          </w:tcPr>
          <w:p w14:paraId="5EE0D60F" w14:textId="77777777" w:rsidR="000A2E69" w:rsidRPr="00442BA5" w:rsidRDefault="000A2E69" w:rsidP="00894BA5">
            <w:pPr>
              <w:spacing w:line="231" w:lineRule="atLeast"/>
              <w:jc w:val="center"/>
              <w:rPr>
                <w:rFonts w:eastAsia="Times New Roman" w:cstheme="minorHAnsi"/>
                <w:b/>
                <w:sz w:val="20"/>
                <w:szCs w:val="20"/>
              </w:rPr>
            </w:pPr>
            <w:r w:rsidRPr="00442BA5">
              <w:rPr>
                <w:rFonts w:eastAsia="Times New Roman" w:cstheme="minorHAnsi"/>
                <w:b/>
                <w:sz w:val="20"/>
                <w:szCs w:val="20"/>
              </w:rPr>
              <w:t>0.5</w:t>
            </w:r>
          </w:p>
        </w:tc>
        <w:tc>
          <w:tcPr>
            <w:tcW w:w="1440" w:type="dxa"/>
            <w:tcBorders>
              <w:top w:val="nil"/>
              <w:left w:val="nil"/>
              <w:bottom w:val="single" w:sz="8" w:space="0" w:color="auto"/>
              <w:right w:val="single" w:sz="8" w:space="0" w:color="auto"/>
            </w:tcBorders>
            <w:vAlign w:val="bottom"/>
            <w:hideMark/>
          </w:tcPr>
          <w:p w14:paraId="7280F901"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≥12</w:t>
            </w:r>
          </w:p>
        </w:tc>
        <w:tc>
          <w:tcPr>
            <w:tcW w:w="1087" w:type="dxa"/>
            <w:tcBorders>
              <w:top w:val="nil"/>
              <w:left w:val="nil"/>
              <w:bottom w:val="single" w:sz="8" w:space="0" w:color="auto"/>
              <w:right w:val="single" w:sz="8" w:space="0" w:color="auto"/>
            </w:tcBorders>
            <w:vAlign w:val="bottom"/>
            <w:hideMark/>
          </w:tcPr>
          <w:p w14:paraId="58DD895B"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≥7</w:t>
            </w:r>
          </w:p>
        </w:tc>
        <w:tc>
          <w:tcPr>
            <w:tcW w:w="1606" w:type="dxa"/>
            <w:tcBorders>
              <w:top w:val="nil"/>
              <w:left w:val="nil"/>
              <w:bottom w:val="single" w:sz="8" w:space="0" w:color="auto"/>
              <w:right w:val="single" w:sz="8" w:space="0" w:color="auto"/>
            </w:tcBorders>
            <w:vAlign w:val="bottom"/>
            <w:hideMark/>
          </w:tcPr>
          <w:p w14:paraId="45EB5AC6"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≥25</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1063B4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≥13</w:t>
            </w:r>
          </w:p>
        </w:tc>
        <w:tc>
          <w:tcPr>
            <w:tcW w:w="1134" w:type="dxa"/>
            <w:tcBorders>
              <w:top w:val="nil"/>
              <w:left w:val="nil"/>
              <w:bottom w:val="single" w:sz="8" w:space="0" w:color="auto"/>
              <w:right w:val="single" w:sz="8" w:space="0" w:color="auto"/>
            </w:tcBorders>
            <w:vAlign w:val="bottom"/>
            <w:hideMark/>
          </w:tcPr>
          <w:p w14:paraId="171D6C2A"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≥42</w:t>
            </w:r>
          </w:p>
        </w:tc>
        <w:tc>
          <w:tcPr>
            <w:tcW w:w="113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ECB387C" w14:textId="77777777" w:rsidR="000A2E69" w:rsidRPr="00442BA5" w:rsidRDefault="000A2E69" w:rsidP="00894BA5">
            <w:pPr>
              <w:spacing w:line="231" w:lineRule="atLeast"/>
              <w:jc w:val="center"/>
              <w:rPr>
                <w:rFonts w:eastAsia="Times New Roman" w:cstheme="minorHAnsi"/>
                <w:sz w:val="20"/>
                <w:szCs w:val="20"/>
              </w:rPr>
            </w:pPr>
            <w:r w:rsidRPr="00442BA5">
              <w:rPr>
                <w:rFonts w:eastAsia="Times New Roman" w:cstheme="minorHAnsi"/>
                <w:sz w:val="20"/>
                <w:szCs w:val="20"/>
              </w:rPr>
              <w:t>≥40</w:t>
            </w:r>
          </w:p>
        </w:tc>
      </w:tr>
    </w:tbl>
    <w:p w14:paraId="1A581D0D" w14:textId="415F3664" w:rsidR="000D64E2" w:rsidRDefault="000D64E2" w:rsidP="000D64E2">
      <w:pPr>
        <w:pStyle w:val="mpcNormal"/>
      </w:pPr>
    </w:p>
    <w:p w14:paraId="7CB67CC8" w14:textId="7FDDF86B" w:rsidR="000D64E2" w:rsidRDefault="000D64E2" w:rsidP="000D64E2">
      <w:pPr>
        <w:pStyle w:val="mpcNormal"/>
      </w:pPr>
    </w:p>
    <w:p w14:paraId="5D341A07" w14:textId="77777777" w:rsidR="00AF1690" w:rsidRPr="00AF1690" w:rsidRDefault="00AF1690" w:rsidP="00AF1690">
      <w:bookmarkStart w:id="194" w:name="AppendixE"/>
      <w:bookmarkStart w:id="195" w:name="AppendixF"/>
      <w:bookmarkEnd w:id="194"/>
      <w:bookmarkEnd w:id="195"/>
    </w:p>
    <w:p w14:paraId="0A1BBCA4" w14:textId="77777777" w:rsidR="00AF1690" w:rsidRPr="00AF1690" w:rsidRDefault="00AF1690" w:rsidP="00AF1690"/>
    <w:p w14:paraId="2C74603E" w14:textId="77777777" w:rsidR="00AF1690" w:rsidRPr="00AF1690" w:rsidRDefault="00AF1690" w:rsidP="00AF1690"/>
    <w:p w14:paraId="2DD9F42A" w14:textId="77777777" w:rsidR="00AF1690" w:rsidRPr="00AF1690" w:rsidRDefault="00AF1690" w:rsidP="00AF1690"/>
    <w:p w14:paraId="3D491B72" w14:textId="77777777" w:rsidR="00AF1690" w:rsidRPr="00AF1690" w:rsidRDefault="00AF1690" w:rsidP="00AF1690"/>
    <w:p w14:paraId="2121E82B" w14:textId="77777777" w:rsidR="00AF1690" w:rsidRPr="00AF1690" w:rsidRDefault="00AF1690" w:rsidP="00AF1690"/>
    <w:p w14:paraId="7046FD43" w14:textId="77777777" w:rsidR="00AF1690" w:rsidRPr="00AF1690" w:rsidRDefault="00AF1690" w:rsidP="00AF1690"/>
    <w:p w14:paraId="31B5AAEB" w14:textId="77777777" w:rsidR="00AF1690" w:rsidRPr="00AF1690" w:rsidRDefault="00AF1690" w:rsidP="00AF1690"/>
    <w:p w14:paraId="15D482BB" w14:textId="77777777" w:rsidR="00AF1690" w:rsidRPr="00AF1690" w:rsidRDefault="00AF1690" w:rsidP="00AF1690"/>
    <w:p w14:paraId="09855C94" w14:textId="77777777" w:rsidR="00AF1690" w:rsidRPr="00AF1690" w:rsidRDefault="00AF1690" w:rsidP="00AF1690"/>
    <w:p w14:paraId="3947387C" w14:textId="77777777" w:rsidR="00AF1690" w:rsidRPr="00AF1690" w:rsidRDefault="00AF1690" w:rsidP="00AF1690"/>
    <w:p w14:paraId="75FFBAD3" w14:textId="77777777" w:rsidR="00AF1690" w:rsidRPr="00AF1690" w:rsidRDefault="00AF1690" w:rsidP="00AF1690"/>
    <w:p w14:paraId="4DADC473" w14:textId="77777777" w:rsidR="00AF1690" w:rsidRPr="00AF1690" w:rsidRDefault="00AF1690" w:rsidP="00AF1690"/>
    <w:p w14:paraId="6F478496" w14:textId="77777777" w:rsidR="00AF1690" w:rsidRPr="00AF1690" w:rsidRDefault="00AF1690" w:rsidP="00AF1690"/>
    <w:p w14:paraId="5F68DAF3" w14:textId="7C1FE842" w:rsidR="00AF1690" w:rsidRPr="00AF1690" w:rsidRDefault="00AF1690" w:rsidP="00AF1690">
      <w:pPr>
        <w:tabs>
          <w:tab w:val="left" w:pos="2424"/>
        </w:tabs>
      </w:pPr>
      <w:r>
        <w:tab/>
      </w:r>
    </w:p>
    <w:p w14:paraId="17E8E1FD" w14:textId="383936D1" w:rsidR="00AF1690" w:rsidRDefault="004F658E" w:rsidP="00AF1690">
      <w:pPr>
        <w:pStyle w:val="mpcheading1"/>
      </w:pPr>
      <w:r w:rsidRPr="00AF1690">
        <w:br w:type="column"/>
      </w:r>
      <w:bookmarkStart w:id="196" w:name="AppendixG"/>
      <w:bookmarkStart w:id="197" w:name="_Toc9955091"/>
      <w:bookmarkEnd w:id="196"/>
      <w:r w:rsidR="00AF1690">
        <w:t xml:space="preserve">Appendix </w:t>
      </w:r>
      <w:r w:rsidR="00D82678">
        <w:t>F</w:t>
      </w:r>
      <w:r w:rsidR="00AF1690">
        <w:t xml:space="preserve">: Modelling </w:t>
      </w:r>
      <w:r w:rsidR="00F37134">
        <w:t xml:space="preserve">of </w:t>
      </w:r>
      <w:r w:rsidR="00AF1690">
        <w:t>System enhancement impacts</w:t>
      </w:r>
      <w:bookmarkEnd w:id="197"/>
    </w:p>
    <w:p w14:paraId="60425048" w14:textId="50971754" w:rsidR="00D35249" w:rsidRDefault="00D35249" w:rsidP="00D35249">
      <w:pPr>
        <w:pStyle w:val="mpcheading2"/>
      </w:pPr>
      <w:bookmarkStart w:id="198" w:name="_Toc9955092"/>
      <w:r>
        <w:t>Context</w:t>
      </w:r>
      <w:bookmarkEnd w:id="198"/>
    </w:p>
    <w:p w14:paraId="177753AB" w14:textId="6B0EBF4F" w:rsidR="00CA03D9" w:rsidRPr="00CA03D9" w:rsidRDefault="00CA03D9" w:rsidP="00CA03D9">
      <w:pPr>
        <w:pStyle w:val="mpcNormal"/>
        <w:rPr>
          <w:rFonts w:ascii="Times New Roman" w:hAnsi="Times New Roman"/>
        </w:rPr>
      </w:pPr>
      <w:r w:rsidRPr="00CA03D9">
        <w:t>The following three tables demonstrate the results of modelling using the TAG database, Nutritrack database and FoodSwitch database.</w:t>
      </w:r>
    </w:p>
    <w:p w14:paraId="57D184F0" w14:textId="77777777" w:rsidR="00CA03D9" w:rsidRPr="003272AE" w:rsidRDefault="00CA03D9" w:rsidP="00CA03D9">
      <w:pPr>
        <w:pStyle w:val="mpcNormal"/>
        <w:rPr>
          <w:sz w:val="20"/>
          <w:szCs w:val="20"/>
        </w:rPr>
      </w:pPr>
    </w:p>
    <w:p w14:paraId="1BE5BF69" w14:textId="181E0B72" w:rsidR="00CA03D9" w:rsidRDefault="00CA03D9" w:rsidP="00CA03D9">
      <w:pPr>
        <w:pStyle w:val="mpcNormal"/>
      </w:pPr>
      <w:r w:rsidRPr="00CA03D9">
        <w:t xml:space="preserve">As the results demonstrate, the changes </w:t>
      </w:r>
      <w:r w:rsidR="00D35249">
        <w:t>increase the HSRs of</w:t>
      </w:r>
      <w:r w:rsidRPr="00CA03D9">
        <w:t xml:space="preserve"> certain FFG foods such as dairy foods, fruits and vegetables and reduce the HSRs of some discretionary and FFG foods </w:t>
      </w:r>
      <w:r>
        <w:t xml:space="preserve">(predominantly </w:t>
      </w:r>
      <w:r w:rsidRPr="00CA03D9">
        <w:t xml:space="preserve">due to the proposed changes to the treatment of </w:t>
      </w:r>
      <w:r>
        <w:t xml:space="preserve">total </w:t>
      </w:r>
      <w:r w:rsidRPr="00CA03D9">
        <w:t>sugar</w:t>
      </w:r>
      <w:r>
        <w:t>s</w:t>
      </w:r>
      <w:r w:rsidRPr="00CA03D9">
        <w:t xml:space="preserve"> and sodium</w:t>
      </w:r>
      <w:r>
        <w:t>)</w:t>
      </w:r>
      <w:r w:rsidRPr="00CA03D9">
        <w:t>.</w:t>
      </w:r>
    </w:p>
    <w:p w14:paraId="43497197" w14:textId="73979195" w:rsidR="00D35249" w:rsidRDefault="00D35249" w:rsidP="00CA03D9">
      <w:pPr>
        <w:pStyle w:val="mpcNormal"/>
      </w:pPr>
    </w:p>
    <w:p w14:paraId="0F8D9BCA" w14:textId="77777777" w:rsidR="00D35249" w:rsidRDefault="00D35249" w:rsidP="00CA03D9">
      <w:pPr>
        <w:pStyle w:val="mpcNormal"/>
      </w:pPr>
      <w:r>
        <w:t xml:space="preserve">To note: </w:t>
      </w:r>
    </w:p>
    <w:p w14:paraId="430EFF62" w14:textId="77777777" w:rsidR="00D35249" w:rsidRDefault="00D35249" w:rsidP="00CA03D9">
      <w:pPr>
        <w:pStyle w:val="mpcNormal"/>
      </w:pPr>
    </w:p>
    <w:p w14:paraId="18B8F845" w14:textId="3F0075D3" w:rsidR="00D35249" w:rsidRDefault="00D35249" w:rsidP="00D35249">
      <w:pPr>
        <w:pStyle w:val="mpcNormal"/>
        <w:numPr>
          <w:ilvl w:val="0"/>
          <w:numId w:val="4"/>
        </w:numPr>
      </w:pPr>
      <w:r>
        <w:t>Modelling results relate to changes to food products only (i.e. exclude non-dairy beverages).</w:t>
      </w:r>
    </w:p>
    <w:p w14:paraId="0FB4E856" w14:textId="37DDB2DA" w:rsidR="00D35249" w:rsidRDefault="00D35249" w:rsidP="00D35249">
      <w:pPr>
        <w:pStyle w:val="mpcNormal"/>
        <w:numPr>
          <w:ilvl w:val="0"/>
          <w:numId w:val="4"/>
        </w:numPr>
      </w:pPr>
      <w:r>
        <w:t>Foods are categorised differently in each database and each database contains different products and sample sizes, so results will necessarily differ to some degree across databases.</w:t>
      </w:r>
    </w:p>
    <w:p w14:paraId="211C6E5C" w14:textId="72BBBA97" w:rsidR="00D35249" w:rsidRDefault="00D35249" w:rsidP="00D35249">
      <w:pPr>
        <w:pStyle w:val="ListParagraph"/>
        <w:numPr>
          <w:ilvl w:val="0"/>
          <w:numId w:val="4"/>
        </w:numPr>
        <w:rPr>
          <w:sz w:val="22"/>
          <w:szCs w:val="22"/>
        </w:rPr>
      </w:pPr>
      <w:r>
        <w:rPr>
          <w:sz w:val="22"/>
          <w:szCs w:val="22"/>
        </w:rPr>
        <w:t>M</w:t>
      </w:r>
      <w:r w:rsidRPr="00D35249">
        <w:rPr>
          <w:sz w:val="22"/>
          <w:szCs w:val="22"/>
        </w:rPr>
        <w:t>odelling indicates that the TAG database overestimates the proportion of products</w:t>
      </w:r>
      <w:r>
        <w:rPr>
          <w:sz w:val="22"/>
          <w:szCs w:val="22"/>
        </w:rPr>
        <w:t xml:space="preserve"> impacted</w:t>
      </w:r>
      <w:r w:rsidRPr="00D35249">
        <w:rPr>
          <w:sz w:val="22"/>
          <w:szCs w:val="22"/>
        </w:rPr>
        <w:t xml:space="preserve">. This is likely due to the high proportion of dairy products (yoghurts and cheeses) present in the TAG database. </w:t>
      </w:r>
    </w:p>
    <w:p w14:paraId="491B2A7A" w14:textId="666C81AA" w:rsidR="00D35249" w:rsidRPr="00D35249" w:rsidRDefault="00D35249" w:rsidP="00D35249">
      <w:pPr>
        <w:pStyle w:val="ListParagraph"/>
        <w:numPr>
          <w:ilvl w:val="0"/>
          <w:numId w:val="4"/>
        </w:numPr>
        <w:rPr>
          <w:sz w:val="22"/>
          <w:szCs w:val="22"/>
        </w:rPr>
      </w:pPr>
      <w:r w:rsidRPr="00D35249">
        <w:rPr>
          <w:sz w:val="22"/>
          <w:szCs w:val="22"/>
        </w:rPr>
        <w:t>Given the significantly different sizes of the databases, for the purposes of estimating overall impact, the Review considers the Nutritrack and FoodSwitch databases provide a more meaningful estimate of the total proportion of products likely to be impacted.</w:t>
      </w:r>
    </w:p>
    <w:p w14:paraId="57ECD8EA" w14:textId="4D4C5927" w:rsidR="00CA03D9" w:rsidRPr="00D35249" w:rsidRDefault="00D35249" w:rsidP="00D35249">
      <w:pPr>
        <w:pStyle w:val="mpcNormal"/>
        <w:numPr>
          <w:ilvl w:val="0"/>
          <w:numId w:val="4"/>
        </w:numPr>
      </w:pPr>
      <w:r>
        <w:t>Modelling</w:t>
      </w:r>
      <w:r w:rsidRPr="00CA03D9">
        <w:t xml:space="preserve"> </w:t>
      </w:r>
      <w:r>
        <w:t xml:space="preserve">shows </w:t>
      </w:r>
      <w:r w:rsidRPr="00CA03D9">
        <w:t xml:space="preserve">a substantial </w:t>
      </w:r>
      <w:r>
        <w:t>proportion</w:t>
      </w:r>
      <w:r w:rsidRPr="00CA03D9">
        <w:t xml:space="preserve"> of products categorised as </w:t>
      </w:r>
      <w:r>
        <w:t>‘</w:t>
      </w:r>
      <w:r w:rsidRPr="00CA03D9">
        <w:t>desserts</w:t>
      </w:r>
      <w:r>
        <w:t>’ with HSRs increasing</w:t>
      </w:r>
      <w:r w:rsidRPr="00CA03D9">
        <w:t>. This is because the changes to dairy categories better discriminate between healthier desserts such as some custards and dairy desserts</w:t>
      </w:r>
      <w:r>
        <w:t xml:space="preserve"> with lower sugars or saturated fat content</w:t>
      </w:r>
      <w:r w:rsidRPr="00CA03D9">
        <w:t xml:space="preserve"> (</w:t>
      </w:r>
      <w:r>
        <w:t xml:space="preserve">with </w:t>
      </w:r>
      <w:r w:rsidRPr="00CA03D9">
        <w:t>HSRs increas</w:t>
      </w:r>
      <w:r>
        <w:t>ing by between 0.5 and 1</w:t>
      </w:r>
      <w:r w:rsidRPr="00CA03D9">
        <w:t xml:space="preserve">) compared to other </w:t>
      </w:r>
      <w:r>
        <w:t>dairy</w:t>
      </w:r>
      <w:r w:rsidRPr="00CA03D9">
        <w:t xml:space="preserve"> desserts (with HSRs decreas</w:t>
      </w:r>
      <w:r>
        <w:t xml:space="preserve">ing by </w:t>
      </w:r>
      <w:r w:rsidRPr="00CA03D9">
        <w:t>between 0.5 and 2).</w:t>
      </w:r>
    </w:p>
    <w:p w14:paraId="5338E01F" w14:textId="28A2514E" w:rsidR="00D35249" w:rsidRDefault="00CA03D9" w:rsidP="00CA03D9">
      <w:pPr>
        <w:pStyle w:val="mpcNormal"/>
        <w:rPr>
          <w:sz w:val="20"/>
          <w:szCs w:val="20"/>
        </w:rPr>
      </w:pPr>
      <w:r w:rsidRPr="003272AE">
        <w:rPr>
          <w:sz w:val="20"/>
          <w:szCs w:val="20"/>
        </w:rPr>
        <w:t> </w:t>
      </w:r>
    </w:p>
    <w:p w14:paraId="38F84CAD" w14:textId="77777777" w:rsidR="00CA03D9" w:rsidRPr="003272AE" w:rsidRDefault="00D35249" w:rsidP="00CA03D9">
      <w:pPr>
        <w:pStyle w:val="mpcNormal"/>
        <w:rPr>
          <w:sz w:val="15"/>
          <w:szCs w:val="15"/>
        </w:rPr>
      </w:pPr>
      <w:r>
        <w:rPr>
          <w:sz w:val="20"/>
          <w:szCs w:val="20"/>
        </w:rPr>
        <w:br w:type="column"/>
      </w:r>
    </w:p>
    <w:p w14:paraId="5C327210" w14:textId="468764F5" w:rsidR="00AF1690" w:rsidRDefault="00AF1690" w:rsidP="00AF1690">
      <w:pPr>
        <w:pStyle w:val="mpcheading2"/>
        <w:spacing w:after="0"/>
      </w:pPr>
      <w:bookmarkStart w:id="199" w:name="_Toc9955093"/>
      <w:r>
        <w:t>Modelling undertaken using the TAG database</w:t>
      </w:r>
      <w:bookmarkEnd w:id="199"/>
    </w:p>
    <w:p w14:paraId="164EB0C6" w14:textId="77777777" w:rsidR="00AF1690" w:rsidRPr="003272AE" w:rsidRDefault="00AF1690" w:rsidP="00AF1690">
      <w:pPr>
        <w:pStyle w:val="mpcNormal"/>
      </w:pPr>
    </w:p>
    <w:tbl>
      <w:tblPr>
        <w:tblW w:w="9923" w:type="dxa"/>
        <w:tblInd w:w="-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G database"/>
        <w:tblDescription w:val="This table shows the modelling of System enhancements in the TAG database."/>
      </w:tblPr>
      <w:tblGrid>
        <w:gridCol w:w="2307"/>
        <w:gridCol w:w="1276"/>
        <w:gridCol w:w="958"/>
        <w:gridCol w:w="992"/>
        <w:gridCol w:w="1064"/>
        <w:gridCol w:w="1129"/>
        <w:gridCol w:w="1095"/>
        <w:gridCol w:w="1102"/>
      </w:tblGrid>
      <w:tr w:rsidR="00AF1690" w:rsidRPr="00537A59" w14:paraId="4C403462" w14:textId="77777777" w:rsidTr="009C405A">
        <w:trPr>
          <w:trHeight w:val="20"/>
        </w:trPr>
        <w:tc>
          <w:tcPr>
            <w:tcW w:w="2307" w:type="dxa"/>
            <w:shd w:val="clear" w:color="auto" w:fill="516A8E"/>
            <w:noWrap/>
            <w:vAlign w:val="center"/>
          </w:tcPr>
          <w:p w14:paraId="63E0510D" w14:textId="77777777" w:rsidR="00AF1690" w:rsidRPr="00537A59" w:rsidRDefault="00AF1690" w:rsidP="00E84DD6">
            <w:pP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Australia Guide to Healthy Eating category</w:t>
            </w:r>
          </w:p>
        </w:tc>
        <w:tc>
          <w:tcPr>
            <w:tcW w:w="1276" w:type="dxa"/>
            <w:shd w:val="clear" w:color="auto" w:fill="516A8E"/>
            <w:vAlign w:val="center"/>
          </w:tcPr>
          <w:p w14:paraId="2F92579C" w14:textId="1849FB2C"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Total n</w:t>
            </w:r>
            <w:r>
              <w:rPr>
                <w:rFonts w:eastAsia="Times New Roman" w:cstheme="minorHAnsi"/>
                <w:b/>
                <w:bCs/>
                <w:color w:val="FFFFFF" w:themeColor="background1"/>
                <w:sz w:val="18"/>
                <w:szCs w:val="18"/>
              </w:rPr>
              <w:t>o.</w:t>
            </w:r>
            <w:r w:rsidRPr="00537A59">
              <w:rPr>
                <w:rFonts w:eastAsia="Times New Roman" w:cstheme="minorHAnsi"/>
                <w:b/>
                <w:bCs/>
                <w:color w:val="FFFFFF" w:themeColor="background1"/>
                <w:sz w:val="18"/>
                <w:szCs w:val="18"/>
              </w:rPr>
              <w:t xml:space="preserve"> </w:t>
            </w:r>
            <w:r w:rsidR="009C405A">
              <w:rPr>
                <w:rFonts w:eastAsia="Times New Roman" w:cstheme="minorHAnsi"/>
                <w:b/>
                <w:bCs/>
                <w:color w:val="FFFFFF" w:themeColor="background1"/>
                <w:sz w:val="18"/>
                <w:szCs w:val="18"/>
              </w:rPr>
              <w:t>food products</w:t>
            </w:r>
            <w:r w:rsidRPr="00537A59">
              <w:rPr>
                <w:rFonts w:eastAsia="Times New Roman" w:cstheme="minorHAnsi"/>
                <w:b/>
                <w:bCs/>
                <w:color w:val="FFFFFF" w:themeColor="background1"/>
                <w:sz w:val="18"/>
                <w:szCs w:val="18"/>
              </w:rPr>
              <w:t xml:space="preserve"> in TAG database</w:t>
            </w:r>
          </w:p>
        </w:tc>
        <w:tc>
          <w:tcPr>
            <w:tcW w:w="958" w:type="dxa"/>
            <w:shd w:val="clear" w:color="auto" w:fill="516A8E"/>
            <w:noWrap/>
            <w:vAlign w:val="center"/>
          </w:tcPr>
          <w:p w14:paraId="1C37C721" w14:textId="77777777"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Total no. products impacted</w:t>
            </w:r>
          </w:p>
        </w:tc>
        <w:tc>
          <w:tcPr>
            <w:tcW w:w="992" w:type="dxa"/>
            <w:shd w:val="clear" w:color="auto" w:fill="516A8E"/>
            <w:noWrap/>
            <w:vAlign w:val="center"/>
          </w:tcPr>
          <w:p w14:paraId="22DEED18" w14:textId="77777777"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Total % products impacted</w:t>
            </w:r>
          </w:p>
        </w:tc>
        <w:tc>
          <w:tcPr>
            <w:tcW w:w="1064" w:type="dxa"/>
            <w:shd w:val="clear" w:color="auto" w:fill="516A8E"/>
            <w:vAlign w:val="center"/>
          </w:tcPr>
          <w:p w14:paraId="5D3A7CB8" w14:textId="77777777" w:rsidR="00AF1690" w:rsidRPr="00537A59" w:rsidRDefault="00AF1690" w:rsidP="00E84DD6">
            <w:pPr>
              <w:jc w:val="center"/>
              <w:rPr>
                <w:rFonts w:eastAsia="Times New Roman" w:cstheme="minorHAnsi"/>
                <w:b/>
                <w:bCs/>
                <w:color w:val="FFFFFF" w:themeColor="background1"/>
                <w:sz w:val="18"/>
                <w:szCs w:val="18"/>
              </w:rPr>
            </w:pPr>
            <w:r>
              <w:rPr>
                <w:rFonts w:eastAsia="Times New Roman" w:cstheme="minorHAnsi"/>
                <w:b/>
                <w:bCs/>
                <w:color w:val="FFFFFF" w:themeColor="background1"/>
                <w:sz w:val="18"/>
                <w:szCs w:val="18"/>
              </w:rPr>
              <w:t>N</w:t>
            </w:r>
            <w:r w:rsidRPr="00537A59">
              <w:rPr>
                <w:rFonts w:eastAsia="Times New Roman" w:cstheme="minorHAnsi"/>
                <w:b/>
                <w:bCs/>
                <w:color w:val="FFFFFF" w:themeColor="background1"/>
                <w:sz w:val="18"/>
                <w:szCs w:val="18"/>
              </w:rPr>
              <w:t>o</w:t>
            </w:r>
            <w:r>
              <w:rPr>
                <w:rFonts w:eastAsia="Times New Roman" w:cstheme="minorHAnsi"/>
                <w:b/>
                <w:bCs/>
                <w:color w:val="FFFFFF" w:themeColor="background1"/>
                <w:sz w:val="18"/>
                <w:szCs w:val="18"/>
              </w:rPr>
              <w:t xml:space="preserve">. </w:t>
            </w:r>
            <w:r w:rsidRPr="00537A59">
              <w:rPr>
                <w:rFonts w:eastAsia="Times New Roman" w:cstheme="minorHAnsi"/>
                <w:b/>
                <w:bCs/>
                <w:color w:val="FFFFFF" w:themeColor="background1"/>
                <w:sz w:val="18"/>
                <w:szCs w:val="18"/>
              </w:rPr>
              <w:t xml:space="preserve">products </w:t>
            </w:r>
            <w:r>
              <w:rPr>
                <w:rFonts w:eastAsia="Times New Roman" w:cstheme="minorHAnsi"/>
                <w:b/>
                <w:bCs/>
                <w:color w:val="FFFFFF" w:themeColor="background1"/>
                <w:sz w:val="18"/>
                <w:szCs w:val="18"/>
              </w:rPr>
              <w:t xml:space="preserve">in category </w:t>
            </w:r>
            <w:r w:rsidRPr="00537A59">
              <w:rPr>
                <w:rFonts w:eastAsia="Times New Roman" w:cstheme="minorHAnsi"/>
                <w:b/>
                <w:bCs/>
                <w:color w:val="FFFFFF" w:themeColor="background1"/>
                <w:sz w:val="18"/>
                <w:szCs w:val="18"/>
              </w:rPr>
              <w:t>with HSR increasing</w:t>
            </w:r>
          </w:p>
        </w:tc>
        <w:tc>
          <w:tcPr>
            <w:tcW w:w="1129" w:type="dxa"/>
            <w:shd w:val="clear" w:color="auto" w:fill="516A8E"/>
            <w:vAlign w:val="center"/>
          </w:tcPr>
          <w:p w14:paraId="27CF983B" w14:textId="77777777"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 xml:space="preserve">% products </w:t>
            </w:r>
            <w:r>
              <w:rPr>
                <w:rFonts w:eastAsia="Times New Roman" w:cstheme="minorHAnsi"/>
                <w:b/>
                <w:bCs/>
                <w:color w:val="FFFFFF" w:themeColor="background1"/>
                <w:sz w:val="18"/>
                <w:szCs w:val="18"/>
              </w:rPr>
              <w:t xml:space="preserve">in category </w:t>
            </w:r>
            <w:r w:rsidRPr="00537A59">
              <w:rPr>
                <w:rFonts w:eastAsia="Times New Roman" w:cstheme="minorHAnsi"/>
                <w:b/>
                <w:bCs/>
                <w:color w:val="FFFFFF" w:themeColor="background1"/>
                <w:sz w:val="18"/>
                <w:szCs w:val="18"/>
              </w:rPr>
              <w:t>with HSR increasing</w:t>
            </w:r>
          </w:p>
        </w:tc>
        <w:tc>
          <w:tcPr>
            <w:tcW w:w="1095" w:type="dxa"/>
            <w:shd w:val="clear" w:color="auto" w:fill="516A8E"/>
            <w:vAlign w:val="center"/>
          </w:tcPr>
          <w:p w14:paraId="620FCCCC" w14:textId="77777777" w:rsidR="00AF1690" w:rsidRPr="00537A59" w:rsidRDefault="00AF1690" w:rsidP="00E84DD6">
            <w:pPr>
              <w:jc w:val="center"/>
              <w:rPr>
                <w:rFonts w:eastAsia="Times New Roman" w:cstheme="minorHAnsi"/>
                <w:b/>
                <w:bCs/>
                <w:color w:val="FFFFFF" w:themeColor="background1"/>
                <w:sz w:val="18"/>
                <w:szCs w:val="18"/>
              </w:rPr>
            </w:pPr>
            <w:r>
              <w:rPr>
                <w:rFonts w:eastAsia="Times New Roman" w:cstheme="minorHAnsi"/>
                <w:b/>
                <w:bCs/>
                <w:color w:val="FFFFFF" w:themeColor="background1"/>
                <w:sz w:val="18"/>
                <w:szCs w:val="18"/>
              </w:rPr>
              <w:t>N</w:t>
            </w:r>
            <w:r w:rsidRPr="00537A59">
              <w:rPr>
                <w:rFonts w:eastAsia="Times New Roman" w:cstheme="minorHAnsi"/>
                <w:b/>
                <w:bCs/>
                <w:color w:val="FFFFFF" w:themeColor="background1"/>
                <w:sz w:val="18"/>
                <w:szCs w:val="18"/>
              </w:rPr>
              <w:t xml:space="preserve">o. products </w:t>
            </w:r>
            <w:r>
              <w:rPr>
                <w:rFonts w:eastAsia="Times New Roman" w:cstheme="minorHAnsi"/>
                <w:b/>
                <w:bCs/>
                <w:color w:val="FFFFFF" w:themeColor="background1"/>
                <w:sz w:val="18"/>
                <w:szCs w:val="18"/>
              </w:rPr>
              <w:t xml:space="preserve">in category </w:t>
            </w:r>
            <w:r w:rsidRPr="00537A59">
              <w:rPr>
                <w:rFonts w:eastAsia="Times New Roman" w:cstheme="minorHAnsi"/>
                <w:b/>
                <w:bCs/>
                <w:color w:val="FFFFFF" w:themeColor="background1"/>
                <w:sz w:val="18"/>
                <w:szCs w:val="18"/>
              </w:rPr>
              <w:t>with HSR decreasing</w:t>
            </w:r>
          </w:p>
        </w:tc>
        <w:tc>
          <w:tcPr>
            <w:tcW w:w="1102" w:type="dxa"/>
            <w:shd w:val="clear" w:color="auto" w:fill="516A8E"/>
            <w:vAlign w:val="center"/>
          </w:tcPr>
          <w:p w14:paraId="1330A540" w14:textId="77777777" w:rsidR="00AF1690" w:rsidRPr="00537A59" w:rsidRDefault="00AF1690" w:rsidP="00E84DD6">
            <w:pPr>
              <w:jc w:val="center"/>
              <w:rPr>
                <w:rFonts w:eastAsia="Times New Roman" w:cstheme="minorHAnsi"/>
                <w:b/>
                <w:bCs/>
                <w:color w:val="FFFFFF" w:themeColor="background1"/>
                <w:sz w:val="18"/>
                <w:szCs w:val="18"/>
              </w:rPr>
            </w:pPr>
            <w:r w:rsidRPr="00537A59">
              <w:rPr>
                <w:rFonts w:eastAsia="Times New Roman" w:cstheme="minorHAnsi"/>
                <w:b/>
                <w:bCs/>
                <w:color w:val="FFFFFF" w:themeColor="background1"/>
                <w:sz w:val="18"/>
                <w:szCs w:val="18"/>
              </w:rPr>
              <w:t xml:space="preserve">% products </w:t>
            </w:r>
            <w:r>
              <w:rPr>
                <w:rFonts w:eastAsia="Times New Roman" w:cstheme="minorHAnsi"/>
                <w:b/>
                <w:bCs/>
                <w:color w:val="FFFFFF" w:themeColor="background1"/>
                <w:sz w:val="18"/>
                <w:szCs w:val="18"/>
              </w:rPr>
              <w:t xml:space="preserve">in category </w:t>
            </w:r>
            <w:r w:rsidRPr="00537A59">
              <w:rPr>
                <w:rFonts w:eastAsia="Times New Roman" w:cstheme="minorHAnsi"/>
                <w:b/>
                <w:bCs/>
                <w:color w:val="FFFFFF" w:themeColor="background1"/>
                <w:sz w:val="18"/>
                <w:szCs w:val="18"/>
              </w:rPr>
              <w:t>with HSR decreasing</w:t>
            </w:r>
          </w:p>
        </w:tc>
      </w:tr>
      <w:tr w:rsidR="00AF1690" w:rsidRPr="00537A59" w14:paraId="195167A6" w14:textId="77777777" w:rsidTr="009C405A">
        <w:trPr>
          <w:trHeight w:val="20"/>
        </w:trPr>
        <w:tc>
          <w:tcPr>
            <w:tcW w:w="2307" w:type="dxa"/>
            <w:shd w:val="clear" w:color="auto" w:fill="F2F2F2" w:themeFill="background1" w:themeFillShade="F2"/>
            <w:noWrap/>
            <w:vAlign w:val="center"/>
            <w:hideMark/>
          </w:tcPr>
          <w:p w14:paraId="56266CEA"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B</w:t>
            </w:r>
            <w:r w:rsidRPr="00537A59">
              <w:rPr>
                <w:rFonts w:eastAsia="Times New Roman" w:cstheme="minorHAnsi"/>
                <w:b/>
                <w:bCs/>
                <w:color w:val="000000" w:themeColor="text1"/>
                <w:sz w:val="18"/>
                <w:szCs w:val="18"/>
              </w:rPr>
              <w:t>read</w:t>
            </w:r>
          </w:p>
        </w:tc>
        <w:tc>
          <w:tcPr>
            <w:tcW w:w="1276" w:type="dxa"/>
            <w:shd w:val="clear" w:color="auto" w:fill="auto"/>
            <w:noWrap/>
            <w:vAlign w:val="center"/>
            <w:hideMark/>
          </w:tcPr>
          <w:p w14:paraId="1B2D3AA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226</w:t>
            </w:r>
          </w:p>
        </w:tc>
        <w:tc>
          <w:tcPr>
            <w:tcW w:w="958" w:type="dxa"/>
            <w:shd w:val="clear" w:color="auto" w:fill="auto"/>
            <w:noWrap/>
            <w:vAlign w:val="center"/>
            <w:hideMark/>
          </w:tcPr>
          <w:p w14:paraId="312F025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737A756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3BF63B5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70506E4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58A3473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0AEF4C5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5D4284A3" w14:textId="77777777" w:rsidTr="009C405A">
        <w:trPr>
          <w:trHeight w:val="20"/>
        </w:trPr>
        <w:tc>
          <w:tcPr>
            <w:tcW w:w="2307" w:type="dxa"/>
            <w:shd w:val="clear" w:color="auto" w:fill="F2F2F2" w:themeFill="background1" w:themeFillShade="F2"/>
            <w:noWrap/>
            <w:vAlign w:val="center"/>
            <w:hideMark/>
          </w:tcPr>
          <w:p w14:paraId="6302194E"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B</w:t>
            </w:r>
            <w:r w:rsidRPr="00537A59">
              <w:rPr>
                <w:rFonts w:eastAsia="Times New Roman" w:cstheme="minorHAnsi"/>
                <w:b/>
                <w:bCs/>
                <w:color w:val="000000" w:themeColor="text1"/>
                <w:sz w:val="18"/>
                <w:szCs w:val="18"/>
              </w:rPr>
              <w:t>reakfast</w:t>
            </w:r>
            <w:r>
              <w:rPr>
                <w:rFonts w:eastAsia="Times New Roman" w:cstheme="minorHAnsi"/>
                <w:b/>
                <w:bCs/>
                <w:color w:val="000000" w:themeColor="text1"/>
                <w:sz w:val="18"/>
                <w:szCs w:val="18"/>
              </w:rPr>
              <w:t xml:space="preserve"> cereals</w:t>
            </w:r>
          </w:p>
        </w:tc>
        <w:tc>
          <w:tcPr>
            <w:tcW w:w="1276" w:type="dxa"/>
            <w:shd w:val="clear" w:color="auto" w:fill="auto"/>
            <w:noWrap/>
            <w:vAlign w:val="center"/>
            <w:hideMark/>
          </w:tcPr>
          <w:p w14:paraId="6291A28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300</w:t>
            </w:r>
          </w:p>
        </w:tc>
        <w:tc>
          <w:tcPr>
            <w:tcW w:w="958" w:type="dxa"/>
            <w:shd w:val="clear" w:color="auto" w:fill="FFF2CC" w:themeFill="accent4" w:themeFillTint="33"/>
            <w:noWrap/>
            <w:vAlign w:val="center"/>
            <w:hideMark/>
          </w:tcPr>
          <w:p w14:paraId="0815AD3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44</w:t>
            </w:r>
          </w:p>
        </w:tc>
        <w:tc>
          <w:tcPr>
            <w:tcW w:w="992" w:type="dxa"/>
            <w:shd w:val="clear" w:color="auto" w:fill="FFF2CC" w:themeFill="accent4" w:themeFillTint="33"/>
            <w:noWrap/>
            <w:vAlign w:val="center"/>
            <w:hideMark/>
          </w:tcPr>
          <w:p w14:paraId="42A25D4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15%</w:t>
            </w:r>
          </w:p>
        </w:tc>
        <w:tc>
          <w:tcPr>
            <w:tcW w:w="1064" w:type="dxa"/>
            <w:shd w:val="clear" w:color="auto" w:fill="auto"/>
            <w:noWrap/>
            <w:vAlign w:val="center"/>
            <w:hideMark/>
          </w:tcPr>
          <w:p w14:paraId="69E1989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0EA8390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66A1207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44</w:t>
            </w:r>
          </w:p>
        </w:tc>
        <w:tc>
          <w:tcPr>
            <w:tcW w:w="1102" w:type="dxa"/>
            <w:shd w:val="clear" w:color="auto" w:fill="FFC7CE"/>
            <w:noWrap/>
            <w:vAlign w:val="center"/>
            <w:hideMark/>
          </w:tcPr>
          <w:p w14:paraId="4E66EA9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15%</w:t>
            </w:r>
          </w:p>
        </w:tc>
      </w:tr>
      <w:tr w:rsidR="00AF1690" w:rsidRPr="00537A59" w14:paraId="7C0DFC05" w14:textId="77777777" w:rsidTr="009C405A">
        <w:trPr>
          <w:trHeight w:val="20"/>
        </w:trPr>
        <w:tc>
          <w:tcPr>
            <w:tcW w:w="2307" w:type="dxa"/>
            <w:shd w:val="clear" w:color="auto" w:fill="F2F2F2" w:themeFill="background1" w:themeFillShade="F2"/>
            <w:noWrap/>
            <w:vAlign w:val="center"/>
            <w:hideMark/>
          </w:tcPr>
          <w:p w14:paraId="5BE73CA0"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P</w:t>
            </w:r>
            <w:r w:rsidRPr="00537A59">
              <w:rPr>
                <w:rFonts w:eastAsia="Times New Roman" w:cstheme="minorHAnsi"/>
                <w:b/>
                <w:bCs/>
                <w:color w:val="000000" w:themeColor="text1"/>
                <w:sz w:val="18"/>
                <w:szCs w:val="18"/>
              </w:rPr>
              <w:t>asta/flour/grains</w:t>
            </w:r>
          </w:p>
        </w:tc>
        <w:tc>
          <w:tcPr>
            <w:tcW w:w="1276" w:type="dxa"/>
            <w:shd w:val="clear" w:color="auto" w:fill="auto"/>
            <w:noWrap/>
            <w:vAlign w:val="center"/>
            <w:hideMark/>
          </w:tcPr>
          <w:p w14:paraId="510DB70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185</w:t>
            </w:r>
          </w:p>
        </w:tc>
        <w:tc>
          <w:tcPr>
            <w:tcW w:w="958" w:type="dxa"/>
            <w:shd w:val="clear" w:color="auto" w:fill="auto"/>
            <w:noWrap/>
            <w:vAlign w:val="center"/>
            <w:hideMark/>
          </w:tcPr>
          <w:p w14:paraId="1633F09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61A0E72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74CFD1E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63B3660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745CEFE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2C6D66D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5073DB3A" w14:textId="77777777" w:rsidTr="009C405A">
        <w:trPr>
          <w:trHeight w:val="20"/>
        </w:trPr>
        <w:tc>
          <w:tcPr>
            <w:tcW w:w="2307" w:type="dxa"/>
            <w:shd w:val="clear" w:color="auto" w:fill="F2F2F2" w:themeFill="background1" w:themeFillShade="F2"/>
            <w:noWrap/>
            <w:vAlign w:val="center"/>
            <w:hideMark/>
          </w:tcPr>
          <w:p w14:paraId="3F8A5071"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Dairy</w:t>
            </w:r>
            <w:r w:rsidRPr="00537A59">
              <w:rPr>
                <w:rFonts w:eastAsia="Times New Roman" w:cstheme="minorHAnsi"/>
                <w:b/>
                <w:bCs/>
                <w:color w:val="000000" w:themeColor="text1"/>
                <w:sz w:val="18"/>
                <w:szCs w:val="18"/>
              </w:rPr>
              <w:t xml:space="preserve"> alternative beverages</w:t>
            </w:r>
          </w:p>
        </w:tc>
        <w:tc>
          <w:tcPr>
            <w:tcW w:w="1276" w:type="dxa"/>
            <w:shd w:val="clear" w:color="auto" w:fill="auto"/>
            <w:noWrap/>
            <w:vAlign w:val="center"/>
            <w:hideMark/>
          </w:tcPr>
          <w:p w14:paraId="383CC60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64</w:t>
            </w:r>
          </w:p>
        </w:tc>
        <w:tc>
          <w:tcPr>
            <w:tcW w:w="958" w:type="dxa"/>
            <w:shd w:val="clear" w:color="auto" w:fill="auto"/>
            <w:noWrap/>
            <w:vAlign w:val="center"/>
            <w:hideMark/>
          </w:tcPr>
          <w:p w14:paraId="0E85151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2286EF7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2D9CA4F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6D711BD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274653A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50044FB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01F5EF15" w14:textId="77777777" w:rsidTr="009C405A">
        <w:trPr>
          <w:trHeight w:val="20"/>
        </w:trPr>
        <w:tc>
          <w:tcPr>
            <w:tcW w:w="2307" w:type="dxa"/>
            <w:shd w:val="clear" w:color="auto" w:fill="F2F2F2" w:themeFill="background1" w:themeFillShade="F2"/>
            <w:noWrap/>
            <w:vAlign w:val="center"/>
            <w:hideMark/>
          </w:tcPr>
          <w:p w14:paraId="07AE2A8C"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Dairy</w:t>
            </w:r>
            <w:r w:rsidRPr="00537A59">
              <w:rPr>
                <w:rFonts w:eastAsia="Times New Roman" w:cstheme="minorHAnsi"/>
                <w:b/>
                <w:bCs/>
                <w:color w:val="000000" w:themeColor="text1"/>
                <w:sz w:val="18"/>
                <w:szCs w:val="18"/>
              </w:rPr>
              <w:t xml:space="preserve"> beverages</w:t>
            </w:r>
          </w:p>
        </w:tc>
        <w:tc>
          <w:tcPr>
            <w:tcW w:w="1276" w:type="dxa"/>
            <w:shd w:val="clear" w:color="auto" w:fill="auto"/>
            <w:noWrap/>
            <w:vAlign w:val="center"/>
            <w:hideMark/>
          </w:tcPr>
          <w:p w14:paraId="3FA2F49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485</w:t>
            </w:r>
          </w:p>
        </w:tc>
        <w:tc>
          <w:tcPr>
            <w:tcW w:w="958" w:type="dxa"/>
            <w:shd w:val="clear" w:color="auto" w:fill="FFF2CC" w:themeFill="accent4" w:themeFillTint="33"/>
            <w:noWrap/>
            <w:vAlign w:val="center"/>
            <w:hideMark/>
          </w:tcPr>
          <w:p w14:paraId="698EBD8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16</w:t>
            </w:r>
          </w:p>
        </w:tc>
        <w:tc>
          <w:tcPr>
            <w:tcW w:w="992" w:type="dxa"/>
            <w:shd w:val="clear" w:color="auto" w:fill="FFF2CC" w:themeFill="accent4" w:themeFillTint="33"/>
            <w:noWrap/>
            <w:vAlign w:val="center"/>
            <w:hideMark/>
          </w:tcPr>
          <w:p w14:paraId="240A522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c>
          <w:tcPr>
            <w:tcW w:w="1064" w:type="dxa"/>
            <w:shd w:val="clear" w:color="auto" w:fill="C6EFCE"/>
            <w:noWrap/>
            <w:vAlign w:val="center"/>
            <w:hideMark/>
          </w:tcPr>
          <w:p w14:paraId="3AFEF8D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c>
          <w:tcPr>
            <w:tcW w:w="1129" w:type="dxa"/>
            <w:shd w:val="clear" w:color="auto" w:fill="C6EFCE"/>
            <w:noWrap/>
            <w:vAlign w:val="center"/>
            <w:hideMark/>
          </w:tcPr>
          <w:p w14:paraId="629D12F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095" w:type="dxa"/>
            <w:shd w:val="clear" w:color="auto" w:fill="FFC7CE"/>
            <w:noWrap/>
            <w:vAlign w:val="center"/>
            <w:hideMark/>
          </w:tcPr>
          <w:p w14:paraId="3EEC824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13</w:t>
            </w:r>
          </w:p>
        </w:tc>
        <w:tc>
          <w:tcPr>
            <w:tcW w:w="1102" w:type="dxa"/>
            <w:shd w:val="clear" w:color="auto" w:fill="FFC7CE"/>
            <w:noWrap/>
            <w:vAlign w:val="center"/>
            <w:hideMark/>
          </w:tcPr>
          <w:p w14:paraId="124F297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r>
      <w:tr w:rsidR="00AF1690" w:rsidRPr="00537A59" w14:paraId="7D87C5CF" w14:textId="77777777" w:rsidTr="009C405A">
        <w:trPr>
          <w:trHeight w:val="20"/>
        </w:trPr>
        <w:tc>
          <w:tcPr>
            <w:tcW w:w="2307" w:type="dxa"/>
            <w:shd w:val="clear" w:color="auto" w:fill="F2F2F2" w:themeFill="background1" w:themeFillShade="F2"/>
            <w:noWrap/>
            <w:vAlign w:val="center"/>
            <w:hideMark/>
          </w:tcPr>
          <w:p w14:paraId="52E1A4FC" w14:textId="467130E9"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Dairy</w:t>
            </w:r>
            <w:r w:rsidRPr="00537A59">
              <w:rPr>
                <w:rFonts w:eastAsia="Times New Roman" w:cstheme="minorHAnsi"/>
                <w:b/>
                <w:bCs/>
                <w:color w:val="000000" w:themeColor="text1"/>
                <w:sz w:val="18"/>
                <w:szCs w:val="18"/>
              </w:rPr>
              <w:t xml:space="preserve"> beverages dry mix</w:t>
            </w:r>
          </w:p>
        </w:tc>
        <w:tc>
          <w:tcPr>
            <w:tcW w:w="1276" w:type="dxa"/>
            <w:shd w:val="clear" w:color="auto" w:fill="auto"/>
            <w:noWrap/>
            <w:vAlign w:val="center"/>
            <w:hideMark/>
          </w:tcPr>
          <w:p w14:paraId="358345C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c>
          <w:tcPr>
            <w:tcW w:w="958" w:type="dxa"/>
            <w:shd w:val="clear" w:color="auto" w:fill="auto"/>
            <w:noWrap/>
            <w:vAlign w:val="center"/>
            <w:hideMark/>
          </w:tcPr>
          <w:p w14:paraId="0818687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2B6C652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7871BE1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E97782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53E8BEA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22E670F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63A67943" w14:textId="77777777" w:rsidTr="009C405A">
        <w:trPr>
          <w:trHeight w:val="20"/>
        </w:trPr>
        <w:tc>
          <w:tcPr>
            <w:tcW w:w="2307" w:type="dxa"/>
            <w:shd w:val="clear" w:color="auto" w:fill="F2F2F2" w:themeFill="background1" w:themeFillShade="F2"/>
            <w:noWrap/>
            <w:vAlign w:val="center"/>
            <w:hideMark/>
          </w:tcPr>
          <w:p w14:paraId="5CBC847E"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w:t>
            </w:r>
            <w:r w:rsidRPr="00537A59">
              <w:rPr>
                <w:rFonts w:eastAsia="Times New Roman" w:cstheme="minorHAnsi"/>
                <w:b/>
                <w:bCs/>
                <w:color w:val="000000" w:themeColor="text1"/>
                <w:sz w:val="18"/>
                <w:szCs w:val="18"/>
              </w:rPr>
              <w:t>heese</w:t>
            </w:r>
          </w:p>
        </w:tc>
        <w:tc>
          <w:tcPr>
            <w:tcW w:w="1276" w:type="dxa"/>
            <w:shd w:val="clear" w:color="auto" w:fill="auto"/>
            <w:noWrap/>
            <w:vAlign w:val="center"/>
            <w:hideMark/>
          </w:tcPr>
          <w:p w14:paraId="4733BE0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443</w:t>
            </w:r>
          </w:p>
        </w:tc>
        <w:tc>
          <w:tcPr>
            <w:tcW w:w="958" w:type="dxa"/>
            <w:shd w:val="clear" w:color="auto" w:fill="FFF2CC" w:themeFill="accent4" w:themeFillTint="33"/>
            <w:noWrap/>
            <w:vAlign w:val="center"/>
            <w:hideMark/>
          </w:tcPr>
          <w:p w14:paraId="270CD2E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304</w:t>
            </w:r>
          </w:p>
        </w:tc>
        <w:tc>
          <w:tcPr>
            <w:tcW w:w="992" w:type="dxa"/>
            <w:shd w:val="clear" w:color="auto" w:fill="FFF2CC" w:themeFill="accent4" w:themeFillTint="33"/>
            <w:noWrap/>
            <w:vAlign w:val="center"/>
            <w:hideMark/>
          </w:tcPr>
          <w:p w14:paraId="3202C32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69%</w:t>
            </w:r>
          </w:p>
        </w:tc>
        <w:tc>
          <w:tcPr>
            <w:tcW w:w="1064" w:type="dxa"/>
            <w:shd w:val="clear" w:color="auto" w:fill="C6EFCE"/>
            <w:noWrap/>
            <w:vAlign w:val="center"/>
            <w:hideMark/>
          </w:tcPr>
          <w:p w14:paraId="2F05789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304</w:t>
            </w:r>
          </w:p>
        </w:tc>
        <w:tc>
          <w:tcPr>
            <w:tcW w:w="1129" w:type="dxa"/>
            <w:shd w:val="clear" w:color="auto" w:fill="C6EFCE"/>
            <w:noWrap/>
            <w:vAlign w:val="center"/>
            <w:hideMark/>
          </w:tcPr>
          <w:p w14:paraId="7FF05FB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69%</w:t>
            </w:r>
          </w:p>
        </w:tc>
        <w:tc>
          <w:tcPr>
            <w:tcW w:w="1095" w:type="dxa"/>
            <w:shd w:val="clear" w:color="auto" w:fill="auto"/>
            <w:noWrap/>
            <w:vAlign w:val="center"/>
            <w:hideMark/>
          </w:tcPr>
          <w:p w14:paraId="4395036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46AFDC6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1A85811A" w14:textId="77777777" w:rsidTr="009C405A">
        <w:trPr>
          <w:trHeight w:val="20"/>
        </w:trPr>
        <w:tc>
          <w:tcPr>
            <w:tcW w:w="2307" w:type="dxa"/>
            <w:shd w:val="clear" w:color="auto" w:fill="F2F2F2" w:themeFill="background1" w:themeFillShade="F2"/>
            <w:noWrap/>
            <w:vAlign w:val="center"/>
            <w:hideMark/>
          </w:tcPr>
          <w:p w14:paraId="0486DB22"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Y</w:t>
            </w:r>
            <w:r w:rsidRPr="00537A59">
              <w:rPr>
                <w:rFonts w:eastAsia="Times New Roman" w:cstheme="minorHAnsi"/>
                <w:b/>
                <w:bCs/>
                <w:color w:val="000000" w:themeColor="text1"/>
                <w:sz w:val="18"/>
                <w:szCs w:val="18"/>
              </w:rPr>
              <w:t>oghurt, soft cheese</w:t>
            </w:r>
          </w:p>
        </w:tc>
        <w:tc>
          <w:tcPr>
            <w:tcW w:w="1276" w:type="dxa"/>
            <w:shd w:val="clear" w:color="auto" w:fill="auto"/>
            <w:noWrap/>
            <w:vAlign w:val="center"/>
            <w:hideMark/>
          </w:tcPr>
          <w:p w14:paraId="4491480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415</w:t>
            </w:r>
          </w:p>
        </w:tc>
        <w:tc>
          <w:tcPr>
            <w:tcW w:w="958" w:type="dxa"/>
            <w:shd w:val="clear" w:color="auto" w:fill="FFF2CC" w:themeFill="accent4" w:themeFillTint="33"/>
            <w:noWrap/>
            <w:vAlign w:val="center"/>
            <w:hideMark/>
          </w:tcPr>
          <w:p w14:paraId="1484C92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336</w:t>
            </w:r>
          </w:p>
        </w:tc>
        <w:tc>
          <w:tcPr>
            <w:tcW w:w="992" w:type="dxa"/>
            <w:shd w:val="clear" w:color="auto" w:fill="FFF2CC" w:themeFill="accent4" w:themeFillTint="33"/>
            <w:noWrap/>
            <w:vAlign w:val="center"/>
            <w:hideMark/>
          </w:tcPr>
          <w:p w14:paraId="45258EC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81%</w:t>
            </w:r>
          </w:p>
        </w:tc>
        <w:tc>
          <w:tcPr>
            <w:tcW w:w="1064" w:type="dxa"/>
            <w:shd w:val="clear" w:color="auto" w:fill="C6EFCE"/>
            <w:noWrap/>
            <w:vAlign w:val="center"/>
            <w:hideMark/>
          </w:tcPr>
          <w:p w14:paraId="4CE2FED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336</w:t>
            </w:r>
          </w:p>
        </w:tc>
        <w:tc>
          <w:tcPr>
            <w:tcW w:w="1129" w:type="dxa"/>
            <w:shd w:val="clear" w:color="auto" w:fill="C6EFCE"/>
            <w:noWrap/>
            <w:vAlign w:val="center"/>
            <w:hideMark/>
          </w:tcPr>
          <w:p w14:paraId="3B57982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81%</w:t>
            </w:r>
          </w:p>
        </w:tc>
        <w:tc>
          <w:tcPr>
            <w:tcW w:w="1095" w:type="dxa"/>
            <w:shd w:val="clear" w:color="auto" w:fill="auto"/>
            <w:noWrap/>
            <w:vAlign w:val="center"/>
            <w:hideMark/>
          </w:tcPr>
          <w:p w14:paraId="2A7521C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6A9CC02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454AA4FF" w14:textId="77777777" w:rsidTr="009C405A">
        <w:trPr>
          <w:trHeight w:val="20"/>
        </w:trPr>
        <w:tc>
          <w:tcPr>
            <w:tcW w:w="2307" w:type="dxa"/>
            <w:shd w:val="clear" w:color="auto" w:fill="F2F2F2" w:themeFill="background1" w:themeFillShade="F2"/>
            <w:noWrap/>
            <w:vAlign w:val="center"/>
            <w:hideMark/>
          </w:tcPr>
          <w:p w14:paraId="0EB67480"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w:t>
            </w:r>
            <w:r w:rsidRPr="00537A59">
              <w:rPr>
                <w:rFonts w:eastAsia="Times New Roman" w:cstheme="minorHAnsi"/>
                <w:b/>
                <w:bCs/>
                <w:color w:val="000000" w:themeColor="text1"/>
                <w:sz w:val="18"/>
                <w:szCs w:val="18"/>
              </w:rPr>
              <w:t>ream</w:t>
            </w:r>
          </w:p>
        </w:tc>
        <w:tc>
          <w:tcPr>
            <w:tcW w:w="1276" w:type="dxa"/>
            <w:shd w:val="clear" w:color="auto" w:fill="auto"/>
            <w:noWrap/>
            <w:vAlign w:val="center"/>
            <w:hideMark/>
          </w:tcPr>
          <w:p w14:paraId="08A012D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68</w:t>
            </w:r>
          </w:p>
        </w:tc>
        <w:tc>
          <w:tcPr>
            <w:tcW w:w="958" w:type="dxa"/>
            <w:shd w:val="clear" w:color="auto" w:fill="FFF2CC" w:themeFill="accent4" w:themeFillTint="33"/>
            <w:noWrap/>
            <w:vAlign w:val="center"/>
            <w:hideMark/>
          </w:tcPr>
          <w:p w14:paraId="0000834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61</w:t>
            </w:r>
          </w:p>
        </w:tc>
        <w:tc>
          <w:tcPr>
            <w:tcW w:w="992" w:type="dxa"/>
            <w:shd w:val="clear" w:color="auto" w:fill="FFF2CC" w:themeFill="accent4" w:themeFillTint="33"/>
            <w:noWrap/>
            <w:vAlign w:val="center"/>
            <w:hideMark/>
          </w:tcPr>
          <w:p w14:paraId="2EB7F55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90%</w:t>
            </w:r>
          </w:p>
        </w:tc>
        <w:tc>
          <w:tcPr>
            <w:tcW w:w="1064" w:type="dxa"/>
            <w:shd w:val="clear" w:color="auto" w:fill="C6EFCE"/>
            <w:noWrap/>
            <w:vAlign w:val="center"/>
            <w:hideMark/>
          </w:tcPr>
          <w:p w14:paraId="624C8C5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129" w:type="dxa"/>
            <w:shd w:val="clear" w:color="auto" w:fill="C6EFCE"/>
            <w:noWrap/>
            <w:vAlign w:val="center"/>
            <w:hideMark/>
          </w:tcPr>
          <w:p w14:paraId="2DB1870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095" w:type="dxa"/>
            <w:shd w:val="clear" w:color="auto" w:fill="FFC7CE"/>
            <w:noWrap/>
            <w:vAlign w:val="center"/>
            <w:hideMark/>
          </w:tcPr>
          <w:p w14:paraId="0E96F19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60</w:t>
            </w:r>
          </w:p>
        </w:tc>
        <w:tc>
          <w:tcPr>
            <w:tcW w:w="1102" w:type="dxa"/>
            <w:shd w:val="clear" w:color="auto" w:fill="FFC7CE"/>
            <w:noWrap/>
            <w:vAlign w:val="center"/>
            <w:hideMark/>
          </w:tcPr>
          <w:p w14:paraId="4FBDF41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88%</w:t>
            </w:r>
          </w:p>
        </w:tc>
      </w:tr>
      <w:tr w:rsidR="00AF1690" w:rsidRPr="00537A59" w14:paraId="4AA8E73D" w14:textId="77777777" w:rsidTr="009C405A">
        <w:trPr>
          <w:trHeight w:val="20"/>
        </w:trPr>
        <w:tc>
          <w:tcPr>
            <w:tcW w:w="2307" w:type="dxa"/>
            <w:shd w:val="clear" w:color="auto" w:fill="F2F2F2" w:themeFill="background1" w:themeFillShade="F2"/>
            <w:noWrap/>
            <w:vAlign w:val="center"/>
            <w:hideMark/>
          </w:tcPr>
          <w:p w14:paraId="5BA8A7C5"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Cream</w:t>
            </w:r>
            <w:r w:rsidRPr="00537A59">
              <w:rPr>
                <w:rFonts w:eastAsia="Times New Roman" w:cstheme="minorHAnsi"/>
                <w:b/>
                <w:bCs/>
                <w:color w:val="000000" w:themeColor="text1"/>
                <w:sz w:val="18"/>
                <w:szCs w:val="18"/>
              </w:rPr>
              <w:t xml:space="preserve"> cheese</w:t>
            </w:r>
          </w:p>
        </w:tc>
        <w:tc>
          <w:tcPr>
            <w:tcW w:w="1276" w:type="dxa"/>
            <w:shd w:val="clear" w:color="auto" w:fill="auto"/>
            <w:noWrap/>
            <w:vAlign w:val="center"/>
            <w:hideMark/>
          </w:tcPr>
          <w:p w14:paraId="7039284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67</w:t>
            </w:r>
          </w:p>
        </w:tc>
        <w:tc>
          <w:tcPr>
            <w:tcW w:w="958" w:type="dxa"/>
            <w:shd w:val="clear" w:color="auto" w:fill="FFF2CC" w:themeFill="accent4" w:themeFillTint="33"/>
            <w:noWrap/>
            <w:vAlign w:val="center"/>
            <w:hideMark/>
          </w:tcPr>
          <w:p w14:paraId="5BCBF5D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50</w:t>
            </w:r>
          </w:p>
        </w:tc>
        <w:tc>
          <w:tcPr>
            <w:tcW w:w="992" w:type="dxa"/>
            <w:shd w:val="clear" w:color="auto" w:fill="FFF2CC" w:themeFill="accent4" w:themeFillTint="33"/>
            <w:noWrap/>
            <w:vAlign w:val="center"/>
            <w:hideMark/>
          </w:tcPr>
          <w:p w14:paraId="3AA38AF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75%</w:t>
            </w:r>
          </w:p>
        </w:tc>
        <w:tc>
          <w:tcPr>
            <w:tcW w:w="1064" w:type="dxa"/>
            <w:shd w:val="clear" w:color="auto" w:fill="C6EFCE"/>
            <w:noWrap/>
            <w:vAlign w:val="center"/>
            <w:hideMark/>
          </w:tcPr>
          <w:p w14:paraId="2F17906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c>
          <w:tcPr>
            <w:tcW w:w="1129" w:type="dxa"/>
            <w:shd w:val="clear" w:color="auto" w:fill="C6EFCE"/>
            <w:noWrap/>
            <w:vAlign w:val="center"/>
            <w:hideMark/>
          </w:tcPr>
          <w:p w14:paraId="360BBBB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w:t>
            </w:r>
          </w:p>
        </w:tc>
        <w:tc>
          <w:tcPr>
            <w:tcW w:w="1095" w:type="dxa"/>
            <w:shd w:val="clear" w:color="auto" w:fill="FFC7CE"/>
            <w:noWrap/>
            <w:vAlign w:val="center"/>
            <w:hideMark/>
          </w:tcPr>
          <w:p w14:paraId="7B2D8F2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47</w:t>
            </w:r>
          </w:p>
        </w:tc>
        <w:tc>
          <w:tcPr>
            <w:tcW w:w="1102" w:type="dxa"/>
            <w:shd w:val="clear" w:color="auto" w:fill="FFC7CE"/>
            <w:noWrap/>
            <w:vAlign w:val="center"/>
            <w:hideMark/>
          </w:tcPr>
          <w:p w14:paraId="1DD9E16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70%</w:t>
            </w:r>
          </w:p>
        </w:tc>
      </w:tr>
      <w:tr w:rsidR="00AF1690" w:rsidRPr="00537A59" w14:paraId="293EE629" w14:textId="77777777" w:rsidTr="009C405A">
        <w:trPr>
          <w:trHeight w:val="20"/>
        </w:trPr>
        <w:tc>
          <w:tcPr>
            <w:tcW w:w="2307" w:type="dxa"/>
            <w:shd w:val="clear" w:color="auto" w:fill="F2F2F2" w:themeFill="background1" w:themeFillShade="F2"/>
            <w:noWrap/>
            <w:vAlign w:val="center"/>
            <w:hideMark/>
          </w:tcPr>
          <w:p w14:paraId="4CBBD930"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Fats, oils</w:t>
            </w:r>
            <w:r>
              <w:rPr>
                <w:rFonts w:eastAsia="Times New Roman" w:cstheme="minorHAnsi"/>
                <w:b/>
                <w:bCs/>
                <w:color w:val="000000" w:themeColor="text1"/>
                <w:sz w:val="18"/>
                <w:szCs w:val="18"/>
              </w:rPr>
              <w:t>,</w:t>
            </w:r>
            <w:r w:rsidRPr="00537A59">
              <w:rPr>
                <w:rFonts w:eastAsia="Times New Roman" w:cstheme="minorHAnsi"/>
                <w:b/>
                <w:bCs/>
                <w:color w:val="000000" w:themeColor="text1"/>
                <w:sz w:val="18"/>
                <w:szCs w:val="18"/>
              </w:rPr>
              <w:t xml:space="preserve"> oil</w:t>
            </w:r>
            <w:r w:rsidRPr="0062047B">
              <w:rPr>
                <w:rFonts w:eastAsia="Times New Roman" w:cstheme="minorHAnsi"/>
                <w:b/>
                <w:bCs/>
                <w:color w:val="000000" w:themeColor="text1"/>
                <w:sz w:val="18"/>
                <w:szCs w:val="18"/>
              </w:rPr>
              <w:t>-</w:t>
            </w:r>
            <w:r w:rsidRPr="00537A59">
              <w:rPr>
                <w:rFonts w:eastAsia="Times New Roman" w:cstheme="minorHAnsi"/>
                <w:b/>
                <w:bCs/>
                <w:color w:val="000000" w:themeColor="text1"/>
                <w:sz w:val="18"/>
                <w:szCs w:val="18"/>
              </w:rPr>
              <w:t>based spreads</w:t>
            </w:r>
          </w:p>
        </w:tc>
        <w:tc>
          <w:tcPr>
            <w:tcW w:w="1276" w:type="dxa"/>
            <w:shd w:val="clear" w:color="auto" w:fill="auto"/>
            <w:noWrap/>
            <w:vAlign w:val="center"/>
            <w:hideMark/>
          </w:tcPr>
          <w:p w14:paraId="5D87F1F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94</w:t>
            </w:r>
          </w:p>
        </w:tc>
        <w:tc>
          <w:tcPr>
            <w:tcW w:w="958" w:type="dxa"/>
            <w:shd w:val="clear" w:color="auto" w:fill="auto"/>
            <w:noWrap/>
            <w:vAlign w:val="center"/>
            <w:hideMark/>
          </w:tcPr>
          <w:p w14:paraId="435A36F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76FAADD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09EB04D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182584C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726268A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4455C3A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3EC18737" w14:textId="77777777" w:rsidTr="009C405A">
        <w:trPr>
          <w:trHeight w:val="20"/>
        </w:trPr>
        <w:tc>
          <w:tcPr>
            <w:tcW w:w="2307" w:type="dxa"/>
            <w:shd w:val="clear" w:color="auto" w:fill="F2F2F2" w:themeFill="background1" w:themeFillShade="F2"/>
            <w:noWrap/>
            <w:vAlign w:val="center"/>
            <w:hideMark/>
          </w:tcPr>
          <w:p w14:paraId="6D10713C"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Fruit - processed</w:t>
            </w:r>
          </w:p>
        </w:tc>
        <w:tc>
          <w:tcPr>
            <w:tcW w:w="1276" w:type="dxa"/>
            <w:shd w:val="clear" w:color="auto" w:fill="auto"/>
            <w:noWrap/>
            <w:vAlign w:val="center"/>
            <w:hideMark/>
          </w:tcPr>
          <w:p w14:paraId="2AD4E96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124</w:t>
            </w:r>
          </w:p>
        </w:tc>
        <w:tc>
          <w:tcPr>
            <w:tcW w:w="958" w:type="dxa"/>
            <w:shd w:val="clear" w:color="auto" w:fill="FFF2CC" w:themeFill="accent4" w:themeFillTint="33"/>
            <w:noWrap/>
            <w:vAlign w:val="center"/>
            <w:hideMark/>
          </w:tcPr>
          <w:p w14:paraId="450C0AA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23</w:t>
            </w:r>
          </w:p>
        </w:tc>
        <w:tc>
          <w:tcPr>
            <w:tcW w:w="992" w:type="dxa"/>
            <w:shd w:val="clear" w:color="auto" w:fill="FFF2CC" w:themeFill="accent4" w:themeFillTint="33"/>
            <w:noWrap/>
            <w:vAlign w:val="center"/>
            <w:hideMark/>
          </w:tcPr>
          <w:p w14:paraId="7A02C0B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19%</w:t>
            </w:r>
          </w:p>
        </w:tc>
        <w:tc>
          <w:tcPr>
            <w:tcW w:w="1064" w:type="dxa"/>
            <w:shd w:val="clear" w:color="auto" w:fill="C6EFCE"/>
            <w:noWrap/>
            <w:vAlign w:val="center"/>
            <w:hideMark/>
          </w:tcPr>
          <w:p w14:paraId="56A881A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129" w:type="dxa"/>
            <w:shd w:val="clear" w:color="auto" w:fill="C6EFCE"/>
            <w:noWrap/>
            <w:vAlign w:val="center"/>
            <w:hideMark/>
          </w:tcPr>
          <w:p w14:paraId="1982B4A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095" w:type="dxa"/>
            <w:shd w:val="clear" w:color="auto" w:fill="FFC7CE"/>
            <w:noWrap/>
            <w:vAlign w:val="center"/>
            <w:hideMark/>
          </w:tcPr>
          <w:p w14:paraId="4659C52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22</w:t>
            </w:r>
          </w:p>
        </w:tc>
        <w:tc>
          <w:tcPr>
            <w:tcW w:w="1102" w:type="dxa"/>
            <w:shd w:val="clear" w:color="auto" w:fill="FFC7CE"/>
            <w:noWrap/>
            <w:vAlign w:val="center"/>
            <w:hideMark/>
          </w:tcPr>
          <w:p w14:paraId="7CED82D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18%</w:t>
            </w:r>
          </w:p>
        </w:tc>
      </w:tr>
      <w:tr w:rsidR="00AF1690" w:rsidRPr="00537A59" w14:paraId="77C8B421" w14:textId="77777777" w:rsidTr="009C405A">
        <w:trPr>
          <w:trHeight w:val="20"/>
        </w:trPr>
        <w:tc>
          <w:tcPr>
            <w:tcW w:w="2307" w:type="dxa"/>
            <w:shd w:val="clear" w:color="auto" w:fill="F2F2F2" w:themeFill="background1" w:themeFillShade="F2"/>
            <w:noWrap/>
            <w:vAlign w:val="center"/>
            <w:hideMark/>
          </w:tcPr>
          <w:p w14:paraId="216D0E71"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Fruit - unprocessed</w:t>
            </w:r>
          </w:p>
        </w:tc>
        <w:tc>
          <w:tcPr>
            <w:tcW w:w="1276" w:type="dxa"/>
            <w:shd w:val="clear" w:color="auto" w:fill="auto"/>
            <w:noWrap/>
            <w:vAlign w:val="center"/>
            <w:hideMark/>
          </w:tcPr>
          <w:p w14:paraId="6FCFC72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33</w:t>
            </w:r>
          </w:p>
        </w:tc>
        <w:tc>
          <w:tcPr>
            <w:tcW w:w="958" w:type="dxa"/>
            <w:shd w:val="clear" w:color="auto" w:fill="FFF2CC" w:themeFill="accent4" w:themeFillTint="33"/>
            <w:noWrap/>
            <w:vAlign w:val="center"/>
            <w:hideMark/>
          </w:tcPr>
          <w:p w14:paraId="11176B8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32</w:t>
            </w:r>
          </w:p>
        </w:tc>
        <w:tc>
          <w:tcPr>
            <w:tcW w:w="992" w:type="dxa"/>
            <w:shd w:val="clear" w:color="auto" w:fill="FFF2CC" w:themeFill="accent4" w:themeFillTint="33"/>
            <w:noWrap/>
            <w:vAlign w:val="center"/>
            <w:hideMark/>
          </w:tcPr>
          <w:p w14:paraId="4A83C2A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97%</w:t>
            </w:r>
          </w:p>
        </w:tc>
        <w:tc>
          <w:tcPr>
            <w:tcW w:w="1064" w:type="dxa"/>
            <w:shd w:val="clear" w:color="auto" w:fill="C6EFCE"/>
            <w:noWrap/>
            <w:vAlign w:val="center"/>
            <w:hideMark/>
          </w:tcPr>
          <w:p w14:paraId="3BCE45A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32</w:t>
            </w:r>
          </w:p>
        </w:tc>
        <w:tc>
          <w:tcPr>
            <w:tcW w:w="1129" w:type="dxa"/>
            <w:shd w:val="clear" w:color="auto" w:fill="C6EFCE"/>
            <w:noWrap/>
            <w:vAlign w:val="center"/>
            <w:hideMark/>
          </w:tcPr>
          <w:p w14:paraId="7352BCC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97%</w:t>
            </w:r>
          </w:p>
        </w:tc>
        <w:tc>
          <w:tcPr>
            <w:tcW w:w="1095" w:type="dxa"/>
            <w:shd w:val="clear" w:color="auto" w:fill="auto"/>
            <w:noWrap/>
            <w:vAlign w:val="center"/>
            <w:hideMark/>
          </w:tcPr>
          <w:p w14:paraId="482034F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169BF31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08429517" w14:textId="77777777" w:rsidTr="009C405A">
        <w:trPr>
          <w:trHeight w:val="20"/>
        </w:trPr>
        <w:tc>
          <w:tcPr>
            <w:tcW w:w="2307" w:type="dxa"/>
            <w:shd w:val="clear" w:color="auto" w:fill="F2F2F2" w:themeFill="background1" w:themeFillShade="F2"/>
            <w:noWrap/>
            <w:vAlign w:val="center"/>
            <w:hideMark/>
          </w:tcPr>
          <w:p w14:paraId="69B357D6"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B</w:t>
            </w:r>
            <w:r w:rsidRPr="00537A59">
              <w:rPr>
                <w:rFonts w:eastAsia="Times New Roman" w:cstheme="minorHAnsi"/>
                <w:b/>
                <w:bCs/>
                <w:color w:val="000000" w:themeColor="text1"/>
                <w:sz w:val="18"/>
                <w:szCs w:val="18"/>
              </w:rPr>
              <w:t>akery</w:t>
            </w:r>
            <w:r>
              <w:rPr>
                <w:rFonts w:eastAsia="Times New Roman" w:cstheme="minorHAnsi"/>
                <w:b/>
                <w:bCs/>
                <w:color w:val="000000" w:themeColor="text1"/>
                <w:sz w:val="18"/>
                <w:szCs w:val="18"/>
              </w:rPr>
              <w:t xml:space="preserve"> items</w:t>
            </w:r>
            <w:r w:rsidRPr="00537A59">
              <w:rPr>
                <w:rFonts w:eastAsia="Times New Roman" w:cstheme="minorHAnsi"/>
                <w:b/>
                <w:bCs/>
                <w:color w:val="000000" w:themeColor="text1"/>
                <w:sz w:val="18"/>
                <w:szCs w:val="18"/>
              </w:rPr>
              <w:t>/cake mixes</w:t>
            </w:r>
          </w:p>
        </w:tc>
        <w:tc>
          <w:tcPr>
            <w:tcW w:w="1276" w:type="dxa"/>
            <w:shd w:val="clear" w:color="auto" w:fill="auto"/>
            <w:noWrap/>
            <w:vAlign w:val="center"/>
            <w:hideMark/>
          </w:tcPr>
          <w:p w14:paraId="203DA4B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122</w:t>
            </w:r>
          </w:p>
        </w:tc>
        <w:tc>
          <w:tcPr>
            <w:tcW w:w="958" w:type="dxa"/>
            <w:shd w:val="clear" w:color="auto" w:fill="FFF2CC" w:themeFill="accent4" w:themeFillTint="33"/>
            <w:noWrap/>
            <w:vAlign w:val="center"/>
            <w:hideMark/>
          </w:tcPr>
          <w:p w14:paraId="77E45FC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14</w:t>
            </w:r>
          </w:p>
        </w:tc>
        <w:tc>
          <w:tcPr>
            <w:tcW w:w="992" w:type="dxa"/>
            <w:shd w:val="clear" w:color="auto" w:fill="FFF2CC" w:themeFill="accent4" w:themeFillTint="33"/>
            <w:noWrap/>
            <w:vAlign w:val="center"/>
            <w:hideMark/>
          </w:tcPr>
          <w:p w14:paraId="0F3C80E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11%</w:t>
            </w:r>
          </w:p>
        </w:tc>
        <w:tc>
          <w:tcPr>
            <w:tcW w:w="1064" w:type="dxa"/>
            <w:shd w:val="clear" w:color="auto" w:fill="auto"/>
            <w:noWrap/>
            <w:vAlign w:val="center"/>
            <w:hideMark/>
          </w:tcPr>
          <w:p w14:paraId="1F2A361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16A338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5248733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14</w:t>
            </w:r>
          </w:p>
        </w:tc>
        <w:tc>
          <w:tcPr>
            <w:tcW w:w="1102" w:type="dxa"/>
            <w:shd w:val="clear" w:color="auto" w:fill="FFC7CE"/>
            <w:noWrap/>
            <w:vAlign w:val="center"/>
            <w:hideMark/>
          </w:tcPr>
          <w:p w14:paraId="40794B1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11%</w:t>
            </w:r>
          </w:p>
        </w:tc>
      </w:tr>
      <w:tr w:rsidR="00AF1690" w:rsidRPr="00537A59" w14:paraId="10DEFEC8" w14:textId="77777777" w:rsidTr="009C405A">
        <w:trPr>
          <w:trHeight w:val="20"/>
        </w:trPr>
        <w:tc>
          <w:tcPr>
            <w:tcW w:w="2307" w:type="dxa"/>
            <w:shd w:val="clear" w:color="auto" w:fill="F2F2F2" w:themeFill="background1" w:themeFillShade="F2"/>
            <w:noWrap/>
            <w:vAlign w:val="center"/>
            <w:hideMark/>
          </w:tcPr>
          <w:p w14:paraId="7D5E3DC3"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B</w:t>
            </w:r>
            <w:r w:rsidRPr="00537A59">
              <w:rPr>
                <w:rFonts w:eastAsia="Times New Roman" w:cstheme="minorHAnsi"/>
                <w:b/>
                <w:bCs/>
                <w:color w:val="000000" w:themeColor="text1"/>
                <w:sz w:val="18"/>
                <w:szCs w:val="18"/>
              </w:rPr>
              <w:t>iscuits</w:t>
            </w:r>
          </w:p>
        </w:tc>
        <w:tc>
          <w:tcPr>
            <w:tcW w:w="1276" w:type="dxa"/>
            <w:shd w:val="clear" w:color="auto" w:fill="auto"/>
            <w:noWrap/>
            <w:vAlign w:val="center"/>
            <w:hideMark/>
          </w:tcPr>
          <w:p w14:paraId="23745AB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258</w:t>
            </w:r>
          </w:p>
        </w:tc>
        <w:tc>
          <w:tcPr>
            <w:tcW w:w="958" w:type="dxa"/>
            <w:shd w:val="clear" w:color="auto" w:fill="FFF2CC" w:themeFill="accent4" w:themeFillTint="33"/>
            <w:noWrap/>
            <w:vAlign w:val="center"/>
            <w:hideMark/>
          </w:tcPr>
          <w:p w14:paraId="41C85E6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992" w:type="dxa"/>
            <w:shd w:val="clear" w:color="auto" w:fill="FFF2CC" w:themeFill="accent4" w:themeFillTint="33"/>
            <w:noWrap/>
            <w:vAlign w:val="center"/>
            <w:hideMark/>
          </w:tcPr>
          <w:p w14:paraId="3EDAFD1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c>
          <w:tcPr>
            <w:tcW w:w="1064" w:type="dxa"/>
            <w:shd w:val="clear" w:color="auto" w:fill="auto"/>
            <w:noWrap/>
            <w:vAlign w:val="center"/>
            <w:hideMark/>
          </w:tcPr>
          <w:p w14:paraId="722C73D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2E64A4B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661007E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1102" w:type="dxa"/>
            <w:shd w:val="clear" w:color="auto" w:fill="FFC7CE"/>
            <w:noWrap/>
            <w:vAlign w:val="center"/>
            <w:hideMark/>
          </w:tcPr>
          <w:p w14:paraId="100AFED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r>
      <w:tr w:rsidR="00AF1690" w:rsidRPr="00537A59" w14:paraId="7691782C" w14:textId="77777777" w:rsidTr="009C405A">
        <w:trPr>
          <w:trHeight w:val="20"/>
        </w:trPr>
        <w:tc>
          <w:tcPr>
            <w:tcW w:w="2307" w:type="dxa"/>
            <w:shd w:val="clear" w:color="auto" w:fill="F2F2F2" w:themeFill="background1" w:themeFillShade="F2"/>
            <w:noWrap/>
            <w:vAlign w:val="center"/>
            <w:hideMark/>
          </w:tcPr>
          <w:p w14:paraId="55E10A7C"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w:t>
            </w:r>
            <w:r w:rsidRPr="00537A59">
              <w:rPr>
                <w:rFonts w:eastAsia="Times New Roman" w:cstheme="minorHAnsi"/>
                <w:b/>
                <w:bCs/>
                <w:color w:val="000000" w:themeColor="text1"/>
                <w:sz w:val="18"/>
                <w:szCs w:val="18"/>
              </w:rPr>
              <w:t>onfectionery</w:t>
            </w:r>
          </w:p>
        </w:tc>
        <w:tc>
          <w:tcPr>
            <w:tcW w:w="1276" w:type="dxa"/>
            <w:shd w:val="clear" w:color="auto" w:fill="auto"/>
            <w:noWrap/>
            <w:vAlign w:val="center"/>
            <w:hideMark/>
          </w:tcPr>
          <w:p w14:paraId="355C09F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94</w:t>
            </w:r>
          </w:p>
        </w:tc>
        <w:tc>
          <w:tcPr>
            <w:tcW w:w="958" w:type="dxa"/>
            <w:shd w:val="clear" w:color="auto" w:fill="FFF2CC" w:themeFill="accent4" w:themeFillTint="33"/>
            <w:noWrap/>
            <w:vAlign w:val="center"/>
            <w:hideMark/>
          </w:tcPr>
          <w:p w14:paraId="26F8320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27</w:t>
            </w:r>
          </w:p>
        </w:tc>
        <w:tc>
          <w:tcPr>
            <w:tcW w:w="992" w:type="dxa"/>
            <w:shd w:val="clear" w:color="auto" w:fill="FFF2CC" w:themeFill="accent4" w:themeFillTint="33"/>
            <w:noWrap/>
            <w:vAlign w:val="center"/>
            <w:hideMark/>
          </w:tcPr>
          <w:p w14:paraId="1AA4582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29%</w:t>
            </w:r>
          </w:p>
        </w:tc>
        <w:tc>
          <w:tcPr>
            <w:tcW w:w="1064" w:type="dxa"/>
            <w:shd w:val="clear" w:color="auto" w:fill="auto"/>
            <w:noWrap/>
            <w:vAlign w:val="center"/>
            <w:hideMark/>
          </w:tcPr>
          <w:p w14:paraId="2DD7156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2F5C071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78883FC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27</w:t>
            </w:r>
          </w:p>
        </w:tc>
        <w:tc>
          <w:tcPr>
            <w:tcW w:w="1102" w:type="dxa"/>
            <w:shd w:val="clear" w:color="auto" w:fill="FFC7CE"/>
            <w:noWrap/>
            <w:vAlign w:val="center"/>
            <w:hideMark/>
          </w:tcPr>
          <w:p w14:paraId="1E03103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29%</w:t>
            </w:r>
          </w:p>
        </w:tc>
      </w:tr>
      <w:tr w:rsidR="00AF1690" w:rsidRPr="00537A59" w14:paraId="153B19DB" w14:textId="77777777" w:rsidTr="009C405A">
        <w:trPr>
          <w:trHeight w:val="20"/>
        </w:trPr>
        <w:tc>
          <w:tcPr>
            <w:tcW w:w="2307" w:type="dxa"/>
            <w:shd w:val="clear" w:color="auto" w:fill="F2F2F2" w:themeFill="background1" w:themeFillShade="F2"/>
            <w:noWrap/>
            <w:vAlign w:val="center"/>
            <w:hideMark/>
          </w:tcPr>
          <w:p w14:paraId="45BC35A8"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C</w:t>
            </w:r>
            <w:r w:rsidRPr="00537A59">
              <w:rPr>
                <w:rFonts w:eastAsia="Times New Roman" w:cstheme="minorHAnsi"/>
                <w:b/>
                <w:bCs/>
                <w:color w:val="000000" w:themeColor="text1"/>
                <w:sz w:val="18"/>
                <w:szCs w:val="18"/>
              </w:rPr>
              <w:t>ustard/desserts</w:t>
            </w:r>
          </w:p>
        </w:tc>
        <w:tc>
          <w:tcPr>
            <w:tcW w:w="1276" w:type="dxa"/>
            <w:shd w:val="clear" w:color="auto" w:fill="auto"/>
            <w:noWrap/>
            <w:vAlign w:val="center"/>
            <w:hideMark/>
          </w:tcPr>
          <w:p w14:paraId="606349A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82</w:t>
            </w:r>
          </w:p>
        </w:tc>
        <w:tc>
          <w:tcPr>
            <w:tcW w:w="958" w:type="dxa"/>
            <w:shd w:val="clear" w:color="auto" w:fill="FFF2CC" w:themeFill="accent4" w:themeFillTint="33"/>
            <w:noWrap/>
            <w:vAlign w:val="center"/>
            <w:hideMark/>
          </w:tcPr>
          <w:p w14:paraId="5C0E049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55</w:t>
            </w:r>
          </w:p>
        </w:tc>
        <w:tc>
          <w:tcPr>
            <w:tcW w:w="992" w:type="dxa"/>
            <w:shd w:val="clear" w:color="auto" w:fill="FFF2CC" w:themeFill="accent4" w:themeFillTint="33"/>
            <w:noWrap/>
            <w:vAlign w:val="center"/>
            <w:hideMark/>
          </w:tcPr>
          <w:p w14:paraId="20D28B5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67%</w:t>
            </w:r>
          </w:p>
        </w:tc>
        <w:tc>
          <w:tcPr>
            <w:tcW w:w="1064" w:type="dxa"/>
            <w:shd w:val="clear" w:color="auto" w:fill="C6EFCE"/>
            <w:noWrap/>
            <w:vAlign w:val="center"/>
            <w:hideMark/>
          </w:tcPr>
          <w:p w14:paraId="48385FD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36</w:t>
            </w:r>
          </w:p>
        </w:tc>
        <w:tc>
          <w:tcPr>
            <w:tcW w:w="1129" w:type="dxa"/>
            <w:shd w:val="clear" w:color="auto" w:fill="C6EFCE"/>
            <w:noWrap/>
            <w:vAlign w:val="center"/>
            <w:hideMark/>
          </w:tcPr>
          <w:p w14:paraId="35C0E59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44%</w:t>
            </w:r>
          </w:p>
        </w:tc>
        <w:tc>
          <w:tcPr>
            <w:tcW w:w="1095" w:type="dxa"/>
            <w:shd w:val="clear" w:color="auto" w:fill="FFC7CE"/>
            <w:noWrap/>
            <w:vAlign w:val="center"/>
            <w:hideMark/>
          </w:tcPr>
          <w:p w14:paraId="4435883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19</w:t>
            </w:r>
          </w:p>
        </w:tc>
        <w:tc>
          <w:tcPr>
            <w:tcW w:w="1102" w:type="dxa"/>
            <w:shd w:val="clear" w:color="auto" w:fill="FFC7CE"/>
            <w:noWrap/>
            <w:vAlign w:val="center"/>
            <w:hideMark/>
          </w:tcPr>
          <w:p w14:paraId="54B740B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23%</w:t>
            </w:r>
          </w:p>
        </w:tc>
      </w:tr>
      <w:tr w:rsidR="00AF1690" w:rsidRPr="00537A59" w14:paraId="3A952294" w14:textId="77777777" w:rsidTr="009C405A">
        <w:trPr>
          <w:trHeight w:val="20"/>
        </w:trPr>
        <w:tc>
          <w:tcPr>
            <w:tcW w:w="2307" w:type="dxa"/>
            <w:shd w:val="clear" w:color="auto" w:fill="F2F2F2" w:themeFill="background1" w:themeFillShade="F2"/>
            <w:noWrap/>
            <w:vAlign w:val="center"/>
            <w:hideMark/>
          </w:tcPr>
          <w:p w14:paraId="175BAAD2"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w:t>
            </w:r>
            <w:r w:rsidRPr="00537A59">
              <w:rPr>
                <w:rFonts w:eastAsia="Times New Roman" w:cstheme="minorHAnsi"/>
                <w:b/>
                <w:bCs/>
                <w:color w:val="000000" w:themeColor="text1"/>
                <w:sz w:val="18"/>
                <w:szCs w:val="18"/>
              </w:rPr>
              <w:t>ips</w:t>
            </w:r>
          </w:p>
        </w:tc>
        <w:tc>
          <w:tcPr>
            <w:tcW w:w="1276" w:type="dxa"/>
            <w:shd w:val="clear" w:color="auto" w:fill="auto"/>
            <w:noWrap/>
            <w:vAlign w:val="center"/>
            <w:hideMark/>
          </w:tcPr>
          <w:p w14:paraId="32B4FFF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28</w:t>
            </w:r>
          </w:p>
        </w:tc>
        <w:tc>
          <w:tcPr>
            <w:tcW w:w="958" w:type="dxa"/>
            <w:shd w:val="clear" w:color="auto" w:fill="auto"/>
            <w:noWrap/>
            <w:vAlign w:val="center"/>
            <w:hideMark/>
          </w:tcPr>
          <w:p w14:paraId="64CCCA7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1F7F733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777321B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16E0B66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45C185D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2C39A5A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522F331E" w14:textId="77777777" w:rsidTr="009C405A">
        <w:trPr>
          <w:trHeight w:val="20"/>
        </w:trPr>
        <w:tc>
          <w:tcPr>
            <w:tcW w:w="2307" w:type="dxa"/>
            <w:shd w:val="clear" w:color="auto" w:fill="F2F2F2" w:themeFill="background1" w:themeFillShade="F2"/>
            <w:noWrap/>
            <w:vAlign w:val="center"/>
            <w:hideMark/>
          </w:tcPr>
          <w:p w14:paraId="065C6DF9"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D</w:t>
            </w:r>
            <w:r w:rsidRPr="00537A59">
              <w:rPr>
                <w:rFonts w:eastAsia="Times New Roman" w:cstheme="minorHAnsi"/>
                <w:b/>
                <w:bCs/>
                <w:color w:val="000000" w:themeColor="text1"/>
                <w:sz w:val="18"/>
                <w:szCs w:val="18"/>
              </w:rPr>
              <w:t>ressings</w:t>
            </w:r>
          </w:p>
        </w:tc>
        <w:tc>
          <w:tcPr>
            <w:tcW w:w="1276" w:type="dxa"/>
            <w:shd w:val="clear" w:color="auto" w:fill="auto"/>
            <w:noWrap/>
            <w:vAlign w:val="center"/>
            <w:hideMark/>
          </w:tcPr>
          <w:p w14:paraId="22F393A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95</w:t>
            </w:r>
          </w:p>
        </w:tc>
        <w:tc>
          <w:tcPr>
            <w:tcW w:w="958" w:type="dxa"/>
            <w:shd w:val="clear" w:color="auto" w:fill="FFF2CC" w:themeFill="accent4" w:themeFillTint="33"/>
            <w:noWrap/>
            <w:vAlign w:val="center"/>
            <w:hideMark/>
          </w:tcPr>
          <w:p w14:paraId="7573DE8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c>
          <w:tcPr>
            <w:tcW w:w="992" w:type="dxa"/>
            <w:shd w:val="clear" w:color="auto" w:fill="FFF2CC" w:themeFill="accent4" w:themeFillTint="33"/>
            <w:noWrap/>
            <w:vAlign w:val="center"/>
            <w:hideMark/>
          </w:tcPr>
          <w:p w14:paraId="792CED1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c>
          <w:tcPr>
            <w:tcW w:w="1064" w:type="dxa"/>
            <w:shd w:val="clear" w:color="auto" w:fill="auto"/>
            <w:noWrap/>
            <w:vAlign w:val="center"/>
            <w:hideMark/>
          </w:tcPr>
          <w:p w14:paraId="4B902B3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74D6250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5656A3A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c>
          <w:tcPr>
            <w:tcW w:w="1102" w:type="dxa"/>
            <w:shd w:val="clear" w:color="auto" w:fill="FFC7CE"/>
            <w:noWrap/>
            <w:vAlign w:val="center"/>
            <w:hideMark/>
          </w:tcPr>
          <w:p w14:paraId="54D0328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r>
      <w:tr w:rsidR="00AF1690" w:rsidRPr="00537A59" w14:paraId="5656154B" w14:textId="77777777" w:rsidTr="009C405A">
        <w:trPr>
          <w:trHeight w:val="20"/>
        </w:trPr>
        <w:tc>
          <w:tcPr>
            <w:tcW w:w="2307" w:type="dxa"/>
            <w:shd w:val="clear" w:color="auto" w:fill="F2F2F2" w:themeFill="background1" w:themeFillShade="F2"/>
            <w:noWrap/>
            <w:vAlign w:val="center"/>
            <w:hideMark/>
          </w:tcPr>
          <w:p w14:paraId="77C8EA13"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Ice</w:t>
            </w:r>
            <w:r w:rsidRPr="00537A59">
              <w:rPr>
                <w:rFonts w:eastAsia="Times New Roman" w:cstheme="minorHAnsi"/>
                <w:b/>
                <w:bCs/>
                <w:color w:val="000000" w:themeColor="text1"/>
                <w:sz w:val="18"/>
                <w:szCs w:val="18"/>
              </w:rPr>
              <w:t xml:space="preserve"> confection</w:t>
            </w:r>
          </w:p>
        </w:tc>
        <w:tc>
          <w:tcPr>
            <w:tcW w:w="1276" w:type="dxa"/>
            <w:shd w:val="clear" w:color="auto" w:fill="auto"/>
            <w:noWrap/>
            <w:vAlign w:val="center"/>
            <w:hideMark/>
          </w:tcPr>
          <w:p w14:paraId="71C8D57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46</w:t>
            </w:r>
          </w:p>
        </w:tc>
        <w:tc>
          <w:tcPr>
            <w:tcW w:w="958" w:type="dxa"/>
            <w:shd w:val="clear" w:color="auto" w:fill="FFF2CC" w:themeFill="accent4" w:themeFillTint="33"/>
            <w:noWrap/>
            <w:vAlign w:val="center"/>
            <w:hideMark/>
          </w:tcPr>
          <w:p w14:paraId="40B2D62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46</w:t>
            </w:r>
          </w:p>
        </w:tc>
        <w:tc>
          <w:tcPr>
            <w:tcW w:w="992" w:type="dxa"/>
            <w:shd w:val="clear" w:color="auto" w:fill="FFF2CC" w:themeFill="accent4" w:themeFillTint="33"/>
            <w:noWrap/>
            <w:vAlign w:val="center"/>
            <w:hideMark/>
          </w:tcPr>
          <w:p w14:paraId="27CF7E5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c>
          <w:tcPr>
            <w:tcW w:w="1064" w:type="dxa"/>
            <w:shd w:val="clear" w:color="auto" w:fill="auto"/>
            <w:noWrap/>
            <w:vAlign w:val="center"/>
            <w:hideMark/>
          </w:tcPr>
          <w:p w14:paraId="5E2EFBC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4B7E5DF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49E7573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46</w:t>
            </w:r>
          </w:p>
        </w:tc>
        <w:tc>
          <w:tcPr>
            <w:tcW w:w="1102" w:type="dxa"/>
            <w:shd w:val="clear" w:color="auto" w:fill="FFC7CE"/>
            <w:noWrap/>
            <w:vAlign w:val="center"/>
            <w:hideMark/>
          </w:tcPr>
          <w:p w14:paraId="4B09E9A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r>
      <w:tr w:rsidR="00AF1690" w:rsidRPr="00537A59" w14:paraId="39DD7977" w14:textId="77777777" w:rsidTr="009C405A">
        <w:trPr>
          <w:trHeight w:val="20"/>
        </w:trPr>
        <w:tc>
          <w:tcPr>
            <w:tcW w:w="2307" w:type="dxa"/>
            <w:shd w:val="clear" w:color="auto" w:fill="F2F2F2" w:themeFill="background1" w:themeFillShade="F2"/>
            <w:noWrap/>
            <w:vAlign w:val="center"/>
            <w:hideMark/>
          </w:tcPr>
          <w:p w14:paraId="3F7BC5B9"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I</w:t>
            </w:r>
            <w:r w:rsidRPr="00537A59">
              <w:rPr>
                <w:rFonts w:eastAsia="Times New Roman" w:cstheme="minorHAnsi"/>
                <w:b/>
                <w:bCs/>
                <w:color w:val="000000" w:themeColor="text1"/>
                <w:sz w:val="18"/>
                <w:szCs w:val="18"/>
              </w:rPr>
              <w:t>ce cream</w:t>
            </w:r>
          </w:p>
        </w:tc>
        <w:tc>
          <w:tcPr>
            <w:tcW w:w="1276" w:type="dxa"/>
            <w:shd w:val="clear" w:color="auto" w:fill="auto"/>
            <w:noWrap/>
            <w:vAlign w:val="center"/>
            <w:hideMark/>
          </w:tcPr>
          <w:p w14:paraId="0A5D1E2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179</w:t>
            </w:r>
          </w:p>
        </w:tc>
        <w:tc>
          <w:tcPr>
            <w:tcW w:w="958" w:type="dxa"/>
            <w:shd w:val="clear" w:color="auto" w:fill="FFF2CC" w:themeFill="accent4" w:themeFillTint="33"/>
            <w:noWrap/>
            <w:vAlign w:val="center"/>
            <w:hideMark/>
          </w:tcPr>
          <w:p w14:paraId="31599C4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19</w:t>
            </w:r>
          </w:p>
        </w:tc>
        <w:tc>
          <w:tcPr>
            <w:tcW w:w="992" w:type="dxa"/>
            <w:shd w:val="clear" w:color="auto" w:fill="FFF2CC" w:themeFill="accent4" w:themeFillTint="33"/>
            <w:noWrap/>
            <w:vAlign w:val="center"/>
            <w:hideMark/>
          </w:tcPr>
          <w:p w14:paraId="55CC08E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11%</w:t>
            </w:r>
          </w:p>
        </w:tc>
        <w:tc>
          <w:tcPr>
            <w:tcW w:w="1064" w:type="dxa"/>
            <w:shd w:val="clear" w:color="auto" w:fill="auto"/>
            <w:noWrap/>
            <w:vAlign w:val="center"/>
            <w:hideMark/>
          </w:tcPr>
          <w:p w14:paraId="0F7F8FD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2BBD1A5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10A87E8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19</w:t>
            </w:r>
          </w:p>
        </w:tc>
        <w:tc>
          <w:tcPr>
            <w:tcW w:w="1102" w:type="dxa"/>
            <w:shd w:val="clear" w:color="auto" w:fill="FFC7CE"/>
            <w:noWrap/>
            <w:vAlign w:val="center"/>
            <w:hideMark/>
          </w:tcPr>
          <w:p w14:paraId="2B0A013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11%</w:t>
            </w:r>
          </w:p>
        </w:tc>
      </w:tr>
      <w:tr w:rsidR="00AF1690" w:rsidRPr="00537A59" w14:paraId="457C9CE1" w14:textId="77777777" w:rsidTr="009C405A">
        <w:trPr>
          <w:trHeight w:val="20"/>
        </w:trPr>
        <w:tc>
          <w:tcPr>
            <w:tcW w:w="2307" w:type="dxa"/>
            <w:shd w:val="clear" w:color="auto" w:fill="F2F2F2" w:themeFill="background1" w:themeFillShade="F2"/>
            <w:noWrap/>
            <w:vAlign w:val="center"/>
            <w:hideMark/>
          </w:tcPr>
          <w:p w14:paraId="0089A5F2"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J</w:t>
            </w:r>
            <w:r w:rsidRPr="00537A59">
              <w:rPr>
                <w:rFonts w:eastAsia="Times New Roman" w:cstheme="minorHAnsi"/>
                <w:b/>
                <w:bCs/>
                <w:color w:val="000000" w:themeColor="text1"/>
                <w:sz w:val="18"/>
                <w:szCs w:val="18"/>
              </w:rPr>
              <w:t>elly</w:t>
            </w:r>
          </w:p>
        </w:tc>
        <w:tc>
          <w:tcPr>
            <w:tcW w:w="1276" w:type="dxa"/>
            <w:shd w:val="clear" w:color="auto" w:fill="auto"/>
            <w:noWrap/>
            <w:vAlign w:val="center"/>
            <w:hideMark/>
          </w:tcPr>
          <w:p w14:paraId="3BAFF4F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20</w:t>
            </w:r>
          </w:p>
        </w:tc>
        <w:tc>
          <w:tcPr>
            <w:tcW w:w="958" w:type="dxa"/>
            <w:shd w:val="clear" w:color="auto" w:fill="FFF2CC" w:themeFill="accent4" w:themeFillTint="33"/>
            <w:noWrap/>
            <w:vAlign w:val="center"/>
            <w:hideMark/>
          </w:tcPr>
          <w:p w14:paraId="6856004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20</w:t>
            </w:r>
          </w:p>
        </w:tc>
        <w:tc>
          <w:tcPr>
            <w:tcW w:w="992" w:type="dxa"/>
            <w:shd w:val="clear" w:color="auto" w:fill="FFF2CC" w:themeFill="accent4" w:themeFillTint="33"/>
            <w:noWrap/>
            <w:vAlign w:val="center"/>
            <w:hideMark/>
          </w:tcPr>
          <w:p w14:paraId="4655607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c>
          <w:tcPr>
            <w:tcW w:w="1064" w:type="dxa"/>
            <w:shd w:val="clear" w:color="auto" w:fill="auto"/>
            <w:noWrap/>
            <w:vAlign w:val="center"/>
            <w:hideMark/>
          </w:tcPr>
          <w:p w14:paraId="546353D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0193E39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218F60E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20</w:t>
            </w:r>
          </w:p>
        </w:tc>
        <w:tc>
          <w:tcPr>
            <w:tcW w:w="1102" w:type="dxa"/>
            <w:shd w:val="clear" w:color="auto" w:fill="FFC7CE"/>
            <w:noWrap/>
            <w:vAlign w:val="center"/>
            <w:hideMark/>
          </w:tcPr>
          <w:p w14:paraId="1484CB6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r>
      <w:tr w:rsidR="00AF1690" w:rsidRPr="00537A59" w14:paraId="2EE67F6B" w14:textId="77777777" w:rsidTr="009C405A">
        <w:trPr>
          <w:trHeight w:val="20"/>
        </w:trPr>
        <w:tc>
          <w:tcPr>
            <w:tcW w:w="2307" w:type="dxa"/>
            <w:shd w:val="clear" w:color="auto" w:fill="F2F2F2" w:themeFill="background1" w:themeFillShade="F2"/>
            <w:noWrap/>
            <w:vAlign w:val="center"/>
            <w:hideMark/>
          </w:tcPr>
          <w:p w14:paraId="589B2D21"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M</w:t>
            </w:r>
            <w:r w:rsidRPr="00537A59">
              <w:rPr>
                <w:rFonts w:eastAsia="Times New Roman" w:cstheme="minorHAnsi"/>
                <w:b/>
                <w:bCs/>
                <w:color w:val="000000" w:themeColor="text1"/>
                <w:sz w:val="18"/>
                <w:szCs w:val="18"/>
              </w:rPr>
              <w:t>eals/meal bases</w:t>
            </w:r>
          </w:p>
        </w:tc>
        <w:tc>
          <w:tcPr>
            <w:tcW w:w="1276" w:type="dxa"/>
            <w:shd w:val="clear" w:color="auto" w:fill="auto"/>
            <w:noWrap/>
            <w:vAlign w:val="center"/>
            <w:hideMark/>
          </w:tcPr>
          <w:p w14:paraId="541F34C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292</w:t>
            </w:r>
          </w:p>
        </w:tc>
        <w:tc>
          <w:tcPr>
            <w:tcW w:w="958" w:type="dxa"/>
            <w:shd w:val="clear" w:color="auto" w:fill="FFF2CC" w:themeFill="accent4" w:themeFillTint="33"/>
            <w:noWrap/>
            <w:vAlign w:val="center"/>
            <w:hideMark/>
          </w:tcPr>
          <w:p w14:paraId="4C38EF2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c>
          <w:tcPr>
            <w:tcW w:w="992" w:type="dxa"/>
            <w:shd w:val="clear" w:color="auto" w:fill="FFF2CC" w:themeFill="accent4" w:themeFillTint="33"/>
            <w:noWrap/>
            <w:vAlign w:val="center"/>
            <w:hideMark/>
          </w:tcPr>
          <w:p w14:paraId="3F3B160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c>
          <w:tcPr>
            <w:tcW w:w="1064" w:type="dxa"/>
            <w:shd w:val="clear" w:color="auto" w:fill="auto"/>
            <w:noWrap/>
            <w:vAlign w:val="center"/>
            <w:hideMark/>
          </w:tcPr>
          <w:p w14:paraId="58C94EE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DE5DD5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366A685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c>
          <w:tcPr>
            <w:tcW w:w="1102" w:type="dxa"/>
            <w:shd w:val="clear" w:color="auto" w:fill="FFC7CE"/>
            <w:noWrap/>
            <w:vAlign w:val="center"/>
            <w:hideMark/>
          </w:tcPr>
          <w:p w14:paraId="2B31C1D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r>
      <w:tr w:rsidR="00AF1690" w:rsidRPr="00537A59" w14:paraId="63D6249C" w14:textId="77777777" w:rsidTr="009C405A">
        <w:trPr>
          <w:trHeight w:val="20"/>
        </w:trPr>
        <w:tc>
          <w:tcPr>
            <w:tcW w:w="2307" w:type="dxa"/>
            <w:shd w:val="clear" w:color="auto" w:fill="F2F2F2" w:themeFill="background1" w:themeFillShade="F2"/>
            <w:noWrap/>
            <w:vAlign w:val="center"/>
            <w:hideMark/>
          </w:tcPr>
          <w:p w14:paraId="5BB300B0"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M</w:t>
            </w:r>
            <w:r w:rsidRPr="00537A59">
              <w:rPr>
                <w:rFonts w:eastAsia="Times New Roman" w:cstheme="minorHAnsi"/>
                <w:b/>
                <w:bCs/>
                <w:color w:val="000000" w:themeColor="text1"/>
                <w:sz w:val="18"/>
                <w:szCs w:val="18"/>
              </w:rPr>
              <w:t>iscellaneous</w:t>
            </w:r>
          </w:p>
        </w:tc>
        <w:tc>
          <w:tcPr>
            <w:tcW w:w="1276" w:type="dxa"/>
            <w:shd w:val="clear" w:color="auto" w:fill="auto"/>
            <w:noWrap/>
            <w:vAlign w:val="center"/>
            <w:hideMark/>
          </w:tcPr>
          <w:p w14:paraId="7D2E517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25</w:t>
            </w:r>
          </w:p>
        </w:tc>
        <w:tc>
          <w:tcPr>
            <w:tcW w:w="958" w:type="dxa"/>
            <w:shd w:val="clear" w:color="auto" w:fill="FFF2CC" w:themeFill="accent4" w:themeFillTint="33"/>
            <w:noWrap/>
            <w:vAlign w:val="center"/>
            <w:hideMark/>
          </w:tcPr>
          <w:p w14:paraId="74F7B01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c>
          <w:tcPr>
            <w:tcW w:w="992" w:type="dxa"/>
            <w:shd w:val="clear" w:color="auto" w:fill="FFF2CC" w:themeFill="accent4" w:themeFillTint="33"/>
            <w:noWrap/>
            <w:vAlign w:val="center"/>
            <w:hideMark/>
          </w:tcPr>
          <w:p w14:paraId="5D2B8AB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w:t>
            </w:r>
          </w:p>
        </w:tc>
        <w:tc>
          <w:tcPr>
            <w:tcW w:w="1064" w:type="dxa"/>
            <w:shd w:val="clear" w:color="auto" w:fill="auto"/>
            <w:noWrap/>
            <w:vAlign w:val="center"/>
            <w:hideMark/>
          </w:tcPr>
          <w:p w14:paraId="6A75946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BCA176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52F136F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w:t>
            </w:r>
          </w:p>
        </w:tc>
        <w:tc>
          <w:tcPr>
            <w:tcW w:w="1102" w:type="dxa"/>
            <w:shd w:val="clear" w:color="auto" w:fill="FFC7CE"/>
            <w:noWrap/>
            <w:vAlign w:val="center"/>
            <w:hideMark/>
          </w:tcPr>
          <w:p w14:paraId="0AD68C6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8%</w:t>
            </w:r>
          </w:p>
        </w:tc>
      </w:tr>
      <w:tr w:rsidR="00AF1690" w:rsidRPr="00537A59" w14:paraId="16B8CA1B" w14:textId="77777777" w:rsidTr="009C405A">
        <w:trPr>
          <w:trHeight w:val="20"/>
        </w:trPr>
        <w:tc>
          <w:tcPr>
            <w:tcW w:w="2307" w:type="dxa"/>
            <w:shd w:val="clear" w:color="auto" w:fill="F2F2F2" w:themeFill="background1" w:themeFillShade="F2"/>
            <w:noWrap/>
            <w:vAlign w:val="center"/>
            <w:hideMark/>
          </w:tcPr>
          <w:p w14:paraId="29476DE8"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P</w:t>
            </w:r>
            <w:r w:rsidRPr="00537A59">
              <w:rPr>
                <w:rFonts w:eastAsia="Times New Roman" w:cstheme="minorHAnsi"/>
                <w:b/>
                <w:bCs/>
                <w:color w:val="000000" w:themeColor="text1"/>
                <w:sz w:val="18"/>
                <w:szCs w:val="18"/>
              </w:rPr>
              <w:t>izza</w:t>
            </w:r>
          </w:p>
        </w:tc>
        <w:tc>
          <w:tcPr>
            <w:tcW w:w="1276" w:type="dxa"/>
            <w:shd w:val="clear" w:color="auto" w:fill="auto"/>
            <w:noWrap/>
            <w:vAlign w:val="center"/>
            <w:hideMark/>
          </w:tcPr>
          <w:p w14:paraId="3450331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c>
          <w:tcPr>
            <w:tcW w:w="958" w:type="dxa"/>
            <w:shd w:val="clear" w:color="auto" w:fill="auto"/>
            <w:noWrap/>
            <w:vAlign w:val="center"/>
            <w:hideMark/>
          </w:tcPr>
          <w:p w14:paraId="03C438E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19C8611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37429C4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11715A1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4499A3C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552C11E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09D300A3" w14:textId="77777777" w:rsidTr="009C405A">
        <w:trPr>
          <w:trHeight w:val="20"/>
        </w:trPr>
        <w:tc>
          <w:tcPr>
            <w:tcW w:w="2307" w:type="dxa"/>
            <w:shd w:val="clear" w:color="auto" w:fill="F2F2F2" w:themeFill="background1" w:themeFillShade="F2"/>
            <w:noWrap/>
            <w:vAlign w:val="center"/>
            <w:hideMark/>
          </w:tcPr>
          <w:p w14:paraId="4A2E1DD6"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S</w:t>
            </w:r>
            <w:r w:rsidRPr="00537A59">
              <w:rPr>
                <w:rFonts w:eastAsia="Times New Roman" w:cstheme="minorHAnsi"/>
                <w:b/>
                <w:bCs/>
                <w:color w:val="000000" w:themeColor="text1"/>
                <w:sz w:val="18"/>
                <w:szCs w:val="18"/>
              </w:rPr>
              <w:t>auces/condiments</w:t>
            </w:r>
          </w:p>
        </w:tc>
        <w:tc>
          <w:tcPr>
            <w:tcW w:w="1276" w:type="dxa"/>
            <w:shd w:val="clear" w:color="auto" w:fill="auto"/>
            <w:noWrap/>
            <w:vAlign w:val="center"/>
            <w:hideMark/>
          </w:tcPr>
          <w:p w14:paraId="663B852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344</w:t>
            </w:r>
          </w:p>
        </w:tc>
        <w:tc>
          <w:tcPr>
            <w:tcW w:w="958" w:type="dxa"/>
            <w:shd w:val="clear" w:color="auto" w:fill="FFF2CC" w:themeFill="accent4" w:themeFillTint="33"/>
            <w:noWrap/>
            <w:vAlign w:val="center"/>
            <w:hideMark/>
          </w:tcPr>
          <w:p w14:paraId="146F8D3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25</w:t>
            </w:r>
          </w:p>
        </w:tc>
        <w:tc>
          <w:tcPr>
            <w:tcW w:w="992" w:type="dxa"/>
            <w:shd w:val="clear" w:color="auto" w:fill="FFF2CC" w:themeFill="accent4" w:themeFillTint="33"/>
            <w:noWrap/>
            <w:vAlign w:val="center"/>
            <w:hideMark/>
          </w:tcPr>
          <w:p w14:paraId="168980B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c>
          <w:tcPr>
            <w:tcW w:w="1064" w:type="dxa"/>
            <w:shd w:val="clear" w:color="auto" w:fill="auto"/>
            <w:noWrap/>
            <w:vAlign w:val="center"/>
            <w:hideMark/>
          </w:tcPr>
          <w:p w14:paraId="341B275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10C05BE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3E92114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25</w:t>
            </w:r>
          </w:p>
        </w:tc>
        <w:tc>
          <w:tcPr>
            <w:tcW w:w="1102" w:type="dxa"/>
            <w:shd w:val="clear" w:color="auto" w:fill="FFC7CE"/>
            <w:noWrap/>
            <w:vAlign w:val="center"/>
            <w:hideMark/>
          </w:tcPr>
          <w:p w14:paraId="04AD5CE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w:t>
            </w:r>
          </w:p>
        </w:tc>
      </w:tr>
      <w:tr w:rsidR="00AF1690" w:rsidRPr="00537A59" w14:paraId="378184FA" w14:textId="77777777" w:rsidTr="009C405A">
        <w:trPr>
          <w:trHeight w:val="20"/>
        </w:trPr>
        <w:tc>
          <w:tcPr>
            <w:tcW w:w="2307" w:type="dxa"/>
            <w:shd w:val="clear" w:color="auto" w:fill="F2F2F2" w:themeFill="background1" w:themeFillShade="F2"/>
            <w:noWrap/>
            <w:vAlign w:val="center"/>
            <w:hideMark/>
          </w:tcPr>
          <w:p w14:paraId="7ECC2F73"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S</w:t>
            </w:r>
            <w:r w:rsidRPr="00537A59">
              <w:rPr>
                <w:rFonts w:eastAsia="Times New Roman" w:cstheme="minorHAnsi"/>
                <w:b/>
                <w:bCs/>
                <w:color w:val="000000" w:themeColor="text1"/>
                <w:sz w:val="18"/>
                <w:szCs w:val="18"/>
              </w:rPr>
              <w:t>nacks</w:t>
            </w:r>
          </w:p>
        </w:tc>
        <w:tc>
          <w:tcPr>
            <w:tcW w:w="1276" w:type="dxa"/>
            <w:shd w:val="clear" w:color="auto" w:fill="auto"/>
            <w:noWrap/>
            <w:vAlign w:val="center"/>
            <w:hideMark/>
          </w:tcPr>
          <w:p w14:paraId="7A453E7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310</w:t>
            </w:r>
          </w:p>
        </w:tc>
        <w:tc>
          <w:tcPr>
            <w:tcW w:w="958" w:type="dxa"/>
            <w:shd w:val="clear" w:color="auto" w:fill="FFF2CC" w:themeFill="accent4" w:themeFillTint="33"/>
            <w:noWrap/>
            <w:vAlign w:val="center"/>
            <w:hideMark/>
          </w:tcPr>
          <w:p w14:paraId="4D7B616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28</w:t>
            </w:r>
          </w:p>
        </w:tc>
        <w:tc>
          <w:tcPr>
            <w:tcW w:w="992" w:type="dxa"/>
            <w:shd w:val="clear" w:color="auto" w:fill="FFF2CC" w:themeFill="accent4" w:themeFillTint="33"/>
            <w:noWrap/>
            <w:vAlign w:val="center"/>
            <w:hideMark/>
          </w:tcPr>
          <w:p w14:paraId="1153BEF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w:t>
            </w:r>
          </w:p>
        </w:tc>
        <w:tc>
          <w:tcPr>
            <w:tcW w:w="1064" w:type="dxa"/>
            <w:shd w:val="clear" w:color="auto" w:fill="auto"/>
            <w:noWrap/>
            <w:vAlign w:val="center"/>
            <w:hideMark/>
          </w:tcPr>
          <w:p w14:paraId="54D13BA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79EA6B87"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312C0F8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28</w:t>
            </w:r>
          </w:p>
        </w:tc>
        <w:tc>
          <w:tcPr>
            <w:tcW w:w="1102" w:type="dxa"/>
            <w:shd w:val="clear" w:color="auto" w:fill="FFC7CE"/>
            <w:noWrap/>
            <w:vAlign w:val="center"/>
            <w:hideMark/>
          </w:tcPr>
          <w:p w14:paraId="025CA70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9%</w:t>
            </w:r>
          </w:p>
        </w:tc>
      </w:tr>
      <w:tr w:rsidR="00AF1690" w:rsidRPr="00537A59" w14:paraId="18144EA3" w14:textId="77777777" w:rsidTr="009C405A">
        <w:trPr>
          <w:trHeight w:val="20"/>
        </w:trPr>
        <w:tc>
          <w:tcPr>
            <w:tcW w:w="2307" w:type="dxa"/>
            <w:shd w:val="clear" w:color="auto" w:fill="F2F2F2" w:themeFill="background1" w:themeFillShade="F2"/>
            <w:noWrap/>
            <w:vAlign w:val="center"/>
            <w:hideMark/>
          </w:tcPr>
          <w:p w14:paraId="7ED729D5"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S</w:t>
            </w:r>
            <w:r w:rsidRPr="00537A59">
              <w:rPr>
                <w:rFonts w:eastAsia="Times New Roman" w:cstheme="minorHAnsi"/>
                <w:b/>
                <w:bCs/>
                <w:color w:val="000000" w:themeColor="text1"/>
                <w:sz w:val="18"/>
                <w:szCs w:val="18"/>
              </w:rPr>
              <w:t>oups/stocks</w:t>
            </w:r>
          </w:p>
        </w:tc>
        <w:tc>
          <w:tcPr>
            <w:tcW w:w="1276" w:type="dxa"/>
            <w:shd w:val="clear" w:color="auto" w:fill="auto"/>
            <w:noWrap/>
            <w:vAlign w:val="center"/>
            <w:hideMark/>
          </w:tcPr>
          <w:p w14:paraId="1F6CDE5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245</w:t>
            </w:r>
          </w:p>
        </w:tc>
        <w:tc>
          <w:tcPr>
            <w:tcW w:w="958" w:type="dxa"/>
            <w:shd w:val="clear" w:color="auto" w:fill="auto"/>
            <w:noWrap/>
            <w:vAlign w:val="center"/>
            <w:hideMark/>
          </w:tcPr>
          <w:p w14:paraId="2E9B9E1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230C4E9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2A30C5B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2C1DA77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08AD691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7FA5D61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112B676B" w14:textId="77777777" w:rsidTr="009C405A">
        <w:trPr>
          <w:trHeight w:val="20"/>
        </w:trPr>
        <w:tc>
          <w:tcPr>
            <w:tcW w:w="2307" w:type="dxa"/>
            <w:shd w:val="clear" w:color="auto" w:fill="F2F2F2" w:themeFill="background1" w:themeFillShade="F2"/>
            <w:noWrap/>
            <w:vAlign w:val="center"/>
            <w:hideMark/>
          </w:tcPr>
          <w:p w14:paraId="5E1981EE"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Y</w:t>
            </w:r>
            <w:r w:rsidRPr="00537A59">
              <w:rPr>
                <w:rFonts w:eastAsia="Times New Roman" w:cstheme="minorHAnsi"/>
                <w:b/>
                <w:bCs/>
                <w:color w:val="000000" w:themeColor="text1"/>
                <w:sz w:val="18"/>
                <w:szCs w:val="18"/>
              </w:rPr>
              <w:t>east spread</w:t>
            </w:r>
          </w:p>
        </w:tc>
        <w:tc>
          <w:tcPr>
            <w:tcW w:w="1276" w:type="dxa"/>
            <w:shd w:val="clear" w:color="auto" w:fill="auto"/>
            <w:noWrap/>
            <w:vAlign w:val="center"/>
            <w:hideMark/>
          </w:tcPr>
          <w:p w14:paraId="139A629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w:t>
            </w:r>
          </w:p>
        </w:tc>
        <w:tc>
          <w:tcPr>
            <w:tcW w:w="958" w:type="dxa"/>
            <w:shd w:val="clear" w:color="auto" w:fill="FFF2CC" w:themeFill="accent4" w:themeFillTint="33"/>
            <w:noWrap/>
            <w:vAlign w:val="center"/>
            <w:hideMark/>
          </w:tcPr>
          <w:p w14:paraId="24C4767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w:t>
            </w:r>
          </w:p>
        </w:tc>
        <w:tc>
          <w:tcPr>
            <w:tcW w:w="992" w:type="dxa"/>
            <w:shd w:val="clear" w:color="auto" w:fill="FFF2CC" w:themeFill="accent4" w:themeFillTint="33"/>
            <w:noWrap/>
            <w:vAlign w:val="center"/>
            <w:hideMark/>
          </w:tcPr>
          <w:p w14:paraId="2000D37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c>
          <w:tcPr>
            <w:tcW w:w="1064" w:type="dxa"/>
            <w:shd w:val="clear" w:color="auto" w:fill="auto"/>
            <w:noWrap/>
            <w:vAlign w:val="center"/>
            <w:hideMark/>
          </w:tcPr>
          <w:p w14:paraId="5ABD9D8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375206D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60DD06B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w:t>
            </w:r>
          </w:p>
        </w:tc>
        <w:tc>
          <w:tcPr>
            <w:tcW w:w="1102" w:type="dxa"/>
            <w:shd w:val="clear" w:color="auto" w:fill="FFC7CE"/>
            <w:noWrap/>
            <w:vAlign w:val="center"/>
            <w:hideMark/>
          </w:tcPr>
          <w:p w14:paraId="1A56DB6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100%</w:t>
            </w:r>
          </w:p>
        </w:tc>
      </w:tr>
      <w:tr w:rsidR="00AF1690" w:rsidRPr="00537A59" w14:paraId="543B3902" w14:textId="77777777" w:rsidTr="009C405A">
        <w:trPr>
          <w:trHeight w:val="20"/>
        </w:trPr>
        <w:tc>
          <w:tcPr>
            <w:tcW w:w="2307" w:type="dxa"/>
            <w:shd w:val="clear" w:color="auto" w:fill="F2F2F2" w:themeFill="background1" w:themeFillShade="F2"/>
            <w:noWrap/>
            <w:vAlign w:val="center"/>
            <w:hideMark/>
          </w:tcPr>
          <w:p w14:paraId="492B306A"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M</w:t>
            </w:r>
            <w:r w:rsidRPr="00537A59">
              <w:rPr>
                <w:rFonts w:eastAsia="Times New Roman" w:cstheme="minorHAnsi"/>
                <w:b/>
                <w:bCs/>
                <w:color w:val="000000" w:themeColor="text1"/>
                <w:sz w:val="18"/>
                <w:szCs w:val="18"/>
              </w:rPr>
              <w:t>eats/fish</w:t>
            </w:r>
          </w:p>
        </w:tc>
        <w:tc>
          <w:tcPr>
            <w:tcW w:w="1276" w:type="dxa"/>
            <w:shd w:val="clear" w:color="auto" w:fill="auto"/>
            <w:noWrap/>
            <w:vAlign w:val="center"/>
            <w:hideMark/>
          </w:tcPr>
          <w:p w14:paraId="18ED235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328</w:t>
            </w:r>
          </w:p>
        </w:tc>
        <w:tc>
          <w:tcPr>
            <w:tcW w:w="958" w:type="dxa"/>
            <w:shd w:val="clear" w:color="auto" w:fill="FFF2CC" w:themeFill="accent4" w:themeFillTint="33"/>
            <w:noWrap/>
            <w:vAlign w:val="center"/>
            <w:hideMark/>
          </w:tcPr>
          <w:p w14:paraId="5C72338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992" w:type="dxa"/>
            <w:shd w:val="clear" w:color="auto" w:fill="FFF2CC" w:themeFill="accent4" w:themeFillTint="33"/>
            <w:noWrap/>
            <w:vAlign w:val="center"/>
            <w:hideMark/>
          </w:tcPr>
          <w:p w14:paraId="242F70E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c>
          <w:tcPr>
            <w:tcW w:w="1064" w:type="dxa"/>
            <w:shd w:val="clear" w:color="auto" w:fill="auto"/>
            <w:noWrap/>
            <w:vAlign w:val="center"/>
            <w:hideMark/>
          </w:tcPr>
          <w:p w14:paraId="4B0A090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5B085E14"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6B0E02A0"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1102" w:type="dxa"/>
            <w:shd w:val="clear" w:color="auto" w:fill="FFC7CE"/>
            <w:noWrap/>
            <w:vAlign w:val="center"/>
            <w:hideMark/>
          </w:tcPr>
          <w:p w14:paraId="13879A6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w:t>
            </w:r>
          </w:p>
        </w:tc>
      </w:tr>
      <w:tr w:rsidR="00AF1690" w:rsidRPr="00537A59" w14:paraId="70E51DBD" w14:textId="77777777" w:rsidTr="009C405A">
        <w:trPr>
          <w:trHeight w:val="20"/>
        </w:trPr>
        <w:tc>
          <w:tcPr>
            <w:tcW w:w="2307" w:type="dxa"/>
            <w:shd w:val="clear" w:color="auto" w:fill="F2F2F2" w:themeFill="background1" w:themeFillShade="F2"/>
            <w:noWrap/>
            <w:vAlign w:val="center"/>
            <w:hideMark/>
          </w:tcPr>
          <w:p w14:paraId="7F06E886"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N</w:t>
            </w:r>
            <w:r w:rsidRPr="00537A59">
              <w:rPr>
                <w:rFonts w:eastAsia="Times New Roman" w:cstheme="minorHAnsi"/>
                <w:b/>
                <w:bCs/>
                <w:color w:val="000000" w:themeColor="text1"/>
                <w:sz w:val="18"/>
                <w:szCs w:val="18"/>
              </w:rPr>
              <w:t>uts</w:t>
            </w:r>
          </w:p>
        </w:tc>
        <w:tc>
          <w:tcPr>
            <w:tcW w:w="1276" w:type="dxa"/>
            <w:shd w:val="clear" w:color="auto" w:fill="auto"/>
            <w:noWrap/>
            <w:vAlign w:val="center"/>
            <w:hideMark/>
          </w:tcPr>
          <w:p w14:paraId="471364F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76</w:t>
            </w:r>
          </w:p>
        </w:tc>
        <w:tc>
          <w:tcPr>
            <w:tcW w:w="958" w:type="dxa"/>
            <w:shd w:val="clear" w:color="auto" w:fill="FFF2CC" w:themeFill="accent4" w:themeFillTint="33"/>
            <w:noWrap/>
            <w:vAlign w:val="center"/>
            <w:hideMark/>
          </w:tcPr>
          <w:p w14:paraId="4E158DE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992" w:type="dxa"/>
            <w:shd w:val="clear" w:color="auto" w:fill="FFF2CC" w:themeFill="accent4" w:themeFillTint="33"/>
            <w:noWrap/>
            <w:vAlign w:val="center"/>
            <w:hideMark/>
          </w:tcPr>
          <w:p w14:paraId="2BF0E06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064" w:type="dxa"/>
            <w:shd w:val="clear" w:color="auto" w:fill="auto"/>
            <w:noWrap/>
            <w:vAlign w:val="center"/>
            <w:hideMark/>
          </w:tcPr>
          <w:p w14:paraId="52DCDBC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7DE93D4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FFC7CE"/>
            <w:noWrap/>
            <w:vAlign w:val="center"/>
            <w:hideMark/>
          </w:tcPr>
          <w:p w14:paraId="77DFFB7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c>
          <w:tcPr>
            <w:tcW w:w="1102" w:type="dxa"/>
            <w:shd w:val="clear" w:color="auto" w:fill="FFC7CE"/>
            <w:noWrap/>
            <w:vAlign w:val="center"/>
            <w:hideMark/>
          </w:tcPr>
          <w:p w14:paraId="66C00DF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w:t>
            </w:r>
          </w:p>
        </w:tc>
      </w:tr>
      <w:tr w:rsidR="00AF1690" w:rsidRPr="00537A59" w14:paraId="35ECCD74" w14:textId="77777777" w:rsidTr="009C405A">
        <w:trPr>
          <w:trHeight w:val="20"/>
        </w:trPr>
        <w:tc>
          <w:tcPr>
            <w:tcW w:w="2307" w:type="dxa"/>
            <w:shd w:val="clear" w:color="auto" w:fill="F2F2F2" w:themeFill="background1" w:themeFillShade="F2"/>
            <w:noWrap/>
            <w:vAlign w:val="center"/>
            <w:hideMark/>
          </w:tcPr>
          <w:p w14:paraId="20B2C769" w14:textId="77777777" w:rsidR="00AF1690" w:rsidRPr="00537A59" w:rsidRDefault="00AF1690" w:rsidP="00E84DD6">
            <w:pPr>
              <w:rPr>
                <w:rFonts w:eastAsia="Times New Roman" w:cstheme="minorHAnsi"/>
                <w:b/>
                <w:bCs/>
                <w:color w:val="000000" w:themeColor="text1"/>
                <w:sz w:val="18"/>
                <w:szCs w:val="18"/>
              </w:rPr>
            </w:pPr>
            <w:r>
              <w:rPr>
                <w:rFonts w:eastAsia="Times New Roman" w:cstheme="minorHAnsi"/>
                <w:b/>
                <w:bCs/>
                <w:color w:val="000000" w:themeColor="text1"/>
                <w:sz w:val="18"/>
                <w:szCs w:val="18"/>
              </w:rPr>
              <w:t>P</w:t>
            </w:r>
            <w:r w:rsidRPr="00537A59">
              <w:rPr>
                <w:rFonts w:eastAsia="Times New Roman" w:cstheme="minorHAnsi"/>
                <w:b/>
                <w:bCs/>
                <w:color w:val="000000" w:themeColor="text1"/>
                <w:sz w:val="18"/>
                <w:szCs w:val="18"/>
              </w:rPr>
              <w:t>lant</w:t>
            </w:r>
            <w:r>
              <w:rPr>
                <w:rFonts w:eastAsia="Times New Roman" w:cstheme="minorHAnsi"/>
                <w:b/>
                <w:bCs/>
                <w:color w:val="000000" w:themeColor="text1"/>
                <w:sz w:val="18"/>
                <w:szCs w:val="18"/>
              </w:rPr>
              <w:t xml:space="preserve"> proteins</w:t>
            </w:r>
          </w:p>
        </w:tc>
        <w:tc>
          <w:tcPr>
            <w:tcW w:w="1276" w:type="dxa"/>
            <w:shd w:val="clear" w:color="auto" w:fill="auto"/>
            <w:noWrap/>
            <w:vAlign w:val="center"/>
            <w:hideMark/>
          </w:tcPr>
          <w:p w14:paraId="0598C26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104</w:t>
            </w:r>
          </w:p>
        </w:tc>
        <w:tc>
          <w:tcPr>
            <w:tcW w:w="958" w:type="dxa"/>
            <w:shd w:val="clear" w:color="auto" w:fill="auto"/>
            <w:noWrap/>
            <w:vAlign w:val="center"/>
            <w:hideMark/>
          </w:tcPr>
          <w:p w14:paraId="506729FC"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992" w:type="dxa"/>
            <w:shd w:val="clear" w:color="auto" w:fill="auto"/>
            <w:noWrap/>
            <w:vAlign w:val="center"/>
            <w:hideMark/>
          </w:tcPr>
          <w:p w14:paraId="20C27B58"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64" w:type="dxa"/>
            <w:shd w:val="clear" w:color="auto" w:fill="auto"/>
            <w:noWrap/>
            <w:vAlign w:val="center"/>
            <w:hideMark/>
          </w:tcPr>
          <w:p w14:paraId="6002ADCB"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29" w:type="dxa"/>
            <w:shd w:val="clear" w:color="auto" w:fill="auto"/>
            <w:noWrap/>
            <w:vAlign w:val="center"/>
            <w:hideMark/>
          </w:tcPr>
          <w:p w14:paraId="61D221E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095" w:type="dxa"/>
            <w:shd w:val="clear" w:color="auto" w:fill="auto"/>
            <w:noWrap/>
            <w:vAlign w:val="center"/>
            <w:hideMark/>
          </w:tcPr>
          <w:p w14:paraId="556AAC7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786781D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7316F888" w14:textId="77777777" w:rsidTr="009C405A">
        <w:trPr>
          <w:trHeight w:val="20"/>
        </w:trPr>
        <w:tc>
          <w:tcPr>
            <w:tcW w:w="2307" w:type="dxa"/>
            <w:shd w:val="clear" w:color="auto" w:fill="F2F2F2" w:themeFill="background1" w:themeFillShade="F2"/>
            <w:noWrap/>
            <w:vAlign w:val="center"/>
            <w:hideMark/>
          </w:tcPr>
          <w:p w14:paraId="5892A565"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Vegetables - processed</w:t>
            </w:r>
          </w:p>
        </w:tc>
        <w:tc>
          <w:tcPr>
            <w:tcW w:w="1276" w:type="dxa"/>
            <w:shd w:val="clear" w:color="auto" w:fill="auto"/>
            <w:noWrap/>
            <w:vAlign w:val="center"/>
            <w:hideMark/>
          </w:tcPr>
          <w:p w14:paraId="0CDFEDC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299</w:t>
            </w:r>
          </w:p>
        </w:tc>
        <w:tc>
          <w:tcPr>
            <w:tcW w:w="958" w:type="dxa"/>
            <w:shd w:val="clear" w:color="auto" w:fill="FFF2CC" w:themeFill="accent4" w:themeFillTint="33"/>
            <w:noWrap/>
            <w:vAlign w:val="center"/>
            <w:hideMark/>
          </w:tcPr>
          <w:p w14:paraId="05B0EBB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52</w:t>
            </w:r>
          </w:p>
        </w:tc>
        <w:tc>
          <w:tcPr>
            <w:tcW w:w="992" w:type="dxa"/>
            <w:shd w:val="clear" w:color="auto" w:fill="FFF2CC" w:themeFill="accent4" w:themeFillTint="33"/>
            <w:noWrap/>
            <w:vAlign w:val="center"/>
            <w:hideMark/>
          </w:tcPr>
          <w:p w14:paraId="6F4EB253"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17%</w:t>
            </w:r>
          </w:p>
        </w:tc>
        <w:tc>
          <w:tcPr>
            <w:tcW w:w="1064" w:type="dxa"/>
            <w:shd w:val="clear" w:color="auto" w:fill="C6EFCE"/>
            <w:noWrap/>
            <w:vAlign w:val="center"/>
            <w:hideMark/>
          </w:tcPr>
          <w:p w14:paraId="391C0FDE"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42</w:t>
            </w:r>
          </w:p>
        </w:tc>
        <w:tc>
          <w:tcPr>
            <w:tcW w:w="1129" w:type="dxa"/>
            <w:shd w:val="clear" w:color="auto" w:fill="C6EFCE"/>
            <w:noWrap/>
            <w:vAlign w:val="center"/>
            <w:hideMark/>
          </w:tcPr>
          <w:p w14:paraId="049978EA"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14%</w:t>
            </w:r>
          </w:p>
        </w:tc>
        <w:tc>
          <w:tcPr>
            <w:tcW w:w="1095" w:type="dxa"/>
            <w:shd w:val="clear" w:color="auto" w:fill="FFC7CE"/>
            <w:noWrap/>
            <w:vAlign w:val="center"/>
            <w:hideMark/>
          </w:tcPr>
          <w:p w14:paraId="0EC0648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10</w:t>
            </w:r>
          </w:p>
        </w:tc>
        <w:tc>
          <w:tcPr>
            <w:tcW w:w="1102" w:type="dxa"/>
            <w:shd w:val="clear" w:color="auto" w:fill="FFC7CE"/>
            <w:noWrap/>
            <w:vAlign w:val="center"/>
            <w:hideMark/>
          </w:tcPr>
          <w:p w14:paraId="05DC64E2"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w:t>
            </w:r>
          </w:p>
        </w:tc>
      </w:tr>
      <w:tr w:rsidR="00AF1690" w:rsidRPr="00537A59" w14:paraId="34410F25" w14:textId="77777777" w:rsidTr="009C405A">
        <w:trPr>
          <w:trHeight w:val="20"/>
        </w:trPr>
        <w:tc>
          <w:tcPr>
            <w:tcW w:w="2307" w:type="dxa"/>
            <w:shd w:val="clear" w:color="auto" w:fill="F2F2F2" w:themeFill="background1" w:themeFillShade="F2"/>
            <w:noWrap/>
            <w:vAlign w:val="center"/>
            <w:hideMark/>
          </w:tcPr>
          <w:p w14:paraId="53496FB8" w14:textId="77777777" w:rsidR="00AF1690" w:rsidRPr="00537A59" w:rsidRDefault="00AF1690" w:rsidP="00E84DD6">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Vegetables - unprocessed</w:t>
            </w:r>
          </w:p>
        </w:tc>
        <w:tc>
          <w:tcPr>
            <w:tcW w:w="1276" w:type="dxa"/>
            <w:shd w:val="clear" w:color="auto" w:fill="auto"/>
            <w:noWrap/>
            <w:vAlign w:val="center"/>
            <w:hideMark/>
          </w:tcPr>
          <w:p w14:paraId="434FB87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62</w:t>
            </w:r>
          </w:p>
        </w:tc>
        <w:tc>
          <w:tcPr>
            <w:tcW w:w="958" w:type="dxa"/>
            <w:shd w:val="clear" w:color="auto" w:fill="FFF2CC" w:themeFill="accent4" w:themeFillTint="33"/>
            <w:noWrap/>
            <w:vAlign w:val="center"/>
            <w:hideMark/>
          </w:tcPr>
          <w:p w14:paraId="64657AA9"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w:t>
            </w:r>
          </w:p>
        </w:tc>
        <w:tc>
          <w:tcPr>
            <w:tcW w:w="992" w:type="dxa"/>
            <w:shd w:val="clear" w:color="auto" w:fill="FFF2CC" w:themeFill="accent4" w:themeFillTint="33"/>
            <w:noWrap/>
            <w:vAlign w:val="center"/>
            <w:hideMark/>
          </w:tcPr>
          <w:p w14:paraId="241F8AC6"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48%</w:t>
            </w:r>
          </w:p>
        </w:tc>
        <w:tc>
          <w:tcPr>
            <w:tcW w:w="1064" w:type="dxa"/>
            <w:shd w:val="clear" w:color="auto" w:fill="C6EFCE"/>
            <w:noWrap/>
            <w:vAlign w:val="center"/>
            <w:hideMark/>
          </w:tcPr>
          <w:p w14:paraId="691B9E8D"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30</w:t>
            </w:r>
          </w:p>
        </w:tc>
        <w:tc>
          <w:tcPr>
            <w:tcW w:w="1129" w:type="dxa"/>
            <w:shd w:val="clear" w:color="auto" w:fill="C6EFCE"/>
            <w:noWrap/>
            <w:vAlign w:val="center"/>
            <w:hideMark/>
          </w:tcPr>
          <w:p w14:paraId="639E7225"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48%</w:t>
            </w:r>
          </w:p>
        </w:tc>
        <w:tc>
          <w:tcPr>
            <w:tcW w:w="1095" w:type="dxa"/>
            <w:shd w:val="clear" w:color="auto" w:fill="auto"/>
            <w:noWrap/>
            <w:vAlign w:val="center"/>
            <w:hideMark/>
          </w:tcPr>
          <w:p w14:paraId="508DD6FF"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c>
          <w:tcPr>
            <w:tcW w:w="1102" w:type="dxa"/>
            <w:shd w:val="clear" w:color="auto" w:fill="auto"/>
            <w:noWrap/>
            <w:vAlign w:val="center"/>
            <w:hideMark/>
          </w:tcPr>
          <w:p w14:paraId="6C7DE181" w14:textId="77777777" w:rsidR="00AF1690" w:rsidRPr="00537A59" w:rsidRDefault="00AF1690" w:rsidP="00E84DD6">
            <w:pPr>
              <w:jc w:val="center"/>
              <w:rPr>
                <w:rFonts w:eastAsia="Times New Roman" w:cstheme="minorHAnsi"/>
                <w:color w:val="000000" w:themeColor="text1"/>
                <w:sz w:val="18"/>
                <w:szCs w:val="18"/>
              </w:rPr>
            </w:pPr>
            <w:r w:rsidRPr="00537A59">
              <w:rPr>
                <w:rFonts w:eastAsia="Times New Roman" w:cstheme="minorHAnsi"/>
                <w:color w:val="000000" w:themeColor="text1"/>
                <w:sz w:val="18"/>
                <w:szCs w:val="18"/>
              </w:rPr>
              <w:t>0%</w:t>
            </w:r>
          </w:p>
        </w:tc>
      </w:tr>
      <w:tr w:rsidR="00AF1690" w:rsidRPr="00537A59" w14:paraId="7A9D186F" w14:textId="77777777" w:rsidTr="009C405A">
        <w:trPr>
          <w:trHeight w:val="20"/>
        </w:trPr>
        <w:tc>
          <w:tcPr>
            <w:tcW w:w="2307" w:type="dxa"/>
            <w:shd w:val="clear" w:color="auto" w:fill="BFBFBF" w:themeFill="background1" w:themeFillShade="BF"/>
            <w:noWrap/>
            <w:vAlign w:val="center"/>
            <w:hideMark/>
          </w:tcPr>
          <w:p w14:paraId="3EEECCE4" w14:textId="41D74A97" w:rsidR="00AF1690" w:rsidRPr="00537A59" w:rsidRDefault="00AF1690" w:rsidP="003272AE">
            <w:pP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Total</w:t>
            </w:r>
          </w:p>
        </w:tc>
        <w:tc>
          <w:tcPr>
            <w:tcW w:w="1276" w:type="dxa"/>
            <w:shd w:val="clear" w:color="auto" w:fill="BFBFBF" w:themeFill="background1" w:themeFillShade="BF"/>
            <w:noWrap/>
            <w:vAlign w:val="center"/>
            <w:hideMark/>
          </w:tcPr>
          <w:p w14:paraId="6A37277C" w14:textId="4D3E4E89"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5</w:t>
            </w:r>
            <w:r w:rsidR="00F37134">
              <w:rPr>
                <w:rFonts w:eastAsia="Times New Roman" w:cstheme="minorHAnsi"/>
                <w:b/>
                <w:bCs/>
                <w:color w:val="000000" w:themeColor="text1"/>
                <w:sz w:val="18"/>
                <w:szCs w:val="18"/>
              </w:rPr>
              <w:t>,</w:t>
            </w:r>
            <w:r w:rsidRPr="00537A59">
              <w:rPr>
                <w:rFonts w:eastAsia="Times New Roman" w:cstheme="minorHAnsi"/>
                <w:b/>
                <w:bCs/>
                <w:color w:val="000000" w:themeColor="text1"/>
                <w:sz w:val="18"/>
                <w:szCs w:val="18"/>
              </w:rPr>
              <w:t>522</w:t>
            </w:r>
          </w:p>
        </w:tc>
        <w:tc>
          <w:tcPr>
            <w:tcW w:w="958" w:type="dxa"/>
            <w:shd w:val="clear" w:color="auto" w:fill="BFBFBF" w:themeFill="background1" w:themeFillShade="BF"/>
            <w:noWrap/>
            <w:vAlign w:val="center"/>
            <w:hideMark/>
          </w:tcPr>
          <w:p w14:paraId="60F2A606"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1235</w:t>
            </w:r>
          </w:p>
        </w:tc>
        <w:tc>
          <w:tcPr>
            <w:tcW w:w="992" w:type="dxa"/>
            <w:shd w:val="clear" w:color="auto" w:fill="BFBFBF" w:themeFill="background1" w:themeFillShade="BF"/>
            <w:noWrap/>
            <w:vAlign w:val="center"/>
            <w:hideMark/>
          </w:tcPr>
          <w:p w14:paraId="57D8162F"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22%</w:t>
            </w:r>
          </w:p>
        </w:tc>
        <w:tc>
          <w:tcPr>
            <w:tcW w:w="1064" w:type="dxa"/>
            <w:shd w:val="clear" w:color="auto" w:fill="BFBFBF" w:themeFill="background1" w:themeFillShade="BF"/>
            <w:noWrap/>
            <w:vAlign w:val="center"/>
            <w:hideMark/>
          </w:tcPr>
          <w:p w14:paraId="17D7F965"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788</w:t>
            </w:r>
          </w:p>
        </w:tc>
        <w:tc>
          <w:tcPr>
            <w:tcW w:w="1129" w:type="dxa"/>
            <w:shd w:val="clear" w:color="auto" w:fill="BFBFBF" w:themeFill="background1" w:themeFillShade="BF"/>
            <w:noWrap/>
            <w:vAlign w:val="center"/>
            <w:hideMark/>
          </w:tcPr>
          <w:p w14:paraId="538755E2"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14%</w:t>
            </w:r>
          </w:p>
        </w:tc>
        <w:tc>
          <w:tcPr>
            <w:tcW w:w="1095" w:type="dxa"/>
            <w:shd w:val="clear" w:color="auto" w:fill="BFBFBF" w:themeFill="background1" w:themeFillShade="BF"/>
            <w:noWrap/>
            <w:vAlign w:val="center"/>
            <w:hideMark/>
          </w:tcPr>
          <w:p w14:paraId="09F68FCE"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447</w:t>
            </w:r>
          </w:p>
        </w:tc>
        <w:tc>
          <w:tcPr>
            <w:tcW w:w="1102" w:type="dxa"/>
            <w:shd w:val="clear" w:color="auto" w:fill="BFBFBF" w:themeFill="background1" w:themeFillShade="BF"/>
            <w:noWrap/>
            <w:vAlign w:val="center"/>
            <w:hideMark/>
          </w:tcPr>
          <w:p w14:paraId="52F77700" w14:textId="77777777" w:rsidR="00AF1690" w:rsidRPr="00537A59" w:rsidRDefault="00AF1690" w:rsidP="00E84DD6">
            <w:pPr>
              <w:jc w:val="center"/>
              <w:rPr>
                <w:rFonts w:eastAsia="Times New Roman" w:cstheme="minorHAnsi"/>
                <w:b/>
                <w:bCs/>
                <w:color w:val="000000" w:themeColor="text1"/>
                <w:sz w:val="18"/>
                <w:szCs w:val="18"/>
              </w:rPr>
            </w:pPr>
            <w:r w:rsidRPr="00537A59">
              <w:rPr>
                <w:rFonts w:eastAsia="Times New Roman" w:cstheme="minorHAnsi"/>
                <w:b/>
                <w:bCs/>
                <w:color w:val="000000" w:themeColor="text1"/>
                <w:sz w:val="18"/>
                <w:szCs w:val="18"/>
              </w:rPr>
              <w:t>8%</w:t>
            </w:r>
          </w:p>
        </w:tc>
      </w:tr>
    </w:tbl>
    <w:p w14:paraId="77BF4791" w14:textId="77777777" w:rsidR="00AF1690" w:rsidRPr="003272AE" w:rsidRDefault="00AF1690" w:rsidP="00AF1690">
      <w:pPr>
        <w:pStyle w:val="mpcNormal"/>
        <w:rPr>
          <w:sz w:val="8"/>
          <w:szCs w:val="8"/>
        </w:rPr>
      </w:pPr>
    </w:p>
    <w:p w14:paraId="41C66BE2" w14:textId="77777777" w:rsidR="003272AE" w:rsidRPr="003272AE" w:rsidRDefault="003272AE" w:rsidP="00AF1690">
      <w:pPr>
        <w:pStyle w:val="mpcNormal"/>
        <w:rPr>
          <w:sz w:val="15"/>
          <w:szCs w:val="15"/>
        </w:rPr>
      </w:pPr>
    </w:p>
    <w:p w14:paraId="00297F97" w14:textId="7F6E33CE" w:rsidR="00AF1690" w:rsidRDefault="00AF1690" w:rsidP="00AF1690">
      <w:pPr>
        <w:pStyle w:val="mpcNormal"/>
      </w:pPr>
      <w:r w:rsidRPr="003272AE">
        <w:br w:type="column"/>
      </w:r>
    </w:p>
    <w:p w14:paraId="53106559" w14:textId="125CF1A2" w:rsidR="00AF1690" w:rsidRDefault="00AF1690" w:rsidP="00AF1690">
      <w:pPr>
        <w:pStyle w:val="mpcheading2"/>
        <w:spacing w:after="0"/>
      </w:pPr>
      <w:bookmarkStart w:id="200" w:name="_Toc9955094"/>
      <w:r>
        <w:t>Modelling undertaken using the Nutri</w:t>
      </w:r>
      <w:r w:rsidR="00F37134">
        <w:t>t</w:t>
      </w:r>
      <w:r>
        <w:t>rack database</w:t>
      </w:r>
      <w:bookmarkEnd w:id="200"/>
    </w:p>
    <w:p w14:paraId="370CE897" w14:textId="77777777" w:rsidR="00AF1690" w:rsidRDefault="00AF1690" w:rsidP="00AF1690">
      <w:pPr>
        <w:pStyle w:val="mpcNormal"/>
      </w:pPr>
    </w:p>
    <w:tbl>
      <w:tblPr>
        <w:tblW w:w="978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Nutritrack database"/>
        <w:tblDescription w:val="This table shows the modelling of System enhancements in the Nutritrack&#10; database."/>
      </w:tblPr>
      <w:tblGrid>
        <w:gridCol w:w="2127"/>
        <w:gridCol w:w="1134"/>
        <w:gridCol w:w="993"/>
        <w:gridCol w:w="992"/>
        <w:gridCol w:w="1134"/>
        <w:gridCol w:w="1134"/>
        <w:gridCol w:w="1134"/>
        <w:gridCol w:w="1134"/>
      </w:tblGrid>
      <w:tr w:rsidR="00AF1690" w:rsidRPr="0062047B" w14:paraId="32ADB348" w14:textId="77777777" w:rsidTr="009C405A">
        <w:trPr>
          <w:trHeight w:val="980"/>
          <w:tblHeader/>
        </w:trPr>
        <w:tc>
          <w:tcPr>
            <w:tcW w:w="2127" w:type="dxa"/>
            <w:shd w:val="clear" w:color="auto" w:fill="516A8E"/>
            <w:vAlign w:val="center"/>
            <w:hideMark/>
          </w:tcPr>
          <w:p w14:paraId="0543C83E" w14:textId="77777777" w:rsidR="00AF1690" w:rsidRPr="0062047B" w:rsidRDefault="00AF1690" w:rsidP="00E84DD6">
            <w:pP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Food category</w:t>
            </w:r>
          </w:p>
        </w:tc>
        <w:tc>
          <w:tcPr>
            <w:tcW w:w="1134" w:type="dxa"/>
            <w:shd w:val="clear" w:color="auto" w:fill="516A8E"/>
            <w:vAlign w:val="center"/>
            <w:hideMark/>
          </w:tcPr>
          <w:p w14:paraId="1465AEC5" w14:textId="31062223"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 xml:space="preserve">Total no. </w:t>
            </w:r>
            <w:r w:rsidR="009C405A">
              <w:rPr>
                <w:rFonts w:eastAsia="Times New Roman" w:cstheme="minorHAnsi"/>
                <w:b/>
                <w:bCs/>
                <w:color w:val="FFFFFF" w:themeColor="background1"/>
                <w:sz w:val="18"/>
                <w:szCs w:val="18"/>
              </w:rPr>
              <w:t xml:space="preserve">food </w:t>
            </w:r>
            <w:r w:rsidRPr="0062047B">
              <w:rPr>
                <w:rFonts w:eastAsia="Times New Roman" w:cstheme="minorHAnsi"/>
                <w:b/>
                <w:bCs/>
                <w:color w:val="FFFFFF" w:themeColor="background1"/>
                <w:sz w:val="18"/>
                <w:szCs w:val="18"/>
              </w:rPr>
              <w:t>products in Nutri</w:t>
            </w:r>
            <w:r w:rsidR="00F37134">
              <w:rPr>
                <w:rFonts w:eastAsia="Times New Roman" w:cstheme="minorHAnsi"/>
                <w:b/>
                <w:bCs/>
                <w:color w:val="FFFFFF" w:themeColor="background1"/>
                <w:sz w:val="18"/>
                <w:szCs w:val="18"/>
              </w:rPr>
              <w:t>t</w:t>
            </w:r>
            <w:r w:rsidRPr="0062047B">
              <w:rPr>
                <w:rFonts w:eastAsia="Times New Roman" w:cstheme="minorHAnsi"/>
                <w:b/>
                <w:bCs/>
                <w:color w:val="FFFFFF" w:themeColor="background1"/>
                <w:sz w:val="18"/>
                <w:szCs w:val="18"/>
              </w:rPr>
              <w:t>rack database</w:t>
            </w:r>
          </w:p>
        </w:tc>
        <w:tc>
          <w:tcPr>
            <w:tcW w:w="993" w:type="dxa"/>
            <w:shd w:val="clear" w:color="auto" w:fill="516A8E"/>
            <w:vAlign w:val="center"/>
            <w:hideMark/>
          </w:tcPr>
          <w:p w14:paraId="1BEE708B"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Total no. products impacted</w:t>
            </w:r>
          </w:p>
        </w:tc>
        <w:tc>
          <w:tcPr>
            <w:tcW w:w="992" w:type="dxa"/>
            <w:shd w:val="clear" w:color="auto" w:fill="516A8E"/>
            <w:vAlign w:val="center"/>
            <w:hideMark/>
          </w:tcPr>
          <w:p w14:paraId="25604815"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 xml:space="preserve">Total </w:t>
            </w:r>
            <w:r w:rsidRPr="00537A59">
              <w:rPr>
                <w:rFonts w:eastAsia="Times New Roman" w:cstheme="minorHAnsi"/>
                <w:b/>
                <w:bCs/>
                <w:color w:val="FFFFFF" w:themeColor="background1"/>
                <w:sz w:val="18"/>
                <w:szCs w:val="18"/>
              </w:rPr>
              <w:t>%</w:t>
            </w:r>
            <w:r w:rsidRPr="0062047B">
              <w:rPr>
                <w:rFonts w:eastAsia="Times New Roman" w:cstheme="minorHAnsi"/>
                <w:b/>
                <w:bCs/>
                <w:color w:val="FFFFFF" w:themeColor="background1"/>
                <w:sz w:val="18"/>
                <w:szCs w:val="18"/>
              </w:rPr>
              <w:t xml:space="preserve"> products impacted</w:t>
            </w:r>
          </w:p>
        </w:tc>
        <w:tc>
          <w:tcPr>
            <w:tcW w:w="1134" w:type="dxa"/>
            <w:shd w:val="clear" w:color="auto" w:fill="516A8E"/>
            <w:vAlign w:val="center"/>
            <w:hideMark/>
          </w:tcPr>
          <w:p w14:paraId="79BA2152"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No. products in category with HSR increasing</w:t>
            </w:r>
          </w:p>
        </w:tc>
        <w:tc>
          <w:tcPr>
            <w:tcW w:w="1134" w:type="dxa"/>
            <w:shd w:val="clear" w:color="auto" w:fill="516A8E"/>
            <w:vAlign w:val="center"/>
            <w:hideMark/>
          </w:tcPr>
          <w:p w14:paraId="749D42DE"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 products in category with HSR increasing</w:t>
            </w:r>
          </w:p>
        </w:tc>
        <w:tc>
          <w:tcPr>
            <w:tcW w:w="1134" w:type="dxa"/>
            <w:shd w:val="clear" w:color="auto" w:fill="516A8E"/>
            <w:vAlign w:val="center"/>
            <w:hideMark/>
          </w:tcPr>
          <w:p w14:paraId="501B370F"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No. products in category with HSR decreasing</w:t>
            </w:r>
          </w:p>
        </w:tc>
        <w:tc>
          <w:tcPr>
            <w:tcW w:w="1134" w:type="dxa"/>
            <w:shd w:val="clear" w:color="auto" w:fill="516A8E"/>
            <w:vAlign w:val="center"/>
            <w:hideMark/>
          </w:tcPr>
          <w:p w14:paraId="3F1C1064" w14:textId="77777777" w:rsidR="00AF1690" w:rsidRPr="0062047B" w:rsidRDefault="00AF1690" w:rsidP="00E84DD6">
            <w:pPr>
              <w:jc w:val="center"/>
              <w:rPr>
                <w:rFonts w:eastAsia="Times New Roman" w:cstheme="minorHAnsi"/>
                <w:b/>
                <w:bCs/>
                <w:color w:val="FFFFFF" w:themeColor="background1"/>
                <w:sz w:val="18"/>
                <w:szCs w:val="18"/>
              </w:rPr>
            </w:pPr>
            <w:r w:rsidRPr="0062047B">
              <w:rPr>
                <w:rFonts w:eastAsia="Times New Roman" w:cstheme="minorHAnsi"/>
                <w:b/>
                <w:bCs/>
                <w:color w:val="FFFFFF" w:themeColor="background1"/>
                <w:sz w:val="18"/>
                <w:szCs w:val="18"/>
              </w:rPr>
              <w:t>% products in category with HSR decreasing</w:t>
            </w:r>
          </w:p>
        </w:tc>
      </w:tr>
      <w:tr w:rsidR="00AF1690" w:rsidRPr="0062047B" w14:paraId="61EEA6BD" w14:textId="77777777" w:rsidTr="007F1B7D">
        <w:trPr>
          <w:trHeight w:val="20"/>
        </w:trPr>
        <w:tc>
          <w:tcPr>
            <w:tcW w:w="2127" w:type="dxa"/>
            <w:shd w:val="clear" w:color="auto" w:fill="F2F2F2" w:themeFill="background1" w:themeFillShade="F2"/>
            <w:noWrap/>
            <w:vAlign w:val="center"/>
            <w:hideMark/>
          </w:tcPr>
          <w:p w14:paraId="4CC39AA9"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Biscuits</w:t>
            </w:r>
          </w:p>
        </w:tc>
        <w:tc>
          <w:tcPr>
            <w:tcW w:w="1134" w:type="dxa"/>
            <w:shd w:val="clear" w:color="auto" w:fill="auto"/>
            <w:noWrap/>
            <w:vAlign w:val="center"/>
            <w:hideMark/>
          </w:tcPr>
          <w:p w14:paraId="0711268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772</w:t>
            </w:r>
          </w:p>
        </w:tc>
        <w:tc>
          <w:tcPr>
            <w:tcW w:w="993" w:type="dxa"/>
            <w:shd w:val="clear" w:color="auto" w:fill="FFF2CC" w:themeFill="accent4" w:themeFillTint="33"/>
            <w:noWrap/>
            <w:vAlign w:val="center"/>
            <w:hideMark/>
          </w:tcPr>
          <w:p w14:paraId="37FEE5E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68</w:t>
            </w:r>
          </w:p>
        </w:tc>
        <w:tc>
          <w:tcPr>
            <w:tcW w:w="992" w:type="dxa"/>
            <w:shd w:val="clear" w:color="auto" w:fill="FFF2CC" w:themeFill="accent4" w:themeFillTint="33"/>
            <w:noWrap/>
            <w:vAlign w:val="center"/>
            <w:hideMark/>
          </w:tcPr>
          <w:p w14:paraId="48C77E6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8.8</w:t>
            </w:r>
            <w:r>
              <w:rPr>
                <w:rFonts w:eastAsia="Times New Roman" w:cstheme="minorHAnsi"/>
                <w:color w:val="000000" w:themeColor="text1"/>
                <w:sz w:val="18"/>
                <w:szCs w:val="18"/>
              </w:rPr>
              <w:t>%</w:t>
            </w:r>
          </w:p>
        </w:tc>
        <w:tc>
          <w:tcPr>
            <w:tcW w:w="1134" w:type="dxa"/>
            <w:shd w:val="clear" w:color="auto" w:fill="auto"/>
            <w:noWrap/>
            <w:vAlign w:val="center"/>
            <w:hideMark/>
          </w:tcPr>
          <w:p w14:paraId="28481B7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71518D79"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60AD497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68</w:t>
            </w:r>
          </w:p>
        </w:tc>
        <w:tc>
          <w:tcPr>
            <w:tcW w:w="1134" w:type="dxa"/>
            <w:shd w:val="clear" w:color="000000" w:fill="FFC7CE"/>
            <w:noWrap/>
            <w:vAlign w:val="center"/>
            <w:hideMark/>
          </w:tcPr>
          <w:p w14:paraId="72E8A42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8.8</w:t>
            </w:r>
            <w:r>
              <w:rPr>
                <w:rFonts w:eastAsia="Times New Roman" w:cstheme="minorHAnsi"/>
                <w:color w:val="000000" w:themeColor="text1"/>
                <w:sz w:val="18"/>
                <w:szCs w:val="18"/>
              </w:rPr>
              <w:t>%</w:t>
            </w:r>
          </w:p>
        </w:tc>
      </w:tr>
      <w:tr w:rsidR="00AF1690" w:rsidRPr="0062047B" w14:paraId="74C7A900" w14:textId="77777777" w:rsidTr="007F1B7D">
        <w:trPr>
          <w:trHeight w:val="20"/>
        </w:trPr>
        <w:tc>
          <w:tcPr>
            <w:tcW w:w="2127" w:type="dxa"/>
            <w:shd w:val="clear" w:color="auto" w:fill="F2F2F2" w:themeFill="background1" w:themeFillShade="F2"/>
            <w:noWrap/>
            <w:vAlign w:val="center"/>
            <w:hideMark/>
          </w:tcPr>
          <w:p w14:paraId="1B7F8597"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Bread</w:t>
            </w:r>
          </w:p>
        </w:tc>
        <w:tc>
          <w:tcPr>
            <w:tcW w:w="1134" w:type="dxa"/>
            <w:shd w:val="clear" w:color="auto" w:fill="auto"/>
            <w:noWrap/>
            <w:vAlign w:val="center"/>
            <w:hideMark/>
          </w:tcPr>
          <w:p w14:paraId="0634BF0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477</w:t>
            </w:r>
          </w:p>
        </w:tc>
        <w:tc>
          <w:tcPr>
            <w:tcW w:w="993" w:type="dxa"/>
            <w:shd w:val="clear" w:color="auto" w:fill="FFF2CC" w:themeFill="accent4" w:themeFillTint="33"/>
            <w:noWrap/>
            <w:vAlign w:val="center"/>
            <w:hideMark/>
          </w:tcPr>
          <w:p w14:paraId="3091733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w:t>
            </w:r>
          </w:p>
        </w:tc>
        <w:tc>
          <w:tcPr>
            <w:tcW w:w="992" w:type="dxa"/>
            <w:shd w:val="clear" w:color="auto" w:fill="FFF2CC" w:themeFill="accent4" w:themeFillTint="33"/>
            <w:noWrap/>
            <w:vAlign w:val="center"/>
            <w:hideMark/>
          </w:tcPr>
          <w:p w14:paraId="56FCFE1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2.5</w:t>
            </w:r>
            <w:r>
              <w:rPr>
                <w:rFonts w:eastAsia="Times New Roman" w:cstheme="minorHAnsi"/>
                <w:color w:val="000000" w:themeColor="text1"/>
                <w:sz w:val="18"/>
                <w:szCs w:val="18"/>
              </w:rPr>
              <w:t>%</w:t>
            </w:r>
          </w:p>
        </w:tc>
        <w:tc>
          <w:tcPr>
            <w:tcW w:w="1134" w:type="dxa"/>
            <w:shd w:val="clear" w:color="auto" w:fill="auto"/>
            <w:noWrap/>
            <w:vAlign w:val="center"/>
            <w:hideMark/>
          </w:tcPr>
          <w:p w14:paraId="42AD53C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0E750BA9"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3B4D159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w:t>
            </w:r>
          </w:p>
        </w:tc>
        <w:tc>
          <w:tcPr>
            <w:tcW w:w="1134" w:type="dxa"/>
            <w:shd w:val="clear" w:color="000000" w:fill="FFC7CE"/>
            <w:noWrap/>
            <w:vAlign w:val="center"/>
            <w:hideMark/>
          </w:tcPr>
          <w:p w14:paraId="1742B28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2.5</w:t>
            </w:r>
            <w:r>
              <w:rPr>
                <w:rFonts w:eastAsia="Times New Roman" w:cstheme="minorHAnsi"/>
                <w:color w:val="000000" w:themeColor="text1"/>
                <w:sz w:val="18"/>
                <w:szCs w:val="18"/>
              </w:rPr>
              <w:t>%</w:t>
            </w:r>
          </w:p>
        </w:tc>
      </w:tr>
      <w:tr w:rsidR="00AF1690" w:rsidRPr="0062047B" w14:paraId="2B9CD80E" w14:textId="77777777" w:rsidTr="007F1B7D">
        <w:trPr>
          <w:trHeight w:val="20"/>
        </w:trPr>
        <w:tc>
          <w:tcPr>
            <w:tcW w:w="2127" w:type="dxa"/>
            <w:shd w:val="clear" w:color="auto" w:fill="F2F2F2" w:themeFill="background1" w:themeFillShade="F2"/>
            <w:noWrap/>
            <w:vAlign w:val="center"/>
            <w:hideMark/>
          </w:tcPr>
          <w:p w14:paraId="2AAB5B8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Cakes, muffins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pastries</w:t>
            </w:r>
          </w:p>
        </w:tc>
        <w:tc>
          <w:tcPr>
            <w:tcW w:w="1134" w:type="dxa"/>
            <w:shd w:val="clear" w:color="auto" w:fill="auto"/>
            <w:noWrap/>
            <w:vAlign w:val="center"/>
            <w:hideMark/>
          </w:tcPr>
          <w:p w14:paraId="0AE37E6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435</w:t>
            </w:r>
          </w:p>
        </w:tc>
        <w:tc>
          <w:tcPr>
            <w:tcW w:w="993" w:type="dxa"/>
            <w:shd w:val="clear" w:color="auto" w:fill="FFF2CC" w:themeFill="accent4" w:themeFillTint="33"/>
            <w:noWrap/>
            <w:vAlign w:val="center"/>
            <w:hideMark/>
          </w:tcPr>
          <w:p w14:paraId="5474CA8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65</w:t>
            </w:r>
          </w:p>
        </w:tc>
        <w:tc>
          <w:tcPr>
            <w:tcW w:w="992" w:type="dxa"/>
            <w:shd w:val="clear" w:color="auto" w:fill="FFF2CC" w:themeFill="accent4" w:themeFillTint="33"/>
            <w:noWrap/>
            <w:vAlign w:val="center"/>
            <w:hideMark/>
          </w:tcPr>
          <w:p w14:paraId="1F8B3F3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14.9</w:t>
            </w:r>
            <w:r>
              <w:rPr>
                <w:rFonts w:eastAsia="Times New Roman" w:cstheme="minorHAnsi"/>
                <w:color w:val="000000" w:themeColor="text1"/>
                <w:sz w:val="18"/>
                <w:szCs w:val="18"/>
              </w:rPr>
              <w:t>%</w:t>
            </w:r>
          </w:p>
        </w:tc>
        <w:tc>
          <w:tcPr>
            <w:tcW w:w="1134" w:type="dxa"/>
            <w:shd w:val="clear" w:color="auto" w:fill="auto"/>
            <w:noWrap/>
            <w:vAlign w:val="center"/>
            <w:hideMark/>
          </w:tcPr>
          <w:p w14:paraId="3C05F3F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4B6CCDF4"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2825DC3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65</w:t>
            </w:r>
          </w:p>
        </w:tc>
        <w:tc>
          <w:tcPr>
            <w:tcW w:w="1134" w:type="dxa"/>
            <w:shd w:val="clear" w:color="000000" w:fill="FFC7CE"/>
            <w:noWrap/>
            <w:vAlign w:val="center"/>
            <w:hideMark/>
          </w:tcPr>
          <w:p w14:paraId="4F7DE3E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14.9</w:t>
            </w:r>
            <w:r>
              <w:rPr>
                <w:rFonts w:eastAsia="Times New Roman" w:cstheme="minorHAnsi"/>
                <w:color w:val="000000" w:themeColor="text1"/>
                <w:sz w:val="18"/>
                <w:szCs w:val="18"/>
              </w:rPr>
              <w:t>%</w:t>
            </w:r>
          </w:p>
        </w:tc>
      </w:tr>
      <w:tr w:rsidR="00AF1690" w:rsidRPr="0062047B" w14:paraId="3F7D65A2" w14:textId="77777777" w:rsidTr="007F1B7D">
        <w:trPr>
          <w:trHeight w:val="20"/>
        </w:trPr>
        <w:tc>
          <w:tcPr>
            <w:tcW w:w="2127" w:type="dxa"/>
            <w:shd w:val="clear" w:color="auto" w:fill="F2F2F2" w:themeFill="background1" w:themeFillShade="F2"/>
            <w:noWrap/>
            <w:vAlign w:val="center"/>
            <w:hideMark/>
          </w:tcPr>
          <w:p w14:paraId="3B196156"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Breakfast cereals</w:t>
            </w:r>
          </w:p>
        </w:tc>
        <w:tc>
          <w:tcPr>
            <w:tcW w:w="1134" w:type="dxa"/>
            <w:shd w:val="clear" w:color="auto" w:fill="auto"/>
            <w:noWrap/>
            <w:vAlign w:val="center"/>
            <w:hideMark/>
          </w:tcPr>
          <w:p w14:paraId="57B7E85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389</w:t>
            </w:r>
          </w:p>
        </w:tc>
        <w:tc>
          <w:tcPr>
            <w:tcW w:w="993" w:type="dxa"/>
            <w:shd w:val="clear" w:color="auto" w:fill="FFF2CC" w:themeFill="accent4" w:themeFillTint="33"/>
            <w:noWrap/>
            <w:vAlign w:val="center"/>
            <w:hideMark/>
          </w:tcPr>
          <w:p w14:paraId="455887F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w:t>
            </w:r>
          </w:p>
        </w:tc>
        <w:tc>
          <w:tcPr>
            <w:tcW w:w="992" w:type="dxa"/>
            <w:shd w:val="clear" w:color="auto" w:fill="FFF2CC" w:themeFill="accent4" w:themeFillTint="33"/>
            <w:noWrap/>
            <w:vAlign w:val="center"/>
            <w:hideMark/>
          </w:tcPr>
          <w:p w14:paraId="7064604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12.1</w:t>
            </w:r>
            <w:r>
              <w:rPr>
                <w:rFonts w:eastAsia="Times New Roman" w:cstheme="minorHAnsi"/>
                <w:color w:val="000000" w:themeColor="text1"/>
                <w:sz w:val="18"/>
                <w:szCs w:val="18"/>
              </w:rPr>
              <w:t>%</w:t>
            </w:r>
          </w:p>
        </w:tc>
        <w:tc>
          <w:tcPr>
            <w:tcW w:w="1134" w:type="dxa"/>
            <w:shd w:val="clear" w:color="auto" w:fill="auto"/>
            <w:noWrap/>
            <w:vAlign w:val="center"/>
            <w:hideMark/>
          </w:tcPr>
          <w:p w14:paraId="55CE45F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55E8A77"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76F2D57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w:t>
            </w:r>
          </w:p>
        </w:tc>
        <w:tc>
          <w:tcPr>
            <w:tcW w:w="1134" w:type="dxa"/>
            <w:shd w:val="clear" w:color="000000" w:fill="FFC7CE"/>
            <w:noWrap/>
            <w:vAlign w:val="center"/>
            <w:hideMark/>
          </w:tcPr>
          <w:p w14:paraId="5CF5099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12.1</w:t>
            </w:r>
            <w:r>
              <w:rPr>
                <w:rFonts w:eastAsia="Times New Roman" w:cstheme="minorHAnsi"/>
                <w:color w:val="000000" w:themeColor="text1"/>
                <w:sz w:val="18"/>
                <w:szCs w:val="18"/>
              </w:rPr>
              <w:t>%</w:t>
            </w:r>
          </w:p>
        </w:tc>
      </w:tr>
      <w:tr w:rsidR="00AF1690" w:rsidRPr="0062047B" w14:paraId="1E768B26" w14:textId="77777777" w:rsidTr="007F1B7D">
        <w:trPr>
          <w:trHeight w:val="20"/>
        </w:trPr>
        <w:tc>
          <w:tcPr>
            <w:tcW w:w="2127" w:type="dxa"/>
            <w:shd w:val="clear" w:color="auto" w:fill="F2F2F2" w:themeFill="background1" w:themeFillShade="F2"/>
            <w:noWrap/>
            <w:vAlign w:val="center"/>
            <w:hideMark/>
          </w:tcPr>
          <w:p w14:paraId="48B0BCC9"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Cereal</w:t>
            </w:r>
            <w:r>
              <w:rPr>
                <w:rFonts w:eastAsia="Times New Roman" w:cstheme="minorHAnsi"/>
                <w:b/>
                <w:bCs/>
                <w:color w:val="000000"/>
                <w:sz w:val="18"/>
                <w:szCs w:val="18"/>
              </w:rPr>
              <w:t>/</w:t>
            </w:r>
            <w:r w:rsidRPr="0062047B">
              <w:rPr>
                <w:rFonts w:eastAsia="Times New Roman" w:cstheme="minorHAnsi"/>
                <w:b/>
                <w:bCs/>
                <w:color w:val="000000"/>
                <w:sz w:val="18"/>
                <w:szCs w:val="18"/>
              </w:rPr>
              <w:t>nut-based bars</w:t>
            </w:r>
          </w:p>
        </w:tc>
        <w:tc>
          <w:tcPr>
            <w:tcW w:w="1134" w:type="dxa"/>
            <w:shd w:val="clear" w:color="auto" w:fill="auto"/>
            <w:noWrap/>
            <w:vAlign w:val="center"/>
            <w:hideMark/>
          </w:tcPr>
          <w:p w14:paraId="3F47490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244</w:t>
            </w:r>
          </w:p>
        </w:tc>
        <w:tc>
          <w:tcPr>
            <w:tcW w:w="993" w:type="dxa"/>
            <w:shd w:val="clear" w:color="auto" w:fill="FFF2CC" w:themeFill="accent4" w:themeFillTint="33"/>
            <w:noWrap/>
            <w:vAlign w:val="center"/>
            <w:hideMark/>
          </w:tcPr>
          <w:p w14:paraId="2CCA765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51</w:t>
            </w:r>
          </w:p>
        </w:tc>
        <w:tc>
          <w:tcPr>
            <w:tcW w:w="992" w:type="dxa"/>
            <w:shd w:val="clear" w:color="auto" w:fill="FFF2CC" w:themeFill="accent4" w:themeFillTint="33"/>
            <w:noWrap/>
            <w:vAlign w:val="center"/>
            <w:hideMark/>
          </w:tcPr>
          <w:p w14:paraId="6E2B337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20.9</w:t>
            </w:r>
            <w:r>
              <w:rPr>
                <w:rFonts w:eastAsia="Times New Roman" w:cstheme="minorHAnsi"/>
                <w:color w:val="000000" w:themeColor="text1"/>
                <w:sz w:val="18"/>
                <w:szCs w:val="18"/>
              </w:rPr>
              <w:t>%</w:t>
            </w:r>
          </w:p>
        </w:tc>
        <w:tc>
          <w:tcPr>
            <w:tcW w:w="1134" w:type="dxa"/>
            <w:shd w:val="clear" w:color="auto" w:fill="auto"/>
            <w:noWrap/>
            <w:vAlign w:val="center"/>
            <w:hideMark/>
          </w:tcPr>
          <w:p w14:paraId="0A62FF4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12E726F9"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auto" w:fill="FFC7CE"/>
            <w:noWrap/>
            <w:vAlign w:val="center"/>
            <w:hideMark/>
          </w:tcPr>
          <w:p w14:paraId="48CEE77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51</w:t>
            </w:r>
          </w:p>
        </w:tc>
        <w:tc>
          <w:tcPr>
            <w:tcW w:w="1134" w:type="dxa"/>
            <w:shd w:val="clear" w:color="000000" w:fill="FFC7CE"/>
            <w:noWrap/>
            <w:vAlign w:val="center"/>
            <w:hideMark/>
          </w:tcPr>
          <w:p w14:paraId="44918A6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20.9</w:t>
            </w:r>
            <w:r>
              <w:rPr>
                <w:rFonts w:eastAsia="Times New Roman" w:cstheme="minorHAnsi"/>
                <w:color w:val="000000" w:themeColor="text1"/>
                <w:sz w:val="18"/>
                <w:szCs w:val="18"/>
              </w:rPr>
              <w:t>%</w:t>
            </w:r>
          </w:p>
        </w:tc>
      </w:tr>
      <w:tr w:rsidR="00AF1690" w:rsidRPr="0062047B" w14:paraId="406BC1D2" w14:textId="77777777" w:rsidTr="007F1B7D">
        <w:trPr>
          <w:trHeight w:val="20"/>
        </w:trPr>
        <w:tc>
          <w:tcPr>
            <w:tcW w:w="2127" w:type="dxa"/>
            <w:shd w:val="clear" w:color="auto" w:fill="F2F2F2" w:themeFill="background1" w:themeFillShade="F2"/>
            <w:noWrap/>
            <w:vAlign w:val="center"/>
            <w:hideMark/>
          </w:tcPr>
          <w:p w14:paraId="44C4F776"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Other cereal</w:t>
            </w:r>
            <w:r>
              <w:rPr>
                <w:rFonts w:eastAsia="Times New Roman" w:cstheme="minorHAnsi"/>
                <w:b/>
                <w:bCs/>
                <w:color w:val="000000"/>
                <w:sz w:val="18"/>
                <w:szCs w:val="18"/>
              </w:rPr>
              <w:t>/</w:t>
            </w:r>
            <w:r w:rsidRPr="0062047B">
              <w:rPr>
                <w:rFonts w:eastAsia="Times New Roman" w:cstheme="minorHAnsi"/>
                <w:b/>
                <w:bCs/>
                <w:color w:val="000000"/>
                <w:sz w:val="18"/>
                <w:szCs w:val="18"/>
              </w:rPr>
              <w:t>grains</w:t>
            </w:r>
          </w:p>
        </w:tc>
        <w:tc>
          <w:tcPr>
            <w:tcW w:w="1134" w:type="dxa"/>
            <w:shd w:val="clear" w:color="auto" w:fill="auto"/>
            <w:noWrap/>
            <w:vAlign w:val="center"/>
            <w:hideMark/>
          </w:tcPr>
          <w:p w14:paraId="53564EB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839</w:t>
            </w:r>
          </w:p>
        </w:tc>
        <w:tc>
          <w:tcPr>
            <w:tcW w:w="993" w:type="dxa"/>
            <w:shd w:val="clear" w:color="auto" w:fill="FFF2CC" w:themeFill="accent4" w:themeFillTint="33"/>
            <w:noWrap/>
            <w:vAlign w:val="center"/>
            <w:hideMark/>
          </w:tcPr>
          <w:p w14:paraId="3116D56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19</w:t>
            </w:r>
          </w:p>
        </w:tc>
        <w:tc>
          <w:tcPr>
            <w:tcW w:w="992" w:type="dxa"/>
            <w:shd w:val="clear" w:color="auto" w:fill="FFF2CC" w:themeFill="accent4" w:themeFillTint="33"/>
            <w:noWrap/>
            <w:vAlign w:val="center"/>
            <w:hideMark/>
          </w:tcPr>
          <w:p w14:paraId="540624E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r>
              <w:rPr>
                <w:rFonts w:eastAsia="Times New Roman" w:cstheme="minorHAnsi"/>
                <w:color w:val="000000" w:themeColor="text1"/>
                <w:sz w:val="18"/>
                <w:szCs w:val="18"/>
              </w:rPr>
              <w:t>%</w:t>
            </w:r>
          </w:p>
        </w:tc>
        <w:tc>
          <w:tcPr>
            <w:tcW w:w="1134" w:type="dxa"/>
            <w:shd w:val="clear" w:color="auto" w:fill="auto"/>
            <w:noWrap/>
            <w:vAlign w:val="center"/>
            <w:hideMark/>
          </w:tcPr>
          <w:p w14:paraId="0AC303F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767B13B5"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6AAFFAD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19</w:t>
            </w:r>
          </w:p>
        </w:tc>
        <w:tc>
          <w:tcPr>
            <w:tcW w:w="1134" w:type="dxa"/>
            <w:shd w:val="clear" w:color="000000" w:fill="FFC7CE"/>
            <w:noWrap/>
            <w:vAlign w:val="center"/>
            <w:hideMark/>
          </w:tcPr>
          <w:p w14:paraId="7C360BB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r>
              <w:rPr>
                <w:rFonts w:eastAsia="Times New Roman" w:cstheme="minorHAnsi"/>
                <w:color w:val="000000" w:themeColor="text1"/>
                <w:sz w:val="18"/>
                <w:szCs w:val="18"/>
              </w:rPr>
              <w:t>%</w:t>
            </w:r>
          </w:p>
        </w:tc>
      </w:tr>
      <w:tr w:rsidR="00AF1690" w:rsidRPr="0062047B" w14:paraId="7D4F5DC2" w14:textId="77777777" w:rsidTr="007F1B7D">
        <w:trPr>
          <w:trHeight w:val="20"/>
        </w:trPr>
        <w:tc>
          <w:tcPr>
            <w:tcW w:w="2127" w:type="dxa"/>
            <w:shd w:val="clear" w:color="auto" w:fill="F2F2F2" w:themeFill="background1" w:themeFillShade="F2"/>
            <w:noWrap/>
            <w:vAlign w:val="center"/>
            <w:hideMark/>
          </w:tcPr>
          <w:p w14:paraId="00F76F6F"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Chocolate</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sweets</w:t>
            </w:r>
          </w:p>
        </w:tc>
        <w:tc>
          <w:tcPr>
            <w:tcW w:w="1134" w:type="dxa"/>
            <w:shd w:val="clear" w:color="auto" w:fill="auto"/>
            <w:noWrap/>
            <w:vAlign w:val="center"/>
            <w:hideMark/>
          </w:tcPr>
          <w:p w14:paraId="2F7A962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160</w:t>
            </w:r>
          </w:p>
        </w:tc>
        <w:tc>
          <w:tcPr>
            <w:tcW w:w="993" w:type="dxa"/>
            <w:shd w:val="clear" w:color="auto" w:fill="FFF2CC" w:themeFill="accent4" w:themeFillTint="33"/>
            <w:noWrap/>
            <w:vAlign w:val="center"/>
            <w:hideMark/>
          </w:tcPr>
          <w:p w14:paraId="0CDED25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p>
        </w:tc>
        <w:tc>
          <w:tcPr>
            <w:tcW w:w="992" w:type="dxa"/>
            <w:shd w:val="clear" w:color="auto" w:fill="FFF2CC" w:themeFill="accent4" w:themeFillTint="33"/>
            <w:noWrap/>
            <w:vAlign w:val="center"/>
            <w:hideMark/>
          </w:tcPr>
          <w:p w14:paraId="5B387B8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14.4</w:t>
            </w:r>
            <w:r>
              <w:rPr>
                <w:rFonts w:eastAsia="Times New Roman" w:cstheme="minorHAnsi"/>
                <w:color w:val="000000" w:themeColor="text1"/>
                <w:sz w:val="18"/>
                <w:szCs w:val="18"/>
              </w:rPr>
              <w:t>%</w:t>
            </w:r>
          </w:p>
        </w:tc>
        <w:tc>
          <w:tcPr>
            <w:tcW w:w="1134" w:type="dxa"/>
            <w:shd w:val="clear" w:color="auto" w:fill="auto"/>
            <w:noWrap/>
            <w:vAlign w:val="center"/>
            <w:hideMark/>
          </w:tcPr>
          <w:p w14:paraId="20E8E9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2499C70"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7D033A2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p>
        </w:tc>
        <w:tc>
          <w:tcPr>
            <w:tcW w:w="1134" w:type="dxa"/>
            <w:shd w:val="clear" w:color="000000" w:fill="FFC7CE"/>
            <w:noWrap/>
            <w:vAlign w:val="center"/>
            <w:hideMark/>
          </w:tcPr>
          <w:p w14:paraId="7FDA85E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14.4</w:t>
            </w:r>
            <w:r>
              <w:rPr>
                <w:rFonts w:eastAsia="Times New Roman" w:cstheme="minorHAnsi"/>
                <w:color w:val="000000" w:themeColor="text1"/>
                <w:sz w:val="18"/>
                <w:szCs w:val="18"/>
              </w:rPr>
              <w:t>%</w:t>
            </w:r>
          </w:p>
        </w:tc>
      </w:tr>
      <w:tr w:rsidR="00AF1690" w:rsidRPr="0062047B" w14:paraId="7E78873C" w14:textId="77777777" w:rsidTr="007F1B7D">
        <w:trPr>
          <w:trHeight w:val="20"/>
        </w:trPr>
        <w:tc>
          <w:tcPr>
            <w:tcW w:w="2127" w:type="dxa"/>
            <w:shd w:val="clear" w:color="auto" w:fill="F2F2F2" w:themeFill="background1" w:themeFillShade="F2"/>
            <w:noWrap/>
            <w:vAlign w:val="center"/>
            <w:hideMark/>
          </w:tcPr>
          <w:p w14:paraId="68CCC4E6"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Jelly</w:t>
            </w:r>
          </w:p>
        </w:tc>
        <w:tc>
          <w:tcPr>
            <w:tcW w:w="1134" w:type="dxa"/>
            <w:shd w:val="clear" w:color="auto" w:fill="auto"/>
            <w:noWrap/>
            <w:vAlign w:val="center"/>
            <w:hideMark/>
          </w:tcPr>
          <w:p w14:paraId="12AA9B4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55</w:t>
            </w:r>
          </w:p>
        </w:tc>
        <w:tc>
          <w:tcPr>
            <w:tcW w:w="993" w:type="dxa"/>
            <w:shd w:val="clear" w:color="auto" w:fill="FFF2CC" w:themeFill="accent4" w:themeFillTint="33"/>
            <w:noWrap/>
            <w:vAlign w:val="center"/>
            <w:hideMark/>
          </w:tcPr>
          <w:p w14:paraId="36139F9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45</w:t>
            </w:r>
          </w:p>
        </w:tc>
        <w:tc>
          <w:tcPr>
            <w:tcW w:w="992" w:type="dxa"/>
            <w:shd w:val="clear" w:color="auto" w:fill="FFF2CC" w:themeFill="accent4" w:themeFillTint="33"/>
            <w:noWrap/>
            <w:vAlign w:val="center"/>
            <w:hideMark/>
          </w:tcPr>
          <w:p w14:paraId="29DEA24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81.8</w:t>
            </w:r>
            <w:r>
              <w:rPr>
                <w:rFonts w:eastAsia="Times New Roman" w:cstheme="minorHAnsi"/>
                <w:color w:val="000000" w:themeColor="text1"/>
                <w:sz w:val="18"/>
                <w:szCs w:val="18"/>
              </w:rPr>
              <w:t>%</w:t>
            </w:r>
          </w:p>
        </w:tc>
        <w:tc>
          <w:tcPr>
            <w:tcW w:w="1134" w:type="dxa"/>
            <w:shd w:val="clear" w:color="auto" w:fill="auto"/>
            <w:noWrap/>
            <w:vAlign w:val="center"/>
            <w:hideMark/>
          </w:tcPr>
          <w:p w14:paraId="5D0339C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5FCC80E6"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4379F03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45</w:t>
            </w:r>
          </w:p>
        </w:tc>
        <w:tc>
          <w:tcPr>
            <w:tcW w:w="1134" w:type="dxa"/>
            <w:shd w:val="clear" w:color="000000" w:fill="FFC7CE"/>
            <w:noWrap/>
            <w:vAlign w:val="center"/>
            <w:hideMark/>
          </w:tcPr>
          <w:p w14:paraId="38004C3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81.8</w:t>
            </w:r>
            <w:r>
              <w:rPr>
                <w:rFonts w:eastAsia="Times New Roman" w:cstheme="minorHAnsi"/>
                <w:color w:val="000000" w:themeColor="text1"/>
                <w:sz w:val="18"/>
                <w:szCs w:val="18"/>
              </w:rPr>
              <w:t>%</w:t>
            </w:r>
          </w:p>
        </w:tc>
      </w:tr>
      <w:tr w:rsidR="00AF1690" w:rsidRPr="0062047B" w14:paraId="6EE2AF29" w14:textId="77777777" w:rsidTr="007F1B7D">
        <w:trPr>
          <w:trHeight w:val="20"/>
        </w:trPr>
        <w:tc>
          <w:tcPr>
            <w:tcW w:w="2127" w:type="dxa"/>
            <w:shd w:val="clear" w:color="auto" w:fill="F2F2F2" w:themeFill="background1" w:themeFillShade="F2"/>
            <w:noWrap/>
            <w:vAlign w:val="center"/>
            <w:hideMark/>
          </w:tcPr>
          <w:p w14:paraId="70E8FDE8"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Pizza</w:t>
            </w:r>
          </w:p>
        </w:tc>
        <w:tc>
          <w:tcPr>
            <w:tcW w:w="1134" w:type="dxa"/>
            <w:shd w:val="clear" w:color="auto" w:fill="auto"/>
            <w:noWrap/>
            <w:vAlign w:val="center"/>
            <w:hideMark/>
          </w:tcPr>
          <w:p w14:paraId="3561A9E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w:t>
            </w:r>
          </w:p>
        </w:tc>
        <w:tc>
          <w:tcPr>
            <w:tcW w:w="993" w:type="dxa"/>
            <w:shd w:val="clear" w:color="auto" w:fill="auto"/>
            <w:noWrap/>
            <w:vAlign w:val="center"/>
            <w:hideMark/>
          </w:tcPr>
          <w:p w14:paraId="7EBF45F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0AED545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4DC9DF5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5489832A"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auto" w:fill="auto"/>
            <w:noWrap/>
            <w:vAlign w:val="center"/>
            <w:hideMark/>
          </w:tcPr>
          <w:p w14:paraId="3A79C07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BD8954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13E9A475" w14:textId="77777777" w:rsidTr="007F1B7D">
        <w:trPr>
          <w:trHeight w:val="20"/>
        </w:trPr>
        <w:tc>
          <w:tcPr>
            <w:tcW w:w="2127" w:type="dxa"/>
            <w:shd w:val="clear" w:color="auto" w:fill="F2F2F2" w:themeFill="background1" w:themeFillShade="F2"/>
            <w:noWrap/>
            <w:vAlign w:val="center"/>
            <w:hideMark/>
          </w:tcPr>
          <w:p w14:paraId="09669BED"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Pre-prepared salads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sandwiches</w:t>
            </w:r>
          </w:p>
        </w:tc>
        <w:tc>
          <w:tcPr>
            <w:tcW w:w="1134" w:type="dxa"/>
            <w:shd w:val="clear" w:color="auto" w:fill="auto"/>
            <w:noWrap/>
            <w:vAlign w:val="center"/>
            <w:hideMark/>
          </w:tcPr>
          <w:p w14:paraId="4078997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w:t>
            </w:r>
          </w:p>
        </w:tc>
        <w:tc>
          <w:tcPr>
            <w:tcW w:w="993" w:type="dxa"/>
            <w:shd w:val="clear" w:color="auto" w:fill="auto"/>
            <w:noWrap/>
            <w:vAlign w:val="center"/>
            <w:hideMark/>
          </w:tcPr>
          <w:p w14:paraId="6DA3E67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43CDF9BD" w14:textId="77777777" w:rsidR="00AF1690" w:rsidRPr="0062047B" w:rsidRDefault="00AF1690" w:rsidP="007F1B7D">
            <w:pPr>
              <w:jc w:val="center"/>
              <w:rPr>
                <w:rFonts w:eastAsia="Times New Roman" w:cstheme="minorHAnsi"/>
                <w:color w:val="000000" w:themeColor="text1"/>
                <w:sz w:val="18"/>
                <w:szCs w:val="18"/>
              </w:rPr>
            </w:pPr>
            <w:r>
              <w:rPr>
                <w:rFonts w:eastAsia="Times New Roman" w:cstheme="minorHAnsi"/>
                <w:color w:val="000000" w:themeColor="text1"/>
                <w:sz w:val="18"/>
                <w:szCs w:val="18"/>
              </w:rPr>
              <w:t>0%</w:t>
            </w:r>
          </w:p>
        </w:tc>
        <w:tc>
          <w:tcPr>
            <w:tcW w:w="1134" w:type="dxa"/>
            <w:shd w:val="clear" w:color="auto" w:fill="auto"/>
            <w:noWrap/>
            <w:vAlign w:val="center"/>
            <w:hideMark/>
          </w:tcPr>
          <w:p w14:paraId="4FF2A7A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B163292"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auto" w:fill="auto"/>
            <w:noWrap/>
            <w:vAlign w:val="center"/>
            <w:hideMark/>
          </w:tcPr>
          <w:p w14:paraId="0D9EC56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1F0813B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53DCA781" w14:textId="77777777" w:rsidTr="007F1B7D">
        <w:trPr>
          <w:trHeight w:val="20"/>
        </w:trPr>
        <w:tc>
          <w:tcPr>
            <w:tcW w:w="2127" w:type="dxa"/>
            <w:shd w:val="clear" w:color="auto" w:fill="F2F2F2" w:themeFill="background1" w:themeFillShade="F2"/>
            <w:noWrap/>
            <w:vAlign w:val="center"/>
            <w:hideMark/>
          </w:tcPr>
          <w:p w14:paraId="0556E6D6"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Ready meals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meal kits</w:t>
            </w:r>
          </w:p>
        </w:tc>
        <w:tc>
          <w:tcPr>
            <w:tcW w:w="1134" w:type="dxa"/>
            <w:shd w:val="clear" w:color="auto" w:fill="auto"/>
            <w:noWrap/>
            <w:vAlign w:val="center"/>
            <w:hideMark/>
          </w:tcPr>
          <w:p w14:paraId="71E25A6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310</w:t>
            </w:r>
          </w:p>
        </w:tc>
        <w:tc>
          <w:tcPr>
            <w:tcW w:w="993" w:type="dxa"/>
            <w:shd w:val="clear" w:color="auto" w:fill="FFF2CC" w:themeFill="accent4" w:themeFillTint="33"/>
            <w:noWrap/>
            <w:vAlign w:val="center"/>
            <w:hideMark/>
          </w:tcPr>
          <w:p w14:paraId="13B3509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w:t>
            </w:r>
          </w:p>
        </w:tc>
        <w:tc>
          <w:tcPr>
            <w:tcW w:w="992" w:type="dxa"/>
            <w:shd w:val="clear" w:color="auto" w:fill="FFF2CC" w:themeFill="accent4" w:themeFillTint="33"/>
            <w:noWrap/>
            <w:vAlign w:val="center"/>
            <w:hideMark/>
          </w:tcPr>
          <w:p w14:paraId="6127F17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0.6</w:t>
            </w:r>
            <w:r>
              <w:rPr>
                <w:rFonts w:eastAsia="Times New Roman" w:cstheme="minorHAnsi"/>
                <w:color w:val="000000" w:themeColor="text1"/>
                <w:sz w:val="18"/>
                <w:szCs w:val="18"/>
              </w:rPr>
              <w:t>%</w:t>
            </w:r>
          </w:p>
        </w:tc>
        <w:tc>
          <w:tcPr>
            <w:tcW w:w="1134" w:type="dxa"/>
            <w:shd w:val="clear" w:color="auto" w:fill="auto"/>
            <w:noWrap/>
            <w:vAlign w:val="center"/>
            <w:hideMark/>
          </w:tcPr>
          <w:p w14:paraId="54686EE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45735E9F"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7601D74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w:t>
            </w:r>
          </w:p>
        </w:tc>
        <w:tc>
          <w:tcPr>
            <w:tcW w:w="1134" w:type="dxa"/>
            <w:shd w:val="clear" w:color="000000" w:fill="FFC7CE"/>
            <w:noWrap/>
            <w:vAlign w:val="center"/>
            <w:hideMark/>
          </w:tcPr>
          <w:p w14:paraId="3FAC664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0.6</w:t>
            </w:r>
            <w:r>
              <w:rPr>
                <w:rFonts w:eastAsia="Times New Roman" w:cstheme="minorHAnsi"/>
                <w:color w:val="000000" w:themeColor="text1"/>
                <w:sz w:val="18"/>
                <w:szCs w:val="18"/>
              </w:rPr>
              <w:t>%</w:t>
            </w:r>
          </w:p>
        </w:tc>
      </w:tr>
      <w:tr w:rsidR="00AF1690" w:rsidRPr="0062047B" w14:paraId="7A91D3A0" w14:textId="77777777" w:rsidTr="007F1B7D">
        <w:trPr>
          <w:trHeight w:val="20"/>
        </w:trPr>
        <w:tc>
          <w:tcPr>
            <w:tcW w:w="2127" w:type="dxa"/>
            <w:shd w:val="clear" w:color="auto" w:fill="F2F2F2" w:themeFill="background1" w:themeFillShade="F2"/>
            <w:noWrap/>
            <w:vAlign w:val="center"/>
            <w:hideMark/>
          </w:tcPr>
          <w:p w14:paraId="5312E76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Soup</w:t>
            </w:r>
          </w:p>
        </w:tc>
        <w:tc>
          <w:tcPr>
            <w:tcW w:w="1134" w:type="dxa"/>
            <w:shd w:val="clear" w:color="auto" w:fill="auto"/>
            <w:noWrap/>
            <w:vAlign w:val="center"/>
            <w:hideMark/>
          </w:tcPr>
          <w:p w14:paraId="1744A86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260</w:t>
            </w:r>
          </w:p>
        </w:tc>
        <w:tc>
          <w:tcPr>
            <w:tcW w:w="993" w:type="dxa"/>
            <w:shd w:val="clear" w:color="auto" w:fill="FFF2CC" w:themeFill="accent4" w:themeFillTint="33"/>
            <w:noWrap/>
            <w:vAlign w:val="center"/>
            <w:hideMark/>
          </w:tcPr>
          <w:p w14:paraId="3FFD113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w:t>
            </w:r>
          </w:p>
        </w:tc>
        <w:tc>
          <w:tcPr>
            <w:tcW w:w="992" w:type="dxa"/>
            <w:shd w:val="clear" w:color="auto" w:fill="FFF2CC" w:themeFill="accent4" w:themeFillTint="33"/>
            <w:noWrap/>
            <w:vAlign w:val="center"/>
            <w:hideMark/>
          </w:tcPr>
          <w:p w14:paraId="6A89713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5.4</w:t>
            </w:r>
            <w:r>
              <w:rPr>
                <w:rFonts w:eastAsia="Times New Roman" w:cstheme="minorHAnsi"/>
                <w:color w:val="000000" w:themeColor="text1"/>
                <w:sz w:val="18"/>
                <w:szCs w:val="18"/>
              </w:rPr>
              <w:t>%</w:t>
            </w:r>
          </w:p>
        </w:tc>
        <w:tc>
          <w:tcPr>
            <w:tcW w:w="1134" w:type="dxa"/>
            <w:shd w:val="clear" w:color="auto" w:fill="auto"/>
            <w:noWrap/>
            <w:vAlign w:val="center"/>
            <w:hideMark/>
          </w:tcPr>
          <w:p w14:paraId="35C96B2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0B218487"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000000" w:fill="FFC7CE"/>
            <w:noWrap/>
            <w:vAlign w:val="center"/>
            <w:hideMark/>
          </w:tcPr>
          <w:p w14:paraId="1FE5E71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w:t>
            </w:r>
          </w:p>
        </w:tc>
        <w:tc>
          <w:tcPr>
            <w:tcW w:w="1134" w:type="dxa"/>
            <w:shd w:val="clear" w:color="000000" w:fill="FFC7CE"/>
            <w:noWrap/>
            <w:vAlign w:val="center"/>
            <w:hideMark/>
          </w:tcPr>
          <w:p w14:paraId="51DF321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5.4</w:t>
            </w:r>
            <w:r>
              <w:rPr>
                <w:rFonts w:eastAsia="Times New Roman" w:cstheme="minorHAnsi"/>
                <w:color w:val="000000" w:themeColor="text1"/>
                <w:sz w:val="18"/>
                <w:szCs w:val="18"/>
              </w:rPr>
              <w:t>%</w:t>
            </w:r>
          </w:p>
        </w:tc>
      </w:tr>
      <w:tr w:rsidR="00AF1690" w:rsidRPr="0062047B" w14:paraId="3E4A0D41" w14:textId="77777777" w:rsidTr="007F1B7D">
        <w:trPr>
          <w:trHeight w:val="20"/>
        </w:trPr>
        <w:tc>
          <w:tcPr>
            <w:tcW w:w="2127" w:type="dxa"/>
            <w:shd w:val="clear" w:color="auto" w:fill="F2F2F2" w:themeFill="background1" w:themeFillShade="F2"/>
            <w:noWrap/>
            <w:vAlign w:val="center"/>
            <w:hideMark/>
          </w:tcPr>
          <w:p w14:paraId="4770AC91"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Other frozen foods</w:t>
            </w:r>
          </w:p>
        </w:tc>
        <w:tc>
          <w:tcPr>
            <w:tcW w:w="1134" w:type="dxa"/>
            <w:shd w:val="clear" w:color="auto" w:fill="auto"/>
            <w:noWrap/>
            <w:vAlign w:val="center"/>
            <w:hideMark/>
          </w:tcPr>
          <w:p w14:paraId="489911D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w:t>
            </w:r>
          </w:p>
        </w:tc>
        <w:tc>
          <w:tcPr>
            <w:tcW w:w="993" w:type="dxa"/>
            <w:shd w:val="clear" w:color="auto" w:fill="auto"/>
            <w:noWrap/>
            <w:vAlign w:val="center"/>
            <w:hideMark/>
          </w:tcPr>
          <w:p w14:paraId="334F274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7EA36A8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5E3B51D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4BF0B42" w14:textId="77777777" w:rsidR="00AF1690" w:rsidRPr="0062047B" w:rsidRDefault="00AF1690" w:rsidP="007F1B7D">
            <w:pPr>
              <w:jc w:val="center"/>
              <w:rPr>
                <w:rFonts w:eastAsia="Times New Roman" w:cstheme="minorHAnsi"/>
                <w:color w:val="000000" w:themeColor="text1"/>
                <w:sz w:val="18"/>
                <w:szCs w:val="18"/>
              </w:rPr>
            </w:pPr>
            <w:r w:rsidRPr="002E6F86">
              <w:rPr>
                <w:rFonts w:eastAsia="Times New Roman" w:cstheme="minorHAnsi"/>
                <w:color w:val="000000" w:themeColor="text1"/>
                <w:sz w:val="18"/>
                <w:szCs w:val="18"/>
              </w:rPr>
              <w:t>0%</w:t>
            </w:r>
          </w:p>
        </w:tc>
        <w:tc>
          <w:tcPr>
            <w:tcW w:w="1134" w:type="dxa"/>
            <w:shd w:val="clear" w:color="auto" w:fill="auto"/>
            <w:noWrap/>
            <w:vAlign w:val="center"/>
            <w:hideMark/>
          </w:tcPr>
          <w:p w14:paraId="501FA3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8C73BB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52C34F92" w14:textId="77777777" w:rsidTr="007F1B7D">
        <w:trPr>
          <w:trHeight w:val="20"/>
        </w:trPr>
        <w:tc>
          <w:tcPr>
            <w:tcW w:w="2127" w:type="dxa"/>
            <w:shd w:val="clear" w:color="auto" w:fill="F2F2F2" w:themeFill="background1" w:themeFillShade="F2"/>
            <w:noWrap/>
            <w:vAlign w:val="center"/>
            <w:hideMark/>
          </w:tcPr>
          <w:p w14:paraId="39EB5E8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Cheese</w:t>
            </w:r>
          </w:p>
        </w:tc>
        <w:tc>
          <w:tcPr>
            <w:tcW w:w="1134" w:type="dxa"/>
            <w:shd w:val="clear" w:color="auto" w:fill="auto"/>
            <w:noWrap/>
            <w:vAlign w:val="center"/>
            <w:hideMark/>
          </w:tcPr>
          <w:p w14:paraId="1596AB8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649</w:t>
            </w:r>
          </w:p>
        </w:tc>
        <w:tc>
          <w:tcPr>
            <w:tcW w:w="993" w:type="dxa"/>
            <w:shd w:val="clear" w:color="auto" w:fill="FFF2CC" w:themeFill="accent4" w:themeFillTint="33"/>
            <w:noWrap/>
            <w:vAlign w:val="center"/>
            <w:hideMark/>
          </w:tcPr>
          <w:p w14:paraId="503E1F6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262</w:t>
            </w:r>
          </w:p>
        </w:tc>
        <w:tc>
          <w:tcPr>
            <w:tcW w:w="992" w:type="dxa"/>
            <w:shd w:val="clear" w:color="auto" w:fill="FFF2CC" w:themeFill="accent4" w:themeFillTint="33"/>
            <w:noWrap/>
            <w:vAlign w:val="center"/>
            <w:hideMark/>
          </w:tcPr>
          <w:p w14:paraId="7A4753FC" w14:textId="53DF6500"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40.4</w:t>
            </w:r>
            <w:r w:rsidR="007F1B7D">
              <w:rPr>
                <w:rFonts w:eastAsia="Times New Roman" w:cstheme="minorHAnsi"/>
                <w:color w:val="000000" w:themeColor="text1"/>
                <w:sz w:val="18"/>
                <w:szCs w:val="18"/>
              </w:rPr>
              <w:t>%</w:t>
            </w:r>
          </w:p>
        </w:tc>
        <w:tc>
          <w:tcPr>
            <w:tcW w:w="1134" w:type="dxa"/>
            <w:shd w:val="clear" w:color="000000" w:fill="C6EFCE"/>
            <w:noWrap/>
            <w:vAlign w:val="center"/>
            <w:hideMark/>
          </w:tcPr>
          <w:p w14:paraId="1D6DD2C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262</w:t>
            </w:r>
          </w:p>
        </w:tc>
        <w:tc>
          <w:tcPr>
            <w:tcW w:w="1134" w:type="dxa"/>
            <w:shd w:val="clear" w:color="000000" w:fill="C6EFCE"/>
            <w:noWrap/>
            <w:vAlign w:val="center"/>
            <w:hideMark/>
          </w:tcPr>
          <w:p w14:paraId="193BC2E2" w14:textId="3C32A1B1"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40.4</w:t>
            </w:r>
            <w:r w:rsidR="007F1B7D">
              <w:rPr>
                <w:rFonts w:eastAsia="Times New Roman" w:cstheme="minorHAnsi"/>
                <w:color w:val="000000" w:themeColor="text1"/>
                <w:sz w:val="18"/>
                <w:szCs w:val="18"/>
              </w:rPr>
              <w:t>%</w:t>
            </w:r>
          </w:p>
        </w:tc>
        <w:tc>
          <w:tcPr>
            <w:tcW w:w="1134" w:type="dxa"/>
            <w:shd w:val="clear" w:color="auto" w:fill="auto"/>
            <w:noWrap/>
            <w:vAlign w:val="center"/>
            <w:hideMark/>
          </w:tcPr>
          <w:p w14:paraId="24B0207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13DAFA5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73FD6F0A" w14:textId="77777777" w:rsidTr="007F1B7D">
        <w:trPr>
          <w:trHeight w:val="20"/>
        </w:trPr>
        <w:tc>
          <w:tcPr>
            <w:tcW w:w="2127" w:type="dxa"/>
            <w:shd w:val="clear" w:color="auto" w:fill="F2F2F2" w:themeFill="background1" w:themeFillShade="F2"/>
            <w:noWrap/>
            <w:vAlign w:val="center"/>
            <w:hideMark/>
          </w:tcPr>
          <w:p w14:paraId="29D07E10"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Cream</w:t>
            </w:r>
          </w:p>
        </w:tc>
        <w:tc>
          <w:tcPr>
            <w:tcW w:w="1134" w:type="dxa"/>
            <w:shd w:val="clear" w:color="auto" w:fill="auto"/>
            <w:noWrap/>
            <w:vAlign w:val="center"/>
            <w:hideMark/>
          </w:tcPr>
          <w:p w14:paraId="3E81067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43</w:t>
            </w:r>
          </w:p>
        </w:tc>
        <w:tc>
          <w:tcPr>
            <w:tcW w:w="993" w:type="dxa"/>
            <w:shd w:val="clear" w:color="auto" w:fill="auto"/>
            <w:noWrap/>
            <w:vAlign w:val="center"/>
            <w:hideMark/>
          </w:tcPr>
          <w:p w14:paraId="76E247E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61EDD4C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7C09421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0A395E1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55DBB4B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8B146F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77CA23E1" w14:textId="77777777" w:rsidTr="007F1B7D">
        <w:trPr>
          <w:trHeight w:val="20"/>
        </w:trPr>
        <w:tc>
          <w:tcPr>
            <w:tcW w:w="2127" w:type="dxa"/>
            <w:shd w:val="clear" w:color="auto" w:fill="F2F2F2" w:themeFill="background1" w:themeFillShade="F2"/>
            <w:noWrap/>
            <w:vAlign w:val="center"/>
            <w:hideMark/>
          </w:tcPr>
          <w:p w14:paraId="5C99BAA2"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Desserts</w:t>
            </w:r>
          </w:p>
        </w:tc>
        <w:tc>
          <w:tcPr>
            <w:tcW w:w="1134" w:type="dxa"/>
            <w:shd w:val="clear" w:color="auto" w:fill="auto"/>
            <w:noWrap/>
            <w:vAlign w:val="center"/>
            <w:hideMark/>
          </w:tcPr>
          <w:p w14:paraId="1099B73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132</w:t>
            </w:r>
          </w:p>
        </w:tc>
        <w:tc>
          <w:tcPr>
            <w:tcW w:w="993" w:type="dxa"/>
            <w:shd w:val="clear" w:color="auto" w:fill="FFF2CC" w:themeFill="accent4" w:themeFillTint="33"/>
            <w:noWrap/>
            <w:vAlign w:val="center"/>
            <w:hideMark/>
          </w:tcPr>
          <w:p w14:paraId="74157A3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79</w:t>
            </w:r>
          </w:p>
        </w:tc>
        <w:tc>
          <w:tcPr>
            <w:tcW w:w="992" w:type="dxa"/>
            <w:shd w:val="clear" w:color="auto" w:fill="FFF2CC" w:themeFill="accent4" w:themeFillTint="33"/>
            <w:noWrap/>
            <w:vAlign w:val="center"/>
            <w:hideMark/>
          </w:tcPr>
          <w:p w14:paraId="76FE584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59.8</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168DCD4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18</w:t>
            </w:r>
          </w:p>
        </w:tc>
        <w:tc>
          <w:tcPr>
            <w:tcW w:w="1134" w:type="dxa"/>
            <w:shd w:val="clear" w:color="000000" w:fill="C6EFCE"/>
            <w:noWrap/>
            <w:vAlign w:val="center"/>
            <w:hideMark/>
          </w:tcPr>
          <w:p w14:paraId="5909C24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13.6</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666F570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61</w:t>
            </w:r>
          </w:p>
        </w:tc>
        <w:tc>
          <w:tcPr>
            <w:tcW w:w="1134" w:type="dxa"/>
            <w:shd w:val="clear" w:color="000000" w:fill="FFC7CE"/>
            <w:noWrap/>
            <w:vAlign w:val="center"/>
            <w:hideMark/>
          </w:tcPr>
          <w:p w14:paraId="586A0EE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46.2</w:t>
            </w:r>
            <w:r>
              <w:rPr>
                <w:rFonts w:eastAsia="Times New Roman" w:cstheme="minorHAnsi"/>
                <w:color w:val="000000" w:themeColor="text1"/>
                <w:sz w:val="18"/>
                <w:szCs w:val="18"/>
              </w:rPr>
              <w:t>%</w:t>
            </w:r>
          </w:p>
        </w:tc>
      </w:tr>
      <w:tr w:rsidR="00AF1690" w:rsidRPr="0062047B" w14:paraId="69E6CD91" w14:textId="77777777" w:rsidTr="007F1B7D">
        <w:trPr>
          <w:trHeight w:val="20"/>
        </w:trPr>
        <w:tc>
          <w:tcPr>
            <w:tcW w:w="2127" w:type="dxa"/>
            <w:shd w:val="clear" w:color="auto" w:fill="F2F2F2" w:themeFill="background1" w:themeFillShade="F2"/>
            <w:noWrap/>
            <w:vAlign w:val="center"/>
            <w:hideMark/>
          </w:tcPr>
          <w:p w14:paraId="20CF73E3"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Edible ices</w:t>
            </w:r>
          </w:p>
        </w:tc>
        <w:tc>
          <w:tcPr>
            <w:tcW w:w="1134" w:type="dxa"/>
            <w:shd w:val="clear" w:color="auto" w:fill="auto"/>
            <w:noWrap/>
            <w:vAlign w:val="center"/>
            <w:hideMark/>
          </w:tcPr>
          <w:p w14:paraId="519D9CC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78</w:t>
            </w:r>
          </w:p>
        </w:tc>
        <w:tc>
          <w:tcPr>
            <w:tcW w:w="993" w:type="dxa"/>
            <w:shd w:val="clear" w:color="auto" w:fill="FFF2CC" w:themeFill="accent4" w:themeFillTint="33"/>
            <w:noWrap/>
            <w:vAlign w:val="center"/>
            <w:hideMark/>
          </w:tcPr>
          <w:p w14:paraId="2693C1C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55</w:t>
            </w:r>
          </w:p>
        </w:tc>
        <w:tc>
          <w:tcPr>
            <w:tcW w:w="992" w:type="dxa"/>
            <w:shd w:val="clear" w:color="auto" w:fill="FFF2CC" w:themeFill="accent4" w:themeFillTint="33"/>
            <w:noWrap/>
            <w:vAlign w:val="center"/>
            <w:hideMark/>
          </w:tcPr>
          <w:p w14:paraId="0D7CC59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70.5</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06B4AF0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5CAABD50" w14:textId="77777777" w:rsidR="00AF1690" w:rsidRPr="0062047B" w:rsidRDefault="00AF1690" w:rsidP="007F1B7D">
            <w:pPr>
              <w:jc w:val="center"/>
              <w:rPr>
                <w:rFonts w:eastAsia="Times New Roman" w:cstheme="minorHAnsi"/>
                <w:color w:val="000000" w:themeColor="text1"/>
                <w:sz w:val="18"/>
                <w:szCs w:val="18"/>
              </w:rPr>
            </w:pPr>
            <w:r w:rsidRPr="007D560D">
              <w:rPr>
                <w:rFonts w:eastAsia="Times New Roman" w:cstheme="minorHAnsi"/>
                <w:color w:val="000000" w:themeColor="text1"/>
                <w:sz w:val="18"/>
                <w:szCs w:val="18"/>
              </w:rPr>
              <w:t>0%</w:t>
            </w:r>
          </w:p>
        </w:tc>
        <w:tc>
          <w:tcPr>
            <w:tcW w:w="1134" w:type="dxa"/>
            <w:shd w:val="clear" w:color="000000" w:fill="FFC7CE"/>
            <w:noWrap/>
            <w:vAlign w:val="center"/>
            <w:hideMark/>
          </w:tcPr>
          <w:p w14:paraId="1D2D7AE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55</w:t>
            </w:r>
          </w:p>
        </w:tc>
        <w:tc>
          <w:tcPr>
            <w:tcW w:w="1134" w:type="dxa"/>
            <w:shd w:val="clear" w:color="000000" w:fill="FFC7CE"/>
            <w:noWrap/>
            <w:vAlign w:val="center"/>
            <w:hideMark/>
          </w:tcPr>
          <w:p w14:paraId="74CFFB4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70.5</w:t>
            </w:r>
            <w:r>
              <w:rPr>
                <w:rFonts w:eastAsia="Times New Roman" w:cstheme="minorHAnsi"/>
                <w:color w:val="000000" w:themeColor="text1"/>
                <w:sz w:val="18"/>
                <w:szCs w:val="18"/>
              </w:rPr>
              <w:t>%</w:t>
            </w:r>
          </w:p>
        </w:tc>
      </w:tr>
      <w:tr w:rsidR="00AF1690" w:rsidRPr="0062047B" w14:paraId="1AE8C814" w14:textId="77777777" w:rsidTr="007F1B7D">
        <w:trPr>
          <w:trHeight w:val="20"/>
        </w:trPr>
        <w:tc>
          <w:tcPr>
            <w:tcW w:w="2127" w:type="dxa"/>
            <w:shd w:val="clear" w:color="auto" w:fill="F2F2F2" w:themeFill="background1" w:themeFillShade="F2"/>
            <w:noWrap/>
            <w:vAlign w:val="center"/>
            <w:hideMark/>
          </w:tcPr>
          <w:p w14:paraId="566935AD"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Ice cream</w:t>
            </w:r>
          </w:p>
        </w:tc>
        <w:tc>
          <w:tcPr>
            <w:tcW w:w="1134" w:type="dxa"/>
            <w:shd w:val="clear" w:color="auto" w:fill="auto"/>
            <w:noWrap/>
            <w:vAlign w:val="center"/>
            <w:hideMark/>
          </w:tcPr>
          <w:p w14:paraId="1D3D0D4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344</w:t>
            </w:r>
          </w:p>
        </w:tc>
        <w:tc>
          <w:tcPr>
            <w:tcW w:w="993" w:type="dxa"/>
            <w:shd w:val="clear" w:color="auto" w:fill="FFF2CC" w:themeFill="accent4" w:themeFillTint="33"/>
            <w:noWrap/>
            <w:vAlign w:val="center"/>
            <w:hideMark/>
          </w:tcPr>
          <w:p w14:paraId="4A3452E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39</w:t>
            </w:r>
          </w:p>
        </w:tc>
        <w:tc>
          <w:tcPr>
            <w:tcW w:w="992" w:type="dxa"/>
            <w:shd w:val="clear" w:color="auto" w:fill="FFF2CC" w:themeFill="accent4" w:themeFillTint="33"/>
            <w:noWrap/>
            <w:vAlign w:val="center"/>
            <w:hideMark/>
          </w:tcPr>
          <w:p w14:paraId="545D8BD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11.3</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23CB613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4C5E7E0F" w14:textId="77777777" w:rsidR="00AF1690" w:rsidRPr="0062047B" w:rsidRDefault="00AF1690" w:rsidP="007F1B7D">
            <w:pPr>
              <w:jc w:val="center"/>
              <w:rPr>
                <w:rFonts w:eastAsia="Times New Roman" w:cstheme="minorHAnsi"/>
                <w:color w:val="000000" w:themeColor="text1"/>
                <w:sz w:val="18"/>
                <w:szCs w:val="18"/>
              </w:rPr>
            </w:pPr>
            <w:r w:rsidRPr="007D560D">
              <w:rPr>
                <w:rFonts w:eastAsia="Times New Roman" w:cstheme="minorHAnsi"/>
                <w:color w:val="000000" w:themeColor="text1"/>
                <w:sz w:val="18"/>
                <w:szCs w:val="18"/>
              </w:rPr>
              <w:t>0%</w:t>
            </w:r>
          </w:p>
        </w:tc>
        <w:tc>
          <w:tcPr>
            <w:tcW w:w="1134" w:type="dxa"/>
            <w:shd w:val="clear" w:color="000000" w:fill="FFC7CE"/>
            <w:noWrap/>
            <w:vAlign w:val="center"/>
            <w:hideMark/>
          </w:tcPr>
          <w:p w14:paraId="6016ECE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39</w:t>
            </w:r>
          </w:p>
        </w:tc>
        <w:tc>
          <w:tcPr>
            <w:tcW w:w="1134" w:type="dxa"/>
            <w:shd w:val="clear" w:color="000000" w:fill="FFC7CE"/>
            <w:noWrap/>
            <w:vAlign w:val="center"/>
            <w:hideMark/>
          </w:tcPr>
          <w:p w14:paraId="6A8C140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11.3</w:t>
            </w:r>
            <w:r>
              <w:rPr>
                <w:rFonts w:eastAsia="Times New Roman" w:cstheme="minorHAnsi"/>
                <w:color w:val="000000" w:themeColor="text1"/>
                <w:sz w:val="18"/>
                <w:szCs w:val="18"/>
              </w:rPr>
              <w:t>%</w:t>
            </w:r>
          </w:p>
        </w:tc>
      </w:tr>
      <w:tr w:rsidR="00AF1690" w:rsidRPr="0062047B" w14:paraId="2DDB60DB" w14:textId="77777777" w:rsidTr="007F1B7D">
        <w:trPr>
          <w:trHeight w:val="20"/>
        </w:trPr>
        <w:tc>
          <w:tcPr>
            <w:tcW w:w="2127" w:type="dxa"/>
            <w:shd w:val="clear" w:color="auto" w:fill="F2F2F2" w:themeFill="background1" w:themeFillShade="F2"/>
            <w:noWrap/>
            <w:vAlign w:val="center"/>
            <w:hideMark/>
          </w:tcPr>
          <w:p w14:paraId="6F506CF2"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Milk</w:t>
            </w:r>
          </w:p>
        </w:tc>
        <w:tc>
          <w:tcPr>
            <w:tcW w:w="1134" w:type="dxa"/>
            <w:shd w:val="clear" w:color="auto" w:fill="auto"/>
            <w:noWrap/>
            <w:vAlign w:val="center"/>
            <w:hideMark/>
          </w:tcPr>
          <w:p w14:paraId="7B707D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322</w:t>
            </w:r>
          </w:p>
        </w:tc>
        <w:tc>
          <w:tcPr>
            <w:tcW w:w="993" w:type="dxa"/>
            <w:shd w:val="clear" w:color="auto" w:fill="FFF2CC" w:themeFill="accent4" w:themeFillTint="33"/>
            <w:noWrap/>
            <w:vAlign w:val="center"/>
            <w:hideMark/>
          </w:tcPr>
          <w:p w14:paraId="2582959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27</w:t>
            </w:r>
          </w:p>
        </w:tc>
        <w:tc>
          <w:tcPr>
            <w:tcW w:w="992" w:type="dxa"/>
            <w:shd w:val="clear" w:color="auto" w:fill="FFF2CC" w:themeFill="accent4" w:themeFillTint="33"/>
            <w:noWrap/>
            <w:vAlign w:val="center"/>
            <w:hideMark/>
          </w:tcPr>
          <w:p w14:paraId="1DB0728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8.4</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15268E3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w:t>
            </w:r>
          </w:p>
        </w:tc>
        <w:tc>
          <w:tcPr>
            <w:tcW w:w="1134" w:type="dxa"/>
            <w:shd w:val="clear" w:color="000000" w:fill="C6EFCE"/>
            <w:noWrap/>
            <w:vAlign w:val="center"/>
            <w:hideMark/>
          </w:tcPr>
          <w:p w14:paraId="032BBB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7.1</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3FBBD1E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w:t>
            </w:r>
          </w:p>
        </w:tc>
        <w:tc>
          <w:tcPr>
            <w:tcW w:w="1134" w:type="dxa"/>
            <w:shd w:val="clear" w:color="000000" w:fill="FFC7CE"/>
            <w:noWrap/>
            <w:vAlign w:val="center"/>
            <w:hideMark/>
          </w:tcPr>
          <w:p w14:paraId="23707F9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1.2</w:t>
            </w:r>
            <w:r>
              <w:rPr>
                <w:rFonts w:eastAsia="Times New Roman" w:cstheme="minorHAnsi"/>
                <w:color w:val="000000" w:themeColor="text1"/>
                <w:sz w:val="18"/>
                <w:szCs w:val="18"/>
              </w:rPr>
              <w:t>%</w:t>
            </w:r>
          </w:p>
        </w:tc>
      </w:tr>
      <w:tr w:rsidR="00AF1690" w:rsidRPr="0062047B" w14:paraId="68F5728E" w14:textId="77777777" w:rsidTr="007F1B7D">
        <w:trPr>
          <w:trHeight w:val="20"/>
        </w:trPr>
        <w:tc>
          <w:tcPr>
            <w:tcW w:w="2127" w:type="dxa"/>
            <w:shd w:val="clear" w:color="auto" w:fill="F2F2F2" w:themeFill="background1" w:themeFillShade="F2"/>
            <w:noWrap/>
            <w:vAlign w:val="center"/>
            <w:hideMark/>
          </w:tcPr>
          <w:p w14:paraId="541F7059"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Yoghurt</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yoghurt drinks</w:t>
            </w:r>
          </w:p>
        </w:tc>
        <w:tc>
          <w:tcPr>
            <w:tcW w:w="1134" w:type="dxa"/>
            <w:shd w:val="clear" w:color="auto" w:fill="auto"/>
            <w:noWrap/>
            <w:vAlign w:val="center"/>
            <w:hideMark/>
          </w:tcPr>
          <w:p w14:paraId="5525E86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336</w:t>
            </w:r>
          </w:p>
        </w:tc>
        <w:tc>
          <w:tcPr>
            <w:tcW w:w="993" w:type="dxa"/>
            <w:shd w:val="clear" w:color="auto" w:fill="FFF2CC" w:themeFill="accent4" w:themeFillTint="33"/>
            <w:noWrap/>
            <w:vAlign w:val="center"/>
            <w:hideMark/>
          </w:tcPr>
          <w:p w14:paraId="2A51FB6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214</w:t>
            </w:r>
          </w:p>
        </w:tc>
        <w:tc>
          <w:tcPr>
            <w:tcW w:w="992" w:type="dxa"/>
            <w:shd w:val="clear" w:color="auto" w:fill="FFF2CC" w:themeFill="accent4" w:themeFillTint="33"/>
            <w:noWrap/>
            <w:vAlign w:val="center"/>
            <w:hideMark/>
          </w:tcPr>
          <w:p w14:paraId="26278B6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63.7</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561B72C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213</w:t>
            </w:r>
          </w:p>
        </w:tc>
        <w:tc>
          <w:tcPr>
            <w:tcW w:w="1134" w:type="dxa"/>
            <w:shd w:val="clear" w:color="000000" w:fill="C6EFCE"/>
            <w:noWrap/>
            <w:vAlign w:val="center"/>
            <w:hideMark/>
          </w:tcPr>
          <w:p w14:paraId="760E913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63.4</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27E58D7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1134" w:type="dxa"/>
            <w:shd w:val="clear" w:color="000000" w:fill="FFC7CE"/>
            <w:noWrap/>
            <w:vAlign w:val="center"/>
            <w:hideMark/>
          </w:tcPr>
          <w:p w14:paraId="2C703D8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0.3</w:t>
            </w:r>
            <w:r>
              <w:rPr>
                <w:rFonts w:eastAsia="Times New Roman" w:cstheme="minorHAnsi"/>
                <w:color w:val="000000" w:themeColor="text1"/>
                <w:sz w:val="18"/>
                <w:szCs w:val="18"/>
              </w:rPr>
              <w:t>%</w:t>
            </w:r>
          </w:p>
        </w:tc>
      </w:tr>
      <w:tr w:rsidR="00AF1690" w:rsidRPr="0062047B" w14:paraId="67683E3D" w14:textId="77777777" w:rsidTr="007F1B7D">
        <w:trPr>
          <w:trHeight w:val="20"/>
        </w:trPr>
        <w:tc>
          <w:tcPr>
            <w:tcW w:w="2127" w:type="dxa"/>
            <w:shd w:val="clear" w:color="auto" w:fill="F2F2F2" w:themeFill="background1" w:themeFillShade="F2"/>
            <w:noWrap/>
            <w:vAlign w:val="center"/>
            <w:hideMark/>
          </w:tcPr>
          <w:p w14:paraId="2B389DDC"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Edible oils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oil emulsions</w:t>
            </w:r>
          </w:p>
        </w:tc>
        <w:tc>
          <w:tcPr>
            <w:tcW w:w="1134" w:type="dxa"/>
            <w:shd w:val="clear" w:color="auto" w:fill="auto"/>
            <w:noWrap/>
            <w:vAlign w:val="center"/>
            <w:hideMark/>
          </w:tcPr>
          <w:p w14:paraId="360CC67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319</w:t>
            </w:r>
          </w:p>
        </w:tc>
        <w:tc>
          <w:tcPr>
            <w:tcW w:w="993" w:type="dxa"/>
            <w:shd w:val="clear" w:color="auto" w:fill="FFF2CC" w:themeFill="accent4" w:themeFillTint="33"/>
            <w:noWrap/>
            <w:vAlign w:val="center"/>
            <w:hideMark/>
          </w:tcPr>
          <w:p w14:paraId="23263F9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992" w:type="dxa"/>
            <w:shd w:val="clear" w:color="auto" w:fill="FFF2CC" w:themeFill="accent4" w:themeFillTint="33"/>
            <w:noWrap/>
            <w:vAlign w:val="center"/>
            <w:hideMark/>
          </w:tcPr>
          <w:p w14:paraId="0D612E9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0.3</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6445F27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1134" w:type="dxa"/>
            <w:shd w:val="clear" w:color="000000" w:fill="C6EFCE"/>
            <w:noWrap/>
            <w:vAlign w:val="center"/>
            <w:hideMark/>
          </w:tcPr>
          <w:p w14:paraId="6A735FE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0.3</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6732DBE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52A6B6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351778AD" w14:textId="77777777" w:rsidTr="007F1B7D">
        <w:trPr>
          <w:trHeight w:val="20"/>
        </w:trPr>
        <w:tc>
          <w:tcPr>
            <w:tcW w:w="2127" w:type="dxa"/>
            <w:shd w:val="clear" w:color="auto" w:fill="F2F2F2" w:themeFill="background1" w:themeFillShade="F2"/>
            <w:noWrap/>
            <w:vAlign w:val="center"/>
            <w:hideMark/>
          </w:tcPr>
          <w:p w14:paraId="25289DD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Eggs</w:t>
            </w:r>
          </w:p>
        </w:tc>
        <w:tc>
          <w:tcPr>
            <w:tcW w:w="1134" w:type="dxa"/>
            <w:shd w:val="clear" w:color="auto" w:fill="auto"/>
            <w:noWrap/>
            <w:vAlign w:val="center"/>
            <w:hideMark/>
          </w:tcPr>
          <w:p w14:paraId="223C790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89</w:t>
            </w:r>
          </w:p>
        </w:tc>
        <w:tc>
          <w:tcPr>
            <w:tcW w:w="993" w:type="dxa"/>
            <w:shd w:val="clear" w:color="auto" w:fill="FFF2CC" w:themeFill="accent4" w:themeFillTint="33"/>
            <w:noWrap/>
            <w:vAlign w:val="center"/>
            <w:hideMark/>
          </w:tcPr>
          <w:p w14:paraId="04FCE52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992" w:type="dxa"/>
            <w:shd w:val="clear" w:color="auto" w:fill="FFF2CC" w:themeFill="accent4" w:themeFillTint="33"/>
            <w:noWrap/>
            <w:vAlign w:val="center"/>
            <w:hideMark/>
          </w:tcPr>
          <w:p w14:paraId="74EFE58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3246510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4E9E53BA" w14:textId="77777777" w:rsidR="00AF1690" w:rsidRPr="0062047B" w:rsidRDefault="00AF1690" w:rsidP="007F1B7D">
            <w:pPr>
              <w:jc w:val="center"/>
              <w:rPr>
                <w:rFonts w:eastAsia="Times New Roman" w:cstheme="minorHAnsi"/>
                <w:color w:val="000000" w:themeColor="text1"/>
                <w:sz w:val="18"/>
                <w:szCs w:val="18"/>
              </w:rPr>
            </w:pPr>
            <w:r w:rsidRPr="00991E49">
              <w:rPr>
                <w:rFonts w:eastAsia="Times New Roman" w:cstheme="minorHAnsi"/>
                <w:color w:val="000000" w:themeColor="text1"/>
                <w:sz w:val="18"/>
                <w:szCs w:val="18"/>
              </w:rPr>
              <w:t>0%</w:t>
            </w:r>
          </w:p>
        </w:tc>
        <w:tc>
          <w:tcPr>
            <w:tcW w:w="1134" w:type="dxa"/>
            <w:shd w:val="clear" w:color="000000" w:fill="FFC7CE"/>
            <w:noWrap/>
            <w:vAlign w:val="center"/>
            <w:hideMark/>
          </w:tcPr>
          <w:p w14:paraId="2AFEE18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1134" w:type="dxa"/>
            <w:shd w:val="clear" w:color="000000" w:fill="FFC7CE"/>
            <w:noWrap/>
            <w:vAlign w:val="center"/>
            <w:hideMark/>
          </w:tcPr>
          <w:p w14:paraId="0F1F0BE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w:t>
            </w:r>
            <w:r>
              <w:rPr>
                <w:rFonts w:eastAsia="Times New Roman" w:cstheme="minorHAnsi"/>
                <w:color w:val="000000" w:themeColor="text1"/>
                <w:sz w:val="18"/>
                <w:szCs w:val="18"/>
              </w:rPr>
              <w:t>%</w:t>
            </w:r>
          </w:p>
        </w:tc>
      </w:tr>
      <w:tr w:rsidR="00AF1690" w:rsidRPr="0062047B" w14:paraId="7482BB87" w14:textId="77777777" w:rsidTr="007F1B7D">
        <w:trPr>
          <w:trHeight w:val="20"/>
        </w:trPr>
        <w:tc>
          <w:tcPr>
            <w:tcW w:w="2127" w:type="dxa"/>
            <w:shd w:val="clear" w:color="auto" w:fill="F2F2F2" w:themeFill="background1" w:themeFillShade="F2"/>
            <w:noWrap/>
            <w:vAlign w:val="center"/>
            <w:hideMark/>
          </w:tcPr>
          <w:p w14:paraId="607D58B1"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Processed fish</w:t>
            </w:r>
          </w:p>
        </w:tc>
        <w:tc>
          <w:tcPr>
            <w:tcW w:w="1134" w:type="dxa"/>
            <w:shd w:val="clear" w:color="auto" w:fill="auto"/>
            <w:noWrap/>
            <w:vAlign w:val="center"/>
            <w:hideMark/>
          </w:tcPr>
          <w:p w14:paraId="43C061F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421</w:t>
            </w:r>
          </w:p>
        </w:tc>
        <w:tc>
          <w:tcPr>
            <w:tcW w:w="993" w:type="dxa"/>
            <w:shd w:val="clear" w:color="auto" w:fill="FFF2CC" w:themeFill="accent4" w:themeFillTint="33"/>
            <w:noWrap/>
            <w:vAlign w:val="center"/>
            <w:hideMark/>
          </w:tcPr>
          <w:p w14:paraId="467ABDC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w:t>
            </w:r>
          </w:p>
        </w:tc>
        <w:tc>
          <w:tcPr>
            <w:tcW w:w="992" w:type="dxa"/>
            <w:shd w:val="clear" w:color="auto" w:fill="FFF2CC" w:themeFill="accent4" w:themeFillTint="33"/>
            <w:noWrap/>
            <w:vAlign w:val="center"/>
            <w:hideMark/>
          </w:tcPr>
          <w:p w14:paraId="6DD084D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73841ED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EA0F581" w14:textId="77777777" w:rsidR="00AF1690" w:rsidRPr="0062047B" w:rsidRDefault="00AF1690" w:rsidP="007F1B7D">
            <w:pPr>
              <w:jc w:val="center"/>
              <w:rPr>
                <w:rFonts w:eastAsia="Times New Roman" w:cstheme="minorHAnsi"/>
                <w:color w:val="000000" w:themeColor="text1"/>
                <w:sz w:val="18"/>
                <w:szCs w:val="18"/>
              </w:rPr>
            </w:pPr>
            <w:r w:rsidRPr="00991E49">
              <w:rPr>
                <w:rFonts w:eastAsia="Times New Roman" w:cstheme="minorHAnsi"/>
                <w:color w:val="000000" w:themeColor="text1"/>
                <w:sz w:val="18"/>
                <w:szCs w:val="18"/>
              </w:rPr>
              <w:t>0%</w:t>
            </w:r>
          </w:p>
        </w:tc>
        <w:tc>
          <w:tcPr>
            <w:tcW w:w="1134" w:type="dxa"/>
            <w:shd w:val="clear" w:color="000000" w:fill="FFC7CE"/>
            <w:noWrap/>
            <w:vAlign w:val="center"/>
            <w:hideMark/>
          </w:tcPr>
          <w:p w14:paraId="6FF71B0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w:t>
            </w:r>
          </w:p>
        </w:tc>
        <w:tc>
          <w:tcPr>
            <w:tcW w:w="1134" w:type="dxa"/>
            <w:shd w:val="clear" w:color="000000" w:fill="FFC7CE"/>
            <w:noWrap/>
            <w:vAlign w:val="center"/>
            <w:hideMark/>
          </w:tcPr>
          <w:p w14:paraId="75D481C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w:t>
            </w:r>
            <w:r>
              <w:rPr>
                <w:rFonts w:eastAsia="Times New Roman" w:cstheme="minorHAnsi"/>
                <w:color w:val="000000" w:themeColor="text1"/>
                <w:sz w:val="18"/>
                <w:szCs w:val="18"/>
              </w:rPr>
              <w:t>%</w:t>
            </w:r>
          </w:p>
        </w:tc>
      </w:tr>
      <w:tr w:rsidR="00AF1690" w:rsidRPr="0062047B" w14:paraId="032F547A" w14:textId="77777777" w:rsidTr="007F1B7D">
        <w:trPr>
          <w:trHeight w:val="20"/>
        </w:trPr>
        <w:tc>
          <w:tcPr>
            <w:tcW w:w="2127" w:type="dxa"/>
            <w:shd w:val="clear" w:color="auto" w:fill="F2F2F2" w:themeFill="background1" w:themeFillShade="F2"/>
            <w:noWrap/>
            <w:vAlign w:val="center"/>
            <w:hideMark/>
          </w:tcPr>
          <w:p w14:paraId="566111F8"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Fruit</w:t>
            </w:r>
          </w:p>
        </w:tc>
        <w:tc>
          <w:tcPr>
            <w:tcW w:w="1134" w:type="dxa"/>
            <w:shd w:val="clear" w:color="auto" w:fill="auto"/>
            <w:noWrap/>
            <w:vAlign w:val="center"/>
            <w:hideMark/>
          </w:tcPr>
          <w:p w14:paraId="64FB2E8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533</w:t>
            </w:r>
          </w:p>
        </w:tc>
        <w:tc>
          <w:tcPr>
            <w:tcW w:w="993" w:type="dxa"/>
            <w:shd w:val="clear" w:color="auto" w:fill="FFF2CC" w:themeFill="accent4" w:themeFillTint="33"/>
            <w:noWrap/>
            <w:vAlign w:val="center"/>
            <w:hideMark/>
          </w:tcPr>
          <w:p w14:paraId="133516A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155</w:t>
            </w:r>
          </w:p>
        </w:tc>
        <w:tc>
          <w:tcPr>
            <w:tcW w:w="992" w:type="dxa"/>
            <w:shd w:val="clear" w:color="auto" w:fill="FFF2CC" w:themeFill="accent4" w:themeFillTint="33"/>
            <w:noWrap/>
            <w:vAlign w:val="center"/>
            <w:hideMark/>
          </w:tcPr>
          <w:p w14:paraId="76B22F0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29.1</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2CC2E1C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51</w:t>
            </w:r>
          </w:p>
        </w:tc>
        <w:tc>
          <w:tcPr>
            <w:tcW w:w="1134" w:type="dxa"/>
            <w:shd w:val="clear" w:color="000000" w:fill="C6EFCE"/>
            <w:noWrap/>
            <w:vAlign w:val="center"/>
            <w:hideMark/>
          </w:tcPr>
          <w:p w14:paraId="4B5C7F0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9.6</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36816943"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104</w:t>
            </w:r>
          </w:p>
        </w:tc>
        <w:tc>
          <w:tcPr>
            <w:tcW w:w="1134" w:type="dxa"/>
            <w:shd w:val="clear" w:color="000000" w:fill="FFC7CE"/>
            <w:noWrap/>
            <w:vAlign w:val="center"/>
            <w:hideMark/>
          </w:tcPr>
          <w:p w14:paraId="1DAFFAA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19.5</w:t>
            </w:r>
            <w:r>
              <w:rPr>
                <w:rFonts w:eastAsia="Times New Roman" w:cstheme="minorHAnsi"/>
                <w:color w:val="000000" w:themeColor="text1"/>
                <w:sz w:val="18"/>
                <w:szCs w:val="18"/>
              </w:rPr>
              <w:t>%</w:t>
            </w:r>
          </w:p>
        </w:tc>
      </w:tr>
      <w:tr w:rsidR="00AF1690" w:rsidRPr="0062047B" w14:paraId="4B1D1ED2" w14:textId="77777777" w:rsidTr="007F1B7D">
        <w:trPr>
          <w:trHeight w:val="20"/>
        </w:trPr>
        <w:tc>
          <w:tcPr>
            <w:tcW w:w="2127" w:type="dxa"/>
            <w:shd w:val="clear" w:color="auto" w:fill="F2F2F2" w:themeFill="background1" w:themeFillShade="F2"/>
            <w:noWrap/>
            <w:vAlign w:val="center"/>
            <w:hideMark/>
          </w:tcPr>
          <w:p w14:paraId="49C87934"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Jam</w:t>
            </w:r>
            <w:r>
              <w:rPr>
                <w:rFonts w:eastAsia="Times New Roman" w:cstheme="minorHAnsi"/>
                <w:b/>
                <w:bCs/>
                <w:color w:val="000000"/>
                <w:sz w:val="18"/>
                <w:szCs w:val="18"/>
              </w:rPr>
              <w:t xml:space="preserve">s, </w:t>
            </w:r>
            <w:r w:rsidRPr="0062047B">
              <w:rPr>
                <w:rFonts w:eastAsia="Times New Roman" w:cstheme="minorHAnsi"/>
                <w:b/>
                <w:bCs/>
                <w:color w:val="000000"/>
                <w:sz w:val="18"/>
                <w:szCs w:val="18"/>
              </w:rPr>
              <w:t>marmalades</w:t>
            </w:r>
          </w:p>
        </w:tc>
        <w:tc>
          <w:tcPr>
            <w:tcW w:w="1134" w:type="dxa"/>
            <w:shd w:val="clear" w:color="auto" w:fill="auto"/>
            <w:noWrap/>
            <w:vAlign w:val="center"/>
            <w:hideMark/>
          </w:tcPr>
          <w:p w14:paraId="2ADE922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113</w:t>
            </w:r>
          </w:p>
        </w:tc>
        <w:tc>
          <w:tcPr>
            <w:tcW w:w="993" w:type="dxa"/>
            <w:shd w:val="clear" w:color="auto" w:fill="FFF2CC" w:themeFill="accent4" w:themeFillTint="33"/>
            <w:noWrap/>
            <w:vAlign w:val="center"/>
            <w:hideMark/>
          </w:tcPr>
          <w:p w14:paraId="379A30A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66</w:t>
            </w:r>
          </w:p>
        </w:tc>
        <w:tc>
          <w:tcPr>
            <w:tcW w:w="992" w:type="dxa"/>
            <w:shd w:val="clear" w:color="auto" w:fill="FFF2CC" w:themeFill="accent4" w:themeFillTint="33"/>
            <w:noWrap/>
            <w:vAlign w:val="center"/>
            <w:hideMark/>
          </w:tcPr>
          <w:p w14:paraId="314A010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58.4</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7F16AC3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3D94359" w14:textId="77777777" w:rsidR="00AF1690" w:rsidRPr="0062047B" w:rsidRDefault="00AF1690" w:rsidP="007F1B7D">
            <w:pPr>
              <w:jc w:val="center"/>
              <w:rPr>
                <w:rFonts w:eastAsia="Times New Roman" w:cstheme="minorHAnsi"/>
                <w:color w:val="000000" w:themeColor="text1"/>
                <w:sz w:val="18"/>
                <w:szCs w:val="18"/>
              </w:rPr>
            </w:pPr>
            <w:r w:rsidRPr="0024304C">
              <w:rPr>
                <w:rFonts w:eastAsia="Times New Roman" w:cstheme="minorHAnsi"/>
                <w:color w:val="000000" w:themeColor="text1"/>
                <w:sz w:val="18"/>
                <w:szCs w:val="18"/>
              </w:rPr>
              <w:t>0%</w:t>
            </w:r>
          </w:p>
        </w:tc>
        <w:tc>
          <w:tcPr>
            <w:tcW w:w="1134" w:type="dxa"/>
            <w:shd w:val="clear" w:color="000000" w:fill="FFC7CE"/>
            <w:noWrap/>
            <w:vAlign w:val="center"/>
            <w:hideMark/>
          </w:tcPr>
          <w:p w14:paraId="60F97BE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66</w:t>
            </w:r>
          </w:p>
        </w:tc>
        <w:tc>
          <w:tcPr>
            <w:tcW w:w="1134" w:type="dxa"/>
            <w:shd w:val="clear" w:color="000000" w:fill="FFC7CE"/>
            <w:noWrap/>
            <w:vAlign w:val="center"/>
            <w:hideMark/>
          </w:tcPr>
          <w:p w14:paraId="5E14480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58.4</w:t>
            </w:r>
            <w:r>
              <w:rPr>
                <w:rFonts w:eastAsia="Times New Roman" w:cstheme="minorHAnsi"/>
                <w:color w:val="000000" w:themeColor="text1"/>
                <w:sz w:val="18"/>
                <w:szCs w:val="18"/>
              </w:rPr>
              <w:t>%</w:t>
            </w:r>
          </w:p>
        </w:tc>
      </w:tr>
      <w:tr w:rsidR="00AF1690" w:rsidRPr="0062047B" w14:paraId="792C3082" w14:textId="77777777" w:rsidTr="007F1B7D">
        <w:trPr>
          <w:trHeight w:val="20"/>
        </w:trPr>
        <w:tc>
          <w:tcPr>
            <w:tcW w:w="2127" w:type="dxa"/>
            <w:shd w:val="clear" w:color="auto" w:fill="F2F2F2" w:themeFill="background1" w:themeFillShade="F2"/>
            <w:noWrap/>
            <w:vAlign w:val="center"/>
            <w:hideMark/>
          </w:tcPr>
          <w:p w14:paraId="3734410C"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Nuts and seeds</w:t>
            </w:r>
          </w:p>
        </w:tc>
        <w:tc>
          <w:tcPr>
            <w:tcW w:w="1134" w:type="dxa"/>
            <w:shd w:val="clear" w:color="auto" w:fill="auto"/>
            <w:noWrap/>
            <w:vAlign w:val="center"/>
            <w:hideMark/>
          </w:tcPr>
          <w:p w14:paraId="6AB02C4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253</w:t>
            </w:r>
          </w:p>
        </w:tc>
        <w:tc>
          <w:tcPr>
            <w:tcW w:w="993" w:type="dxa"/>
            <w:shd w:val="clear" w:color="auto" w:fill="FFF2CC" w:themeFill="accent4" w:themeFillTint="33"/>
            <w:noWrap/>
            <w:vAlign w:val="center"/>
            <w:hideMark/>
          </w:tcPr>
          <w:p w14:paraId="039F34C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992" w:type="dxa"/>
            <w:shd w:val="clear" w:color="auto" w:fill="FFF2CC" w:themeFill="accent4" w:themeFillTint="33"/>
            <w:noWrap/>
            <w:vAlign w:val="center"/>
            <w:hideMark/>
          </w:tcPr>
          <w:p w14:paraId="0DB86461"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0.4</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75EF858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00E3416D" w14:textId="77777777" w:rsidR="00AF1690" w:rsidRPr="0062047B" w:rsidRDefault="00AF1690" w:rsidP="007F1B7D">
            <w:pPr>
              <w:jc w:val="center"/>
              <w:rPr>
                <w:rFonts w:eastAsia="Times New Roman" w:cstheme="minorHAnsi"/>
                <w:color w:val="000000" w:themeColor="text1"/>
                <w:sz w:val="18"/>
                <w:szCs w:val="18"/>
              </w:rPr>
            </w:pPr>
            <w:r w:rsidRPr="0024304C">
              <w:rPr>
                <w:rFonts w:eastAsia="Times New Roman" w:cstheme="minorHAnsi"/>
                <w:color w:val="000000" w:themeColor="text1"/>
                <w:sz w:val="18"/>
                <w:szCs w:val="18"/>
              </w:rPr>
              <w:t>0%</w:t>
            </w:r>
          </w:p>
        </w:tc>
        <w:tc>
          <w:tcPr>
            <w:tcW w:w="1134" w:type="dxa"/>
            <w:shd w:val="clear" w:color="000000" w:fill="FFC7CE"/>
            <w:noWrap/>
            <w:vAlign w:val="center"/>
            <w:hideMark/>
          </w:tcPr>
          <w:p w14:paraId="2951A5E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p>
        </w:tc>
        <w:tc>
          <w:tcPr>
            <w:tcW w:w="1134" w:type="dxa"/>
            <w:shd w:val="clear" w:color="000000" w:fill="FFC7CE"/>
            <w:noWrap/>
            <w:vAlign w:val="center"/>
            <w:hideMark/>
          </w:tcPr>
          <w:p w14:paraId="3C5738D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0.4</w:t>
            </w:r>
            <w:r>
              <w:rPr>
                <w:rFonts w:eastAsia="Times New Roman" w:cstheme="minorHAnsi"/>
                <w:color w:val="000000" w:themeColor="text1"/>
                <w:sz w:val="18"/>
                <w:szCs w:val="18"/>
              </w:rPr>
              <w:t>%</w:t>
            </w:r>
          </w:p>
        </w:tc>
      </w:tr>
      <w:tr w:rsidR="00AF1690" w:rsidRPr="0062047B" w14:paraId="214DD22F" w14:textId="77777777" w:rsidTr="007F1B7D">
        <w:trPr>
          <w:trHeight w:val="20"/>
        </w:trPr>
        <w:tc>
          <w:tcPr>
            <w:tcW w:w="2127" w:type="dxa"/>
            <w:shd w:val="clear" w:color="auto" w:fill="F2F2F2" w:themeFill="background1" w:themeFillShade="F2"/>
            <w:noWrap/>
            <w:vAlign w:val="center"/>
            <w:hideMark/>
          </w:tcPr>
          <w:p w14:paraId="2F4DEDC1"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Vegetables</w:t>
            </w:r>
          </w:p>
        </w:tc>
        <w:tc>
          <w:tcPr>
            <w:tcW w:w="1134" w:type="dxa"/>
            <w:shd w:val="clear" w:color="auto" w:fill="auto"/>
            <w:noWrap/>
            <w:vAlign w:val="center"/>
            <w:hideMark/>
          </w:tcPr>
          <w:p w14:paraId="5BA6C8C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778</w:t>
            </w:r>
          </w:p>
        </w:tc>
        <w:tc>
          <w:tcPr>
            <w:tcW w:w="993" w:type="dxa"/>
            <w:shd w:val="clear" w:color="auto" w:fill="FFF2CC" w:themeFill="accent4" w:themeFillTint="33"/>
            <w:noWrap/>
            <w:vAlign w:val="center"/>
            <w:hideMark/>
          </w:tcPr>
          <w:p w14:paraId="28712E9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140</w:t>
            </w:r>
          </w:p>
        </w:tc>
        <w:tc>
          <w:tcPr>
            <w:tcW w:w="992" w:type="dxa"/>
            <w:shd w:val="clear" w:color="auto" w:fill="FFF2CC" w:themeFill="accent4" w:themeFillTint="33"/>
            <w:noWrap/>
            <w:vAlign w:val="center"/>
            <w:hideMark/>
          </w:tcPr>
          <w:p w14:paraId="19154ED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18.0</w:t>
            </w:r>
            <w:r w:rsidRPr="007B33CC">
              <w:rPr>
                <w:rFonts w:eastAsia="Times New Roman" w:cstheme="minorHAnsi"/>
                <w:color w:val="000000" w:themeColor="text1"/>
                <w:sz w:val="18"/>
                <w:szCs w:val="18"/>
              </w:rPr>
              <w:t>%</w:t>
            </w:r>
          </w:p>
        </w:tc>
        <w:tc>
          <w:tcPr>
            <w:tcW w:w="1134" w:type="dxa"/>
            <w:shd w:val="clear" w:color="000000" w:fill="C6EFCE"/>
            <w:noWrap/>
            <w:vAlign w:val="center"/>
            <w:hideMark/>
          </w:tcPr>
          <w:p w14:paraId="617D7A5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85</w:t>
            </w:r>
          </w:p>
        </w:tc>
        <w:tc>
          <w:tcPr>
            <w:tcW w:w="1134" w:type="dxa"/>
            <w:shd w:val="clear" w:color="000000" w:fill="C6EFCE"/>
            <w:noWrap/>
            <w:vAlign w:val="center"/>
            <w:hideMark/>
          </w:tcPr>
          <w:p w14:paraId="25CB7AA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10.9</w:t>
            </w:r>
            <w:r w:rsidRPr="007B33CC">
              <w:rPr>
                <w:rFonts w:eastAsia="Times New Roman" w:cstheme="minorHAnsi"/>
                <w:color w:val="000000" w:themeColor="text1"/>
                <w:sz w:val="18"/>
                <w:szCs w:val="18"/>
              </w:rPr>
              <w:t>%</w:t>
            </w:r>
          </w:p>
        </w:tc>
        <w:tc>
          <w:tcPr>
            <w:tcW w:w="1134" w:type="dxa"/>
            <w:shd w:val="clear" w:color="000000" w:fill="FFC7CE"/>
            <w:noWrap/>
            <w:vAlign w:val="center"/>
            <w:hideMark/>
          </w:tcPr>
          <w:p w14:paraId="0A2E309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55</w:t>
            </w:r>
          </w:p>
        </w:tc>
        <w:tc>
          <w:tcPr>
            <w:tcW w:w="1134" w:type="dxa"/>
            <w:shd w:val="clear" w:color="000000" w:fill="FFC7CE"/>
            <w:noWrap/>
            <w:vAlign w:val="center"/>
            <w:hideMark/>
          </w:tcPr>
          <w:p w14:paraId="290AE05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7.1</w:t>
            </w:r>
            <w:r>
              <w:rPr>
                <w:rFonts w:eastAsia="Times New Roman" w:cstheme="minorHAnsi"/>
                <w:color w:val="000000" w:themeColor="text1"/>
                <w:sz w:val="18"/>
                <w:szCs w:val="18"/>
              </w:rPr>
              <w:t>%</w:t>
            </w:r>
          </w:p>
        </w:tc>
      </w:tr>
      <w:tr w:rsidR="00AF1690" w:rsidRPr="0062047B" w14:paraId="61763CB9" w14:textId="77777777" w:rsidTr="007F1B7D">
        <w:trPr>
          <w:trHeight w:val="20"/>
        </w:trPr>
        <w:tc>
          <w:tcPr>
            <w:tcW w:w="2127" w:type="dxa"/>
            <w:shd w:val="clear" w:color="auto" w:fill="F2F2F2" w:themeFill="background1" w:themeFillShade="F2"/>
            <w:noWrap/>
            <w:vAlign w:val="center"/>
            <w:hideMark/>
          </w:tcPr>
          <w:p w14:paraId="418527B8"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Meat alternatives</w:t>
            </w:r>
          </w:p>
        </w:tc>
        <w:tc>
          <w:tcPr>
            <w:tcW w:w="1134" w:type="dxa"/>
            <w:shd w:val="clear" w:color="auto" w:fill="auto"/>
            <w:noWrap/>
            <w:vAlign w:val="center"/>
            <w:hideMark/>
          </w:tcPr>
          <w:p w14:paraId="2C51A51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68</w:t>
            </w:r>
          </w:p>
        </w:tc>
        <w:tc>
          <w:tcPr>
            <w:tcW w:w="993" w:type="dxa"/>
            <w:shd w:val="clear" w:color="auto" w:fill="auto"/>
            <w:noWrap/>
            <w:vAlign w:val="center"/>
            <w:hideMark/>
          </w:tcPr>
          <w:p w14:paraId="53376F1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992" w:type="dxa"/>
            <w:shd w:val="clear" w:color="auto" w:fill="auto"/>
            <w:noWrap/>
            <w:vAlign w:val="center"/>
            <w:hideMark/>
          </w:tcPr>
          <w:p w14:paraId="10ADE2B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79DEFE4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7ACF249E" w14:textId="77777777" w:rsidR="00AF1690" w:rsidRPr="0062047B" w:rsidRDefault="00AF1690" w:rsidP="007F1B7D">
            <w:pPr>
              <w:jc w:val="center"/>
              <w:rPr>
                <w:rFonts w:eastAsia="Times New Roman" w:cstheme="minorHAnsi"/>
                <w:color w:val="000000" w:themeColor="text1"/>
                <w:sz w:val="18"/>
                <w:szCs w:val="18"/>
              </w:rPr>
            </w:pPr>
            <w:r w:rsidRPr="007B33CC">
              <w:rPr>
                <w:rFonts w:eastAsia="Times New Roman" w:cstheme="minorHAnsi"/>
                <w:color w:val="000000" w:themeColor="text1"/>
                <w:sz w:val="18"/>
                <w:szCs w:val="18"/>
              </w:rPr>
              <w:t>0%</w:t>
            </w:r>
          </w:p>
        </w:tc>
        <w:tc>
          <w:tcPr>
            <w:tcW w:w="1134" w:type="dxa"/>
            <w:shd w:val="clear" w:color="auto" w:fill="auto"/>
            <w:noWrap/>
            <w:vAlign w:val="center"/>
            <w:hideMark/>
          </w:tcPr>
          <w:p w14:paraId="77BCAE6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1C7C23C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6A9970DE" w14:textId="77777777" w:rsidTr="007F1B7D">
        <w:trPr>
          <w:trHeight w:val="20"/>
        </w:trPr>
        <w:tc>
          <w:tcPr>
            <w:tcW w:w="2127" w:type="dxa"/>
            <w:shd w:val="clear" w:color="auto" w:fill="F2F2F2" w:themeFill="background1" w:themeFillShade="F2"/>
            <w:noWrap/>
            <w:vAlign w:val="center"/>
            <w:hideMark/>
          </w:tcPr>
          <w:p w14:paraId="10046977"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Processed meat</w:t>
            </w:r>
          </w:p>
        </w:tc>
        <w:tc>
          <w:tcPr>
            <w:tcW w:w="1134" w:type="dxa"/>
            <w:shd w:val="clear" w:color="auto" w:fill="auto"/>
            <w:noWrap/>
            <w:vAlign w:val="center"/>
            <w:hideMark/>
          </w:tcPr>
          <w:p w14:paraId="144EAF0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959</w:t>
            </w:r>
          </w:p>
        </w:tc>
        <w:tc>
          <w:tcPr>
            <w:tcW w:w="993" w:type="dxa"/>
            <w:shd w:val="clear" w:color="auto" w:fill="FFF2CC" w:themeFill="accent4" w:themeFillTint="33"/>
            <w:noWrap/>
            <w:vAlign w:val="center"/>
            <w:hideMark/>
          </w:tcPr>
          <w:p w14:paraId="299E881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74</w:t>
            </w:r>
          </w:p>
        </w:tc>
        <w:tc>
          <w:tcPr>
            <w:tcW w:w="992" w:type="dxa"/>
            <w:shd w:val="clear" w:color="auto" w:fill="FFF2CC" w:themeFill="accent4" w:themeFillTint="33"/>
            <w:noWrap/>
            <w:vAlign w:val="center"/>
            <w:hideMark/>
          </w:tcPr>
          <w:p w14:paraId="41D8030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7.7</w:t>
            </w:r>
            <w:r w:rsidRPr="007B33CC">
              <w:rPr>
                <w:rFonts w:eastAsia="Times New Roman" w:cstheme="minorHAnsi"/>
                <w:color w:val="000000" w:themeColor="text1"/>
                <w:sz w:val="18"/>
                <w:szCs w:val="18"/>
              </w:rPr>
              <w:t>%</w:t>
            </w:r>
          </w:p>
        </w:tc>
        <w:tc>
          <w:tcPr>
            <w:tcW w:w="1134" w:type="dxa"/>
            <w:shd w:val="clear" w:color="auto" w:fill="auto"/>
            <w:noWrap/>
            <w:vAlign w:val="center"/>
            <w:hideMark/>
          </w:tcPr>
          <w:p w14:paraId="16F8ABC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5CE3171C" w14:textId="77777777" w:rsidR="00AF1690" w:rsidRPr="0062047B" w:rsidRDefault="00AF1690" w:rsidP="007F1B7D">
            <w:pPr>
              <w:jc w:val="center"/>
              <w:rPr>
                <w:rFonts w:eastAsia="Times New Roman" w:cstheme="minorHAnsi"/>
                <w:color w:val="000000" w:themeColor="text1"/>
                <w:sz w:val="18"/>
                <w:szCs w:val="18"/>
              </w:rPr>
            </w:pPr>
            <w:r w:rsidRPr="007B33CC">
              <w:rPr>
                <w:rFonts w:eastAsia="Times New Roman" w:cstheme="minorHAnsi"/>
                <w:color w:val="000000" w:themeColor="text1"/>
                <w:sz w:val="18"/>
                <w:szCs w:val="18"/>
              </w:rPr>
              <w:t>0%</w:t>
            </w:r>
          </w:p>
        </w:tc>
        <w:tc>
          <w:tcPr>
            <w:tcW w:w="1134" w:type="dxa"/>
            <w:shd w:val="clear" w:color="000000" w:fill="FFC7CE"/>
            <w:noWrap/>
            <w:vAlign w:val="center"/>
            <w:hideMark/>
          </w:tcPr>
          <w:p w14:paraId="0EFA65E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74</w:t>
            </w:r>
          </w:p>
        </w:tc>
        <w:tc>
          <w:tcPr>
            <w:tcW w:w="1134" w:type="dxa"/>
            <w:shd w:val="clear" w:color="000000" w:fill="FFC7CE"/>
            <w:noWrap/>
            <w:vAlign w:val="center"/>
            <w:hideMark/>
          </w:tcPr>
          <w:p w14:paraId="372391B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7.7</w:t>
            </w:r>
            <w:r>
              <w:rPr>
                <w:rFonts w:eastAsia="Times New Roman" w:cstheme="minorHAnsi"/>
                <w:color w:val="000000" w:themeColor="text1"/>
                <w:sz w:val="18"/>
                <w:szCs w:val="18"/>
              </w:rPr>
              <w:t>%</w:t>
            </w:r>
          </w:p>
        </w:tc>
      </w:tr>
      <w:tr w:rsidR="00AF1690" w:rsidRPr="0062047B" w14:paraId="039EC3BF" w14:textId="77777777" w:rsidTr="007F1B7D">
        <w:trPr>
          <w:trHeight w:val="20"/>
        </w:trPr>
        <w:tc>
          <w:tcPr>
            <w:tcW w:w="2127" w:type="dxa"/>
            <w:shd w:val="clear" w:color="auto" w:fill="F2F2F2" w:themeFill="background1" w:themeFillShade="F2"/>
            <w:noWrap/>
            <w:vAlign w:val="center"/>
            <w:hideMark/>
          </w:tcPr>
          <w:p w14:paraId="1A5C6EBD"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Mayonnaise</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salad dressings</w:t>
            </w:r>
          </w:p>
        </w:tc>
        <w:tc>
          <w:tcPr>
            <w:tcW w:w="1134" w:type="dxa"/>
            <w:shd w:val="clear" w:color="auto" w:fill="auto"/>
            <w:noWrap/>
            <w:vAlign w:val="center"/>
            <w:hideMark/>
          </w:tcPr>
          <w:p w14:paraId="6711085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199</w:t>
            </w:r>
          </w:p>
        </w:tc>
        <w:tc>
          <w:tcPr>
            <w:tcW w:w="993" w:type="dxa"/>
            <w:shd w:val="clear" w:color="auto" w:fill="FFF2CC" w:themeFill="accent4" w:themeFillTint="33"/>
            <w:noWrap/>
            <w:vAlign w:val="center"/>
            <w:hideMark/>
          </w:tcPr>
          <w:p w14:paraId="137A274F"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16</w:t>
            </w:r>
          </w:p>
        </w:tc>
        <w:tc>
          <w:tcPr>
            <w:tcW w:w="992" w:type="dxa"/>
            <w:shd w:val="clear" w:color="auto" w:fill="FFF2CC" w:themeFill="accent4" w:themeFillTint="33"/>
            <w:noWrap/>
            <w:vAlign w:val="center"/>
            <w:hideMark/>
          </w:tcPr>
          <w:p w14:paraId="5042C788"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8.0</w:t>
            </w:r>
            <w:r>
              <w:rPr>
                <w:rFonts w:eastAsia="Times New Roman" w:cstheme="minorHAnsi"/>
                <w:color w:val="000000" w:themeColor="text1"/>
                <w:sz w:val="18"/>
                <w:szCs w:val="18"/>
              </w:rPr>
              <w:t>%</w:t>
            </w:r>
          </w:p>
        </w:tc>
        <w:tc>
          <w:tcPr>
            <w:tcW w:w="1134" w:type="dxa"/>
            <w:shd w:val="clear" w:color="auto" w:fill="auto"/>
            <w:noWrap/>
            <w:vAlign w:val="center"/>
            <w:hideMark/>
          </w:tcPr>
          <w:p w14:paraId="2CED915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30ED5D6B"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1D25AF2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16</w:t>
            </w:r>
          </w:p>
        </w:tc>
        <w:tc>
          <w:tcPr>
            <w:tcW w:w="1134" w:type="dxa"/>
            <w:shd w:val="clear" w:color="000000" w:fill="FFC7CE"/>
            <w:noWrap/>
            <w:vAlign w:val="center"/>
            <w:hideMark/>
          </w:tcPr>
          <w:p w14:paraId="49BD70D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8.0</w:t>
            </w:r>
            <w:r>
              <w:rPr>
                <w:rFonts w:eastAsia="Times New Roman" w:cstheme="minorHAnsi"/>
                <w:color w:val="000000" w:themeColor="text1"/>
                <w:sz w:val="18"/>
                <w:szCs w:val="18"/>
              </w:rPr>
              <w:t>%</w:t>
            </w:r>
          </w:p>
        </w:tc>
      </w:tr>
      <w:tr w:rsidR="00AF1690" w:rsidRPr="0062047B" w14:paraId="3DACF3AF" w14:textId="77777777" w:rsidTr="007F1B7D">
        <w:trPr>
          <w:trHeight w:val="20"/>
        </w:trPr>
        <w:tc>
          <w:tcPr>
            <w:tcW w:w="2127" w:type="dxa"/>
            <w:shd w:val="clear" w:color="auto" w:fill="F2F2F2" w:themeFill="background1" w:themeFillShade="F2"/>
            <w:noWrap/>
            <w:vAlign w:val="center"/>
            <w:hideMark/>
          </w:tcPr>
          <w:p w14:paraId="7CC82F7B"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Sauces</w:t>
            </w:r>
          </w:p>
        </w:tc>
        <w:tc>
          <w:tcPr>
            <w:tcW w:w="1134" w:type="dxa"/>
            <w:shd w:val="clear" w:color="auto" w:fill="auto"/>
            <w:noWrap/>
            <w:vAlign w:val="center"/>
            <w:hideMark/>
          </w:tcPr>
          <w:p w14:paraId="26D26B42" w14:textId="206E945C"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w:t>
            </w:r>
            <w:r w:rsidR="00F37134">
              <w:rPr>
                <w:rFonts w:eastAsia="Times New Roman" w:cstheme="minorHAnsi"/>
                <w:color w:val="000000" w:themeColor="text1"/>
                <w:sz w:val="18"/>
                <w:szCs w:val="18"/>
              </w:rPr>
              <w:t>,</w:t>
            </w:r>
            <w:r w:rsidRPr="0062047B">
              <w:rPr>
                <w:rFonts w:eastAsia="Times New Roman" w:cstheme="minorHAnsi"/>
                <w:color w:val="000000" w:themeColor="text1"/>
                <w:sz w:val="18"/>
                <w:szCs w:val="18"/>
              </w:rPr>
              <w:t>071</w:t>
            </w:r>
          </w:p>
        </w:tc>
        <w:tc>
          <w:tcPr>
            <w:tcW w:w="993" w:type="dxa"/>
            <w:shd w:val="clear" w:color="auto" w:fill="FFF2CC" w:themeFill="accent4" w:themeFillTint="33"/>
            <w:noWrap/>
            <w:vAlign w:val="center"/>
            <w:hideMark/>
          </w:tcPr>
          <w:p w14:paraId="71699A44"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183</w:t>
            </w:r>
          </w:p>
        </w:tc>
        <w:tc>
          <w:tcPr>
            <w:tcW w:w="992" w:type="dxa"/>
            <w:shd w:val="clear" w:color="auto" w:fill="FFF2CC" w:themeFill="accent4" w:themeFillTint="33"/>
            <w:noWrap/>
            <w:vAlign w:val="center"/>
            <w:hideMark/>
          </w:tcPr>
          <w:p w14:paraId="7B5013FE"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17.1</w:t>
            </w:r>
            <w:r>
              <w:rPr>
                <w:rFonts w:eastAsia="Times New Roman" w:cstheme="minorHAnsi"/>
                <w:color w:val="000000" w:themeColor="text1"/>
                <w:sz w:val="18"/>
                <w:szCs w:val="18"/>
              </w:rPr>
              <w:t>%</w:t>
            </w:r>
          </w:p>
        </w:tc>
        <w:tc>
          <w:tcPr>
            <w:tcW w:w="1134" w:type="dxa"/>
            <w:shd w:val="clear" w:color="auto" w:fill="auto"/>
            <w:noWrap/>
            <w:vAlign w:val="center"/>
            <w:hideMark/>
          </w:tcPr>
          <w:p w14:paraId="4A1BE9B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2BE0ECDD"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6EEBB1A6"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183</w:t>
            </w:r>
          </w:p>
        </w:tc>
        <w:tc>
          <w:tcPr>
            <w:tcW w:w="1134" w:type="dxa"/>
            <w:shd w:val="clear" w:color="000000" w:fill="FFC7CE"/>
            <w:noWrap/>
            <w:vAlign w:val="center"/>
            <w:hideMark/>
          </w:tcPr>
          <w:p w14:paraId="630B259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17.1</w:t>
            </w:r>
            <w:r>
              <w:rPr>
                <w:rFonts w:eastAsia="Times New Roman" w:cstheme="minorHAnsi"/>
                <w:color w:val="000000" w:themeColor="text1"/>
                <w:sz w:val="18"/>
                <w:szCs w:val="18"/>
              </w:rPr>
              <w:t>%</w:t>
            </w:r>
          </w:p>
        </w:tc>
      </w:tr>
      <w:tr w:rsidR="00AF1690" w:rsidRPr="0062047B" w14:paraId="627AB705" w14:textId="77777777" w:rsidTr="007F1B7D">
        <w:trPr>
          <w:trHeight w:val="20"/>
        </w:trPr>
        <w:tc>
          <w:tcPr>
            <w:tcW w:w="2127" w:type="dxa"/>
            <w:shd w:val="clear" w:color="auto" w:fill="F2F2F2" w:themeFill="background1" w:themeFillShade="F2"/>
            <w:noWrap/>
            <w:vAlign w:val="center"/>
            <w:hideMark/>
          </w:tcPr>
          <w:p w14:paraId="2F0D4968"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Spreads</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dips</w:t>
            </w:r>
          </w:p>
        </w:tc>
        <w:tc>
          <w:tcPr>
            <w:tcW w:w="1134" w:type="dxa"/>
            <w:shd w:val="clear" w:color="auto" w:fill="auto"/>
            <w:noWrap/>
            <w:vAlign w:val="center"/>
            <w:hideMark/>
          </w:tcPr>
          <w:p w14:paraId="2BC5E38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491</w:t>
            </w:r>
          </w:p>
        </w:tc>
        <w:tc>
          <w:tcPr>
            <w:tcW w:w="993" w:type="dxa"/>
            <w:shd w:val="clear" w:color="auto" w:fill="FFF2CC" w:themeFill="accent4" w:themeFillTint="33"/>
            <w:noWrap/>
            <w:vAlign w:val="center"/>
            <w:hideMark/>
          </w:tcPr>
          <w:p w14:paraId="61B6E6E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w:t>
            </w:r>
          </w:p>
        </w:tc>
        <w:tc>
          <w:tcPr>
            <w:tcW w:w="992" w:type="dxa"/>
            <w:shd w:val="clear" w:color="auto" w:fill="FFF2CC" w:themeFill="accent4" w:themeFillTint="33"/>
            <w:noWrap/>
            <w:vAlign w:val="center"/>
            <w:hideMark/>
          </w:tcPr>
          <w:p w14:paraId="40C5B1A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9.6</w:t>
            </w:r>
            <w:r>
              <w:rPr>
                <w:rFonts w:eastAsia="Times New Roman" w:cstheme="minorHAnsi"/>
                <w:color w:val="000000" w:themeColor="text1"/>
                <w:sz w:val="18"/>
                <w:szCs w:val="18"/>
              </w:rPr>
              <w:t>%</w:t>
            </w:r>
          </w:p>
        </w:tc>
        <w:tc>
          <w:tcPr>
            <w:tcW w:w="1134" w:type="dxa"/>
            <w:shd w:val="clear" w:color="auto" w:fill="auto"/>
            <w:noWrap/>
            <w:vAlign w:val="center"/>
            <w:hideMark/>
          </w:tcPr>
          <w:p w14:paraId="7B3CCC7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67D2D60"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6B42999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47</w:t>
            </w:r>
          </w:p>
        </w:tc>
        <w:tc>
          <w:tcPr>
            <w:tcW w:w="1134" w:type="dxa"/>
            <w:shd w:val="clear" w:color="000000" w:fill="FFC7CE"/>
            <w:noWrap/>
            <w:vAlign w:val="center"/>
            <w:hideMark/>
          </w:tcPr>
          <w:p w14:paraId="750BD86D"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9.6</w:t>
            </w:r>
            <w:r>
              <w:rPr>
                <w:rFonts w:eastAsia="Times New Roman" w:cstheme="minorHAnsi"/>
                <w:color w:val="000000" w:themeColor="text1"/>
                <w:sz w:val="18"/>
                <w:szCs w:val="18"/>
              </w:rPr>
              <w:t>%</w:t>
            </w:r>
          </w:p>
        </w:tc>
      </w:tr>
      <w:tr w:rsidR="00AF1690" w:rsidRPr="0062047B" w14:paraId="5A830986" w14:textId="77777777" w:rsidTr="007F1B7D">
        <w:trPr>
          <w:trHeight w:val="20"/>
        </w:trPr>
        <w:tc>
          <w:tcPr>
            <w:tcW w:w="2127" w:type="dxa"/>
            <w:shd w:val="clear" w:color="auto" w:fill="F2F2F2" w:themeFill="background1" w:themeFillShade="F2"/>
            <w:noWrap/>
            <w:vAlign w:val="center"/>
            <w:hideMark/>
          </w:tcPr>
          <w:p w14:paraId="18CC2A8A"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Crisps</w:t>
            </w:r>
            <w:r>
              <w:rPr>
                <w:rFonts w:eastAsia="Times New Roman" w:cstheme="minorHAnsi"/>
                <w:b/>
                <w:bCs/>
                <w:color w:val="000000"/>
                <w:sz w:val="18"/>
                <w:szCs w:val="18"/>
              </w:rPr>
              <w:t>/</w:t>
            </w:r>
            <w:r w:rsidRPr="0062047B">
              <w:rPr>
                <w:rFonts w:eastAsia="Times New Roman" w:cstheme="minorHAnsi"/>
                <w:b/>
                <w:bCs/>
                <w:color w:val="000000"/>
                <w:sz w:val="18"/>
                <w:szCs w:val="18"/>
              </w:rPr>
              <w:t>snacks</w:t>
            </w:r>
          </w:p>
        </w:tc>
        <w:tc>
          <w:tcPr>
            <w:tcW w:w="1134" w:type="dxa"/>
            <w:shd w:val="clear" w:color="auto" w:fill="auto"/>
            <w:noWrap/>
            <w:vAlign w:val="center"/>
            <w:hideMark/>
          </w:tcPr>
          <w:p w14:paraId="6B889CF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511</w:t>
            </w:r>
          </w:p>
        </w:tc>
        <w:tc>
          <w:tcPr>
            <w:tcW w:w="993" w:type="dxa"/>
            <w:shd w:val="clear" w:color="auto" w:fill="FFF2CC" w:themeFill="accent4" w:themeFillTint="33"/>
            <w:noWrap/>
            <w:vAlign w:val="center"/>
            <w:hideMark/>
          </w:tcPr>
          <w:p w14:paraId="72F994D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20</w:t>
            </w:r>
          </w:p>
        </w:tc>
        <w:tc>
          <w:tcPr>
            <w:tcW w:w="992" w:type="dxa"/>
            <w:shd w:val="clear" w:color="auto" w:fill="FFF2CC" w:themeFill="accent4" w:themeFillTint="33"/>
            <w:noWrap/>
            <w:vAlign w:val="center"/>
            <w:hideMark/>
          </w:tcPr>
          <w:p w14:paraId="6BD05E29"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3.9</w:t>
            </w:r>
            <w:r>
              <w:rPr>
                <w:rFonts w:eastAsia="Times New Roman" w:cstheme="minorHAnsi"/>
                <w:color w:val="000000" w:themeColor="text1"/>
                <w:sz w:val="18"/>
                <w:szCs w:val="18"/>
              </w:rPr>
              <w:t>%</w:t>
            </w:r>
          </w:p>
        </w:tc>
        <w:tc>
          <w:tcPr>
            <w:tcW w:w="1134" w:type="dxa"/>
            <w:shd w:val="clear" w:color="auto" w:fill="auto"/>
            <w:noWrap/>
            <w:vAlign w:val="center"/>
            <w:hideMark/>
          </w:tcPr>
          <w:p w14:paraId="33B94B8C"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66940F0D"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591253B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20</w:t>
            </w:r>
          </w:p>
        </w:tc>
        <w:tc>
          <w:tcPr>
            <w:tcW w:w="1134" w:type="dxa"/>
            <w:shd w:val="clear" w:color="000000" w:fill="FFC7CE"/>
            <w:noWrap/>
            <w:vAlign w:val="center"/>
            <w:hideMark/>
          </w:tcPr>
          <w:p w14:paraId="2F228632"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3.9</w:t>
            </w:r>
            <w:r>
              <w:rPr>
                <w:rFonts w:eastAsia="Times New Roman" w:cstheme="minorHAnsi"/>
                <w:color w:val="000000" w:themeColor="text1"/>
                <w:sz w:val="18"/>
                <w:szCs w:val="18"/>
              </w:rPr>
              <w:t>%</w:t>
            </w:r>
          </w:p>
        </w:tc>
      </w:tr>
      <w:tr w:rsidR="00AF1690" w:rsidRPr="0062047B" w14:paraId="3E8BF177" w14:textId="77777777" w:rsidTr="007F1B7D">
        <w:trPr>
          <w:trHeight w:val="20"/>
        </w:trPr>
        <w:tc>
          <w:tcPr>
            <w:tcW w:w="2127" w:type="dxa"/>
            <w:shd w:val="clear" w:color="auto" w:fill="F2F2F2" w:themeFill="background1" w:themeFillShade="F2"/>
            <w:noWrap/>
            <w:vAlign w:val="center"/>
            <w:hideMark/>
          </w:tcPr>
          <w:p w14:paraId="70113FF4"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Sugars, honey</w:t>
            </w:r>
            <w:r>
              <w:rPr>
                <w:rFonts w:eastAsia="Times New Roman" w:cstheme="minorHAnsi"/>
                <w:b/>
                <w:bCs/>
                <w:color w:val="000000"/>
                <w:sz w:val="18"/>
                <w:szCs w:val="18"/>
              </w:rPr>
              <w:t xml:space="preserve">, </w:t>
            </w:r>
            <w:r w:rsidRPr="0062047B">
              <w:rPr>
                <w:rFonts w:eastAsia="Times New Roman" w:cstheme="minorHAnsi"/>
                <w:b/>
                <w:bCs/>
                <w:color w:val="000000"/>
                <w:sz w:val="18"/>
                <w:szCs w:val="18"/>
              </w:rPr>
              <w:t xml:space="preserve">related </w:t>
            </w:r>
          </w:p>
        </w:tc>
        <w:tc>
          <w:tcPr>
            <w:tcW w:w="1134" w:type="dxa"/>
            <w:shd w:val="clear" w:color="auto" w:fill="auto"/>
            <w:noWrap/>
            <w:vAlign w:val="center"/>
            <w:hideMark/>
          </w:tcPr>
          <w:p w14:paraId="60CF7185"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289</w:t>
            </w:r>
          </w:p>
        </w:tc>
        <w:tc>
          <w:tcPr>
            <w:tcW w:w="993" w:type="dxa"/>
            <w:shd w:val="clear" w:color="auto" w:fill="FFF2CC" w:themeFill="accent4" w:themeFillTint="33"/>
            <w:noWrap/>
            <w:vAlign w:val="center"/>
            <w:hideMark/>
          </w:tcPr>
          <w:p w14:paraId="1142DB27"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69</w:t>
            </w:r>
          </w:p>
        </w:tc>
        <w:tc>
          <w:tcPr>
            <w:tcW w:w="992" w:type="dxa"/>
            <w:shd w:val="clear" w:color="auto" w:fill="FFF2CC" w:themeFill="accent4" w:themeFillTint="33"/>
            <w:noWrap/>
            <w:vAlign w:val="center"/>
            <w:hideMark/>
          </w:tcPr>
          <w:p w14:paraId="4CDE26D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23.9</w:t>
            </w:r>
            <w:r>
              <w:rPr>
                <w:rFonts w:eastAsia="Times New Roman" w:cstheme="minorHAnsi"/>
                <w:color w:val="000000" w:themeColor="text1"/>
                <w:sz w:val="18"/>
                <w:szCs w:val="18"/>
              </w:rPr>
              <w:t>%</w:t>
            </w:r>
          </w:p>
        </w:tc>
        <w:tc>
          <w:tcPr>
            <w:tcW w:w="1134" w:type="dxa"/>
            <w:shd w:val="clear" w:color="auto" w:fill="auto"/>
            <w:noWrap/>
            <w:vAlign w:val="center"/>
            <w:hideMark/>
          </w:tcPr>
          <w:p w14:paraId="0185888A"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0</w:t>
            </w:r>
          </w:p>
        </w:tc>
        <w:tc>
          <w:tcPr>
            <w:tcW w:w="1134" w:type="dxa"/>
            <w:shd w:val="clear" w:color="auto" w:fill="auto"/>
            <w:noWrap/>
            <w:vAlign w:val="center"/>
            <w:hideMark/>
          </w:tcPr>
          <w:p w14:paraId="7AD3B599" w14:textId="77777777" w:rsidR="00AF1690" w:rsidRPr="0062047B" w:rsidRDefault="00AF1690" w:rsidP="007F1B7D">
            <w:pPr>
              <w:jc w:val="center"/>
              <w:rPr>
                <w:rFonts w:eastAsia="Times New Roman" w:cstheme="minorHAnsi"/>
                <w:color w:val="000000" w:themeColor="text1"/>
                <w:sz w:val="18"/>
                <w:szCs w:val="18"/>
              </w:rPr>
            </w:pPr>
            <w:r w:rsidRPr="0012284D">
              <w:rPr>
                <w:rFonts w:eastAsia="Times New Roman" w:cstheme="minorHAnsi"/>
                <w:color w:val="000000" w:themeColor="text1"/>
                <w:sz w:val="18"/>
                <w:szCs w:val="18"/>
              </w:rPr>
              <w:t>0%</w:t>
            </w:r>
          </w:p>
        </w:tc>
        <w:tc>
          <w:tcPr>
            <w:tcW w:w="1134" w:type="dxa"/>
            <w:shd w:val="clear" w:color="000000" w:fill="FFC7CE"/>
            <w:noWrap/>
            <w:vAlign w:val="center"/>
            <w:hideMark/>
          </w:tcPr>
          <w:p w14:paraId="26EAB9E0"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69</w:t>
            </w:r>
          </w:p>
        </w:tc>
        <w:tc>
          <w:tcPr>
            <w:tcW w:w="1134" w:type="dxa"/>
            <w:shd w:val="clear" w:color="000000" w:fill="FFC7CE"/>
            <w:noWrap/>
            <w:vAlign w:val="center"/>
            <w:hideMark/>
          </w:tcPr>
          <w:p w14:paraId="15E99F2B" w14:textId="77777777" w:rsidR="00AF1690" w:rsidRPr="0062047B" w:rsidRDefault="00AF1690" w:rsidP="007F1B7D">
            <w:pPr>
              <w:jc w:val="center"/>
              <w:rPr>
                <w:rFonts w:eastAsia="Times New Roman" w:cstheme="minorHAnsi"/>
                <w:color w:val="000000" w:themeColor="text1"/>
                <w:sz w:val="18"/>
                <w:szCs w:val="18"/>
              </w:rPr>
            </w:pPr>
            <w:r w:rsidRPr="0062047B">
              <w:rPr>
                <w:rFonts w:eastAsia="Times New Roman" w:cstheme="minorHAnsi"/>
                <w:color w:val="000000" w:themeColor="text1"/>
                <w:sz w:val="18"/>
                <w:szCs w:val="18"/>
              </w:rPr>
              <w:t>23.9</w:t>
            </w:r>
            <w:r>
              <w:rPr>
                <w:rFonts w:eastAsia="Times New Roman" w:cstheme="minorHAnsi"/>
                <w:color w:val="000000" w:themeColor="text1"/>
                <w:sz w:val="18"/>
                <w:szCs w:val="18"/>
              </w:rPr>
              <w:t>%</w:t>
            </w:r>
          </w:p>
        </w:tc>
      </w:tr>
      <w:tr w:rsidR="00AF1690" w:rsidRPr="0062047B" w14:paraId="45F02C17" w14:textId="77777777" w:rsidTr="007F1B7D">
        <w:trPr>
          <w:trHeight w:val="20"/>
        </w:trPr>
        <w:tc>
          <w:tcPr>
            <w:tcW w:w="2127" w:type="dxa"/>
            <w:shd w:val="clear" w:color="auto" w:fill="F2F2F2" w:themeFill="background1" w:themeFillShade="F2"/>
            <w:noWrap/>
            <w:vAlign w:val="center"/>
            <w:hideMark/>
          </w:tcPr>
          <w:p w14:paraId="19BB2897"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Breakfast beverages</w:t>
            </w:r>
          </w:p>
        </w:tc>
        <w:tc>
          <w:tcPr>
            <w:tcW w:w="1134" w:type="dxa"/>
            <w:shd w:val="clear" w:color="auto" w:fill="auto"/>
            <w:noWrap/>
            <w:vAlign w:val="center"/>
            <w:hideMark/>
          </w:tcPr>
          <w:p w14:paraId="3C10F1D6"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28</w:t>
            </w:r>
          </w:p>
        </w:tc>
        <w:tc>
          <w:tcPr>
            <w:tcW w:w="993" w:type="dxa"/>
            <w:shd w:val="clear" w:color="auto" w:fill="auto"/>
            <w:noWrap/>
            <w:vAlign w:val="center"/>
            <w:hideMark/>
          </w:tcPr>
          <w:p w14:paraId="711A756E"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0</w:t>
            </w:r>
          </w:p>
        </w:tc>
        <w:tc>
          <w:tcPr>
            <w:tcW w:w="992" w:type="dxa"/>
            <w:shd w:val="clear" w:color="auto" w:fill="auto"/>
            <w:noWrap/>
            <w:vAlign w:val="center"/>
            <w:hideMark/>
          </w:tcPr>
          <w:p w14:paraId="1F18033C"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0</w:t>
            </w:r>
            <w:r>
              <w:rPr>
                <w:rFonts w:eastAsia="Times New Roman" w:cstheme="minorHAnsi"/>
                <w:color w:val="000000" w:themeColor="text1"/>
                <w:sz w:val="18"/>
                <w:szCs w:val="18"/>
              </w:rPr>
              <w:t>%</w:t>
            </w:r>
          </w:p>
        </w:tc>
        <w:tc>
          <w:tcPr>
            <w:tcW w:w="1134" w:type="dxa"/>
            <w:shd w:val="clear" w:color="auto" w:fill="auto"/>
            <w:noWrap/>
            <w:vAlign w:val="center"/>
            <w:hideMark/>
          </w:tcPr>
          <w:p w14:paraId="7740DB74"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0</w:t>
            </w:r>
          </w:p>
        </w:tc>
        <w:tc>
          <w:tcPr>
            <w:tcW w:w="1134" w:type="dxa"/>
            <w:shd w:val="clear" w:color="auto" w:fill="auto"/>
            <w:noWrap/>
            <w:vAlign w:val="center"/>
            <w:hideMark/>
          </w:tcPr>
          <w:p w14:paraId="0E2FD5FF" w14:textId="77777777" w:rsidR="00AF1690" w:rsidRPr="0062047B" w:rsidRDefault="00AF1690" w:rsidP="007F1B7D">
            <w:pPr>
              <w:jc w:val="center"/>
              <w:rPr>
                <w:rFonts w:eastAsia="Times New Roman" w:cstheme="minorHAnsi"/>
                <w:color w:val="000000"/>
                <w:sz w:val="18"/>
                <w:szCs w:val="18"/>
              </w:rPr>
            </w:pPr>
            <w:r w:rsidRPr="0012284D">
              <w:rPr>
                <w:rFonts w:eastAsia="Times New Roman" w:cstheme="minorHAnsi"/>
                <w:color w:val="000000" w:themeColor="text1"/>
                <w:sz w:val="18"/>
                <w:szCs w:val="18"/>
              </w:rPr>
              <w:t>0%</w:t>
            </w:r>
          </w:p>
        </w:tc>
        <w:tc>
          <w:tcPr>
            <w:tcW w:w="1134" w:type="dxa"/>
            <w:shd w:val="clear" w:color="auto" w:fill="auto"/>
            <w:noWrap/>
            <w:vAlign w:val="center"/>
            <w:hideMark/>
          </w:tcPr>
          <w:p w14:paraId="5C315DFE"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sz w:val="18"/>
                <w:szCs w:val="18"/>
              </w:rPr>
              <w:t>0</w:t>
            </w:r>
          </w:p>
        </w:tc>
        <w:tc>
          <w:tcPr>
            <w:tcW w:w="1134" w:type="dxa"/>
            <w:shd w:val="clear" w:color="auto" w:fill="auto"/>
            <w:noWrap/>
            <w:vAlign w:val="center"/>
            <w:hideMark/>
          </w:tcPr>
          <w:p w14:paraId="6CEFC89D" w14:textId="77777777" w:rsidR="00AF1690" w:rsidRPr="0062047B" w:rsidRDefault="00AF1690" w:rsidP="007F1B7D">
            <w:pPr>
              <w:jc w:val="center"/>
              <w:rPr>
                <w:rFonts w:eastAsia="Times New Roman" w:cstheme="minorHAnsi"/>
                <w:color w:val="000000"/>
                <w:sz w:val="18"/>
                <w:szCs w:val="18"/>
              </w:rPr>
            </w:pPr>
            <w:r w:rsidRPr="0062047B">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62047B" w14:paraId="311DF74B" w14:textId="77777777" w:rsidTr="007F1B7D">
        <w:trPr>
          <w:trHeight w:val="20"/>
        </w:trPr>
        <w:tc>
          <w:tcPr>
            <w:tcW w:w="2127" w:type="dxa"/>
            <w:shd w:val="clear" w:color="auto" w:fill="BFBFBF" w:themeFill="background1" w:themeFillShade="BF"/>
            <w:noWrap/>
            <w:vAlign w:val="center"/>
            <w:hideMark/>
          </w:tcPr>
          <w:p w14:paraId="29D84E57" w14:textId="77777777" w:rsidR="00AF1690" w:rsidRPr="0062047B" w:rsidRDefault="00AF1690" w:rsidP="00E84DD6">
            <w:pPr>
              <w:rPr>
                <w:rFonts w:eastAsia="Times New Roman" w:cstheme="minorHAnsi"/>
                <w:b/>
                <w:bCs/>
                <w:color w:val="000000"/>
                <w:sz w:val="18"/>
                <w:szCs w:val="18"/>
              </w:rPr>
            </w:pPr>
            <w:r w:rsidRPr="0062047B">
              <w:rPr>
                <w:rFonts w:eastAsia="Times New Roman" w:cstheme="minorHAnsi"/>
                <w:b/>
                <w:bCs/>
                <w:color w:val="000000"/>
                <w:sz w:val="18"/>
                <w:szCs w:val="18"/>
              </w:rPr>
              <w:t>Total</w:t>
            </w:r>
          </w:p>
        </w:tc>
        <w:tc>
          <w:tcPr>
            <w:tcW w:w="1134" w:type="dxa"/>
            <w:shd w:val="clear" w:color="auto" w:fill="BFBFBF" w:themeFill="background1" w:themeFillShade="BF"/>
            <w:noWrap/>
            <w:vAlign w:val="center"/>
            <w:hideMark/>
          </w:tcPr>
          <w:p w14:paraId="6A422D3B" w14:textId="65745DC4"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11</w:t>
            </w:r>
            <w:r w:rsidR="00F37134">
              <w:rPr>
                <w:rFonts w:eastAsia="Times New Roman" w:cstheme="minorHAnsi"/>
                <w:b/>
                <w:bCs/>
                <w:color w:val="000000"/>
                <w:sz w:val="18"/>
                <w:szCs w:val="18"/>
              </w:rPr>
              <w:t>,</w:t>
            </w:r>
            <w:r>
              <w:rPr>
                <w:rFonts w:eastAsia="Times New Roman" w:cstheme="minorHAnsi"/>
                <w:b/>
                <w:bCs/>
                <w:color w:val="000000"/>
                <w:sz w:val="18"/>
                <w:szCs w:val="18"/>
              </w:rPr>
              <w:t>987</w:t>
            </w:r>
          </w:p>
        </w:tc>
        <w:tc>
          <w:tcPr>
            <w:tcW w:w="993" w:type="dxa"/>
            <w:shd w:val="clear" w:color="auto" w:fill="BFBFBF" w:themeFill="background1" w:themeFillShade="BF"/>
            <w:noWrap/>
            <w:vAlign w:val="center"/>
            <w:hideMark/>
          </w:tcPr>
          <w:p w14:paraId="07CE112B" w14:textId="3C3E25C9"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1</w:t>
            </w:r>
            <w:r w:rsidR="00F37134">
              <w:rPr>
                <w:rFonts w:eastAsia="Times New Roman" w:cstheme="minorHAnsi"/>
                <w:b/>
                <w:bCs/>
                <w:color w:val="000000"/>
                <w:sz w:val="18"/>
                <w:szCs w:val="18"/>
              </w:rPr>
              <w:t>,</w:t>
            </w:r>
            <w:r>
              <w:rPr>
                <w:rFonts w:eastAsia="Times New Roman" w:cstheme="minorHAnsi"/>
                <w:b/>
                <w:bCs/>
                <w:color w:val="000000"/>
                <w:sz w:val="18"/>
                <w:szCs w:val="18"/>
              </w:rPr>
              <w:t>801</w:t>
            </w:r>
          </w:p>
        </w:tc>
        <w:tc>
          <w:tcPr>
            <w:tcW w:w="992" w:type="dxa"/>
            <w:shd w:val="clear" w:color="auto" w:fill="BFBFBF" w:themeFill="background1" w:themeFillShade="BF"/>
            <w:noWrap/>
            <w:vAlign w:val="center"/>
            <w:hideMark/>
          </w:tcPr>
          <w:p w14:paraId="07756535" w14:textId="3B18CC0C"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15.0</w:t>
            </w:r>
            <w:r w:rsidR="00AF1690" w:rsidRPr="00BD3C04">
              <w:rPr>
                <w:rFonts w:eastAsia="Times New Roman" w:cstheme="minorHAnsi"/>
                <w:b/>
                <w:bCs/>
                <w:color w:val="000000" w:themeColor="text1"/>
                <w:sz w:val="18"/>
                <w:szCs w:val="18"/>
              </w:rPr>
              <w:t>%</w:t>
            </w:r>
          </w:p>
        </w:tc>
        <w:tc>
          <w:tcPr>
            <w:tcW w:w="1134" w:type="dxa"/>
            <w:shd w:val="clear" w:color="auto" w:fill="BFBFBF" w:themeFill="background1" w:themeFillShade="BF"/>
            <w:noWrap/>
            <w:vAlign w:val="center"/>
            <w:hideMark/>
          </w:tcPr>
          <w:p w14:paraId="3DB859C7" w14:textId="2CD73BB5"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653</w:t>
            </w:r>
          </w:p>
        </w:tc>
        <w:tc>
          <w:tcPr>
            <w:tcW w:w="1134" w:type="dxa"/>
            <w:shd w:val="clear" w:color="auto" w:fill="BFBFBF" w:themeFill="background1" w:themeFillShade="BF"/>
            <w:noWrap/>
            <w:vAlign w:val="center"/>
            <w:hideMark/>
          </w:tcPr>
          <w:p w14:paraId="6458F19F" w14:textId="3ACB7B24"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5</w:t>
            </w:r>
            <w:r w:rsidR="00AF1690" w:rsidRPr="0062047B">
              <w:rPr>
                <w:rFonts w:eastAsia="Times New Roman" w:cstheme="minorHAnsi"/>
                <w:b/>
                <w:bCs/>
                <w:color w:val="000000"/>
                <w:sz w:val="18"/>
                <w:szCs w:val="18"/>
              </w:rPr>
              <w:t>.</w:t>
            </w:r>
            <w:r>
              <w:rPr>
                <w:rFonts w:eastAsia="Times New Roman" w:cstheme="minorHAnsi"/>
                <w:b/>
                <w:bCs/>
                <w:color w:val="000000"/>
                <w:sz w:val="18"/>
                <w:szCs w:val="18"/>
              </w:rPr>
              <w:t>4</w:t>
            </w:r>
            <w:r w:rsidR="00AF1690" w:rsidRPr="00BD3C04">
              <w:rPr>
                <w:rFonts w:eastAsia="Times New Roman" w:cstheme="minorHAnsi"/>
                <w:b/>
                <w:bCs/>
                <w:color w:val="000000" w:themeColor="text1"/>
                <w:sz w:val="18"/>
                <w:szCs w:val="18"/>
              </w:rPr>
              <w:t>%</w:t>
            </w:r>
          </w:p>
        </w:tc>
        <w:tc>
          <w:tcPr>
            <w:tcW w:w="1134" w:type="dxa"/>
            <w:shd w:val="clear" w:color="auto" w:fill="BFBFBF" w:themeFill="background1" w:themeFillShade="BF"/>
            <w:noWrap/>
            <w:vAlign w:val="center"/>
            <w:hideMark/>
          </w:tcPr>
          <w:p w14:paraId="433A41CB" w14:textId="373C53FB"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1</w:t>
            </w:r>
            <w:r w:rsidR="00F37134">
              <w:rPr>
                <w:rFonts w:eastAsia="Times New Roman" w:cstheme="minorHAnsi"/>
                <w:b/>
                <w:bCs/>
                <w:color w:val="000000"/>
                <w:sz w:val="18"/>
                <w:szCs w:val="18"/>
              </w:rPr>
              <w:t>,</w:t>
            </w:r>
            <w:r>
              <w:rPr>
                <w:rFonts w:eastAsia="Times New Roman" w:cstheme="minorHAnsi"/>
                <w:b/>
                <w:bCs/>
                <w:color w:val="000000"/>
                <w:sz w:val="18"/>
                <w:szCs w:val="18"/>
              </w:rPr>
              <w:t>148</w:t>
            </w:r>
          </w:p>
        </w:tc>
        <w:tc>
          <w:tcPr>
            <w:tcW w:w="1134" w:type="dxa"/>
            <w:shd w:val="clear" w:color="auto" w:fill="BFBFBF" w:themeFill="background1" w:themeFillShade="BF"/>
            <w:noWrap/>
            <w:vAlign w:val="center"/>
            <w:hideMark/>
          </w:tcPr>
          <w:p w14:paraId="2CFAEB34" w14:textId="7EC4E997" w:rsidR="00AF1690" w:rsidRPr="0062047B" w:rsidRDefault="003B79E0" w:rsidP="007F1B7D">
            <w:pPr>
              <w:jc w:val="center"/>
              <w:rPr>
                <w:rFonts w:eastAsia="Times New Roman" w:cstheme="minorHAnsi"/>
                <w:b/>
                <w:bCs/>
                <w:color w:val="000000"/>
                <w:sz w:val="18"/>
                <w:szCs w:val="18"/>
              </w:rPr>
            </w:pPr>
            <w:r>
              <w:rPr>
                <w:rFonts w:eastAsia="Times New Roman" w:cstheme="minorHAnsi"/>
                <w:b/>
                <w:bCs/>
                <w:color w:val="000000"/>
                <w:sz w:val="18"/>
                <w:szCs w:val="18"/>
              </w:rPr>
              <w:t>9.6</w:t>
            </w:r>
            <w:r w:rsidR="00AF1690" w:rsidRPr="00BD3C04">
              <w:rPr>
                <w:rFonts w:eastAsia="Times New Roman" w:cstheme="minorHAnsi"/>
                <w:b/>
                <w:bCs/>
                <w:color w:val="000000" w:themeColor="text1"/>
                <w:sz w:val="18"/>
                <w:szCs w:val="18"/>
              </w:rPr>
              <w:t>%</w:t>
            </w:r>
          </w:p>
        </w:tc>
      </w:tr>
    </w:tbl>
    <w:p w14:paraId="65A4C412" w14:textId="77777777" w:rsidR="00AF1690" w:rsidRDefault="00AF1690" w:rsidP="00AF1690">
      <w:pPr>
        <w:pStyle w:val="mpcNormal"/>
      </w:pPr>
    </w:p>
    <w:p w14:paraId="7D02DFD8" w14:textId="77777777" w:rsidR="00AF1690" w:rsidRDefault="00AF1690" w:rsidP="00AF1690">
      <w:pPr>
        <w:pStyle w:val="mpcNormal"/>
      </w:pPr>
      <w:r>
        <w:br w:type="column"/>
      </w:r>
    </w:p>
    <w:p w14:paraId="72526497" w14:textId="77777777" w:rsidR="00AF1690" w:rsidRDefault="00AF1690" w:rsidP="00AF1690">
      <w:pPr>
        <w:pStyle w:val="mpcheading2"/>
        <w:spacing w:after="0"/>
      </w:pPr>
      <w:bookmarkStart w:id="201" w:name="_Toc9955095"/>
      <w:r>
        <w:t>Modelling undertaken using the FoodSwitch database</w:t>
      </w:r>
      <w:bookmarkEnd w:id="201"/>
    </w:p>
    <w:p w14:paraId="5DE9F043" w14:textId="77777777" w:rsidR="00AF1690" w:rsidRDefault="00AF1690" w:rsidP="00AF1690">
      <w:pPr>
        <w:pStyle w:val="mpcNormal"/>
      </w:pP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FoodSwitch database"/>
        <w:tblDescription w:val="This table shows the modelling of System enhancements in the FoodSwitch database."/>
      </w:tblPr>
      <w:tblGrid>
        <w:gridCol w:w="2405"/>
        <w:gridCol w:w="1123"/>
        <w:gridCol w:w="1006"/>
        <w:gridCol w:w="1052"/>
        <w:gridCol w:w="997"/>
        <w:gridCol w:w="1074"/>
        <w:gridCol w:w="1020"/>
        <w:gridCol w:w="1132"/>
      </w:tblGrid>
      <w:tr w:rsidR="00AF1690" w:rsidRPr="005C0CA6" w14:paraId="34542CD5" w14:textId="77777777" w:rsidTr="00E84DD6">
        <w:trPr>
          <w:trHeight w:val="113"/>
        </w:trPr>
        <w:tc>
          <w:tcPr>
            <w:tcW w:w="2405" w:type="dxa"/>
            <w:shd w:val="clear" w:color="auto" w:fill="516A8E"/>
            <w:noWrap/>
            <w:vAlign w:val="center"/>
            <w:hideMark/>
          </w:tcPr>
          <w:p w14:paraId="72B31A78" w14:textId="77777777" w:rsidR="00AF1690" w:rsidRPr="005C0CA6" w:rsidRDefault="00AF1690" w:rsidP="00E84DD6">
            <w:pP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Food category</w:t>
            </w:r>
          </w:p>
        </w:tc>
        <w:tc>
          <w:tcPr>
            <w:tcW w:w="1123" w:type="dxa"/>
            <w:shd w:val="clear" w:color="auto" w:fill="516A8E"/>
            <w:noWrap/>
            <w:vAlign w:val="center"/>
            <w:hideMark/>
          </w:tcPr>
          <w:p w14:paraId="5C0B6F85" w14:textId="0580853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 xml:space="preserve">Total no. </w:t>
            </w:r>
            <w:r w:rsidR="009C405A">
              <w:rPr>
                <w:rFonts w:eastAsia="Times New Roman" w:cstheme="minorHAnsi"/>
                <w:b/>
                <w:bCs/>
                <w:color w:val="FFFFFF" w:themeColor="background1"/>
                <w:sz w:val="18"/>
                <w:szCs w:val="18"/>
              </w:rPr>
              <w:t xml:space="preserve">food </w:t>
            </w:r>
            <w:r w:rsidRPr="0062047B">
              <w:rPr>
                <w:rFonts w:eastAsia="Times New Roman" w:cstheme="minorHAnsi"/>
                <w:b/>
                <w:bCs/>
                <w:color w:val="FFFFFF" w:themeColor="background1"/>
                <w:sz w:val="18"/>
                <w:szCs w:val="18"/>
              </w:rPr>
              <w:t xml:space="preserve">products in </w:t>
            </w:r>
            <w:r>
              <w:rPr>
                <w:rFonts w:eastAsia="Times New Roman" w:cstheme="minorHAnsi"/>
                <w:b/>
                <w:bCs/>
                <w:color w:val="FFFFFF" w:themeColor="background1"/>
                <w:sz w:val="18"/>
                <w:szCs w:val="18"/>
              </w:rPr>
              <w:t>FoodSwitch</w:t>
            </w:r>
            <w:r w:rsidRPr="0062047B">
              <w:rPr>
                <w:rFonts w:eastAsia="Times New Roman" w:cstheme="minorHAnsi"/>
                <w:b/>
                <w:bCs/>
                <w:color w:val="FFFFFF" w:themeColor="background1"/>
                <w:sz w:val="18"/>
                <w:szCs w:val="18"/>
              </w:rPr>
              <w:t xml:space="preserve"> database</w:t>
            </w:r>
          </w:p>
        </w:tc>
        <w:tc>
          <w:tcPr>
            <w:tcW w:w="1006" w:type="dxa"/>
            <w:shd w:val="clear" w:color="auto" w:fill="516A8E"/>
            <w:noWrap/>
            <w:vAlign w:val="center"/>
            <w:hideMark/>
          </w:tcPr>
          <w:p w14:paraId="3DC219F5"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Total no. products impacted</w:t>
            </w:r>
          </w:p>
        </w:tc>
        <w:tc>
          <w:tcPr>
            <w:tcW w:w="1052" w:type="dxa"/>
            <w:shd w:val="clear" w:color="auto" w:fill="516A8E"/>
            <w:noWrap/>
            <w:vAlign w:val="center"/>
            <w:hideMark/>
          </w:tcPr>
          <w:p w14:paraId="5A6AA145"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 xml:space="preserve">Total </w:t>
            </w:r>
            <w:r w:rsidRPr="00537A59">
              <w:rPr>
                <w:rFonts w:eastAsia="Times New Roman" w:cstheme="minorHAnsi"/>
                <w:b/>
                <w:bCs/>
                <w:color w:val="FFFFFF" w:themeColor="background1"/>
                <w:sz w:val="18"/>
                <w:szCs w:val="18"/>
              </w:rPr>
              <w:t>%</w:t>
            </w:r>
            <w:r w:rsidRPr="0062047B">
              <w:rPr>
                <w:rFonts w:eastAsia="Times New Roman" w:cstheme="minorHAnsi"/>
                <w:b/>
                <w:bCs/>
                <w:color w:val="FFFFFF" w:themeColor="background1"/>
                <w:sz w:val="18"/>
                <w:szCs w:val="18"/>
              </w:rPr>
              <w:t xml:space="preserve"> products impacted</w:t>
            </w:r>
          </w:p>
        </w:tc>
        <w:tc>
          <w:tcPr>
            <w:tcW w:w="997" w:type="dxa"/>
            <w:shd w:val="clear" w:color="auto" w:fill="516A8E"/>
            <w:noWrap/>
            <w:vAlign w:val="center"/>
            <w:hideMark/>
          </w:tcPr>
          <w:p w14:paraId="47B9C908"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No. products in category with HSR increasing</w:t>
            </w:r>
          </w:p>
        </w:tc>
        <w:tc>
          <w:tcPr>
            <w:tcW w:w="1074" w:type="dxa"/>
            <w:shd w:val="clear" w:color="auto" w:fill="516A8E"/>
            <w:noWrap/>
            <w:vAlign w:val="center"/>
            <w:hideMark/>
          </w:tcPr>
          <w:p w14:paraId="3D620023"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 products in category with HSR increasing</w:t>
            </w:r>
          </w:p>
        </w:tc>
        <w:tc>
          <w:tcPr>
            <w:tcW w:w="1020" w:type="dxa"/>
            <w:shd w:val="clear" w:color="auto" w:fill="516A8E"/>
            <w:noWrap/>
            <w:vAlign w:val="center"/>
            <w:hideMark/>
          </w:tcPr>
          <w:p w14:paraId="73AC1C73"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No. products in category with HSR decreasing</w:t>
            </w:r>
          </w:p>
        </w:tc>
        <w:tc>
          <w:tcPr>
            <w:tcW w:w="1132" w:type="dxa"/>
            <w:shd w:val="clear" w:color="auto" w:fill="516A8E"/>
            <w:noWrap/>
            <w:vAlign w:val="center"/>
            <w:hideMark/>
          </w:tcPr>
          <w:p w14:paraId="2CCC4A89" w14:textId="77777777" w:rsidR="00AF1690" w:rsidRPr="005C0CA6" w:rsidRDefault="00AF1690" w:rsidP="00E84DD6">
            <w:pPr>
              <w:jc w:val="center"/>
              <w:rPr>
                <w:rFonts w:eastAsia="Times New Roman" w:cstheme="minorHAnsi"/>
                <w:b/>
                <w:bCs/>
                <w:color w:val="000000" w:themeColor="text1"/>
                <w:sz w:val="18"/>
                <w:szCs w:val="18"/>
              </w:rPr>
            </w:pPr>
            <w:r w:rsidRPr="0062047B">
              <w:rPr>
                <w:rFonts w:eastAsia="Times New Roman" w:cstheme="minorHAnsi"/>
                <w:b/>
                <w:bCs/>
                <w:color w:val="FFFFFF" w:themeColor="background1"/>
                <w:sz w:val="18"/>
                <w:szCs w:val="18"/>
              </w:rPr>
              <w:t>% products in category with HSR decreasing</w:t>
            </w:r>
          </w:p>
        </w:tc>
      </w:tr>
      <w:tr w:rsidR="00AF1690" w:rsidRPr="005C0CA6" w14:paraId="07192754" w14:textId="77777777" w:rsidTr="00E84DD6">
        <w:trPr>
          <w:trHeight w:val="113"/>
        </w:trPr>
        <w:tc>
          <w:tcPr>
            <w:tcW w:w="2405" w:type="dxa"/>
            <w:shd w:val="clear" w:color="auto" w:fill="E7E6E6" w:themeFill="background2"/>
            <w:noWrap/>
            <w:vAlign w:val="center"/>
            <w:hideMark/>
          </w:tcPr>
          <w:p w14:paraId="1C48B0A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Bread</w:t>
            </w:r>
          </w:p>
        </w:tc>
        <w:tc>
          <w:tcPr>
            <w:tcW w:w="1123" w:type="dxa"/>
            <w:shd w:val="clear" w:color="auto" w:fill="auto"/>
            <w:noWrap/>
            <w:vAlign w:val="center"/>
            <w:hideMark/>
          </w:tcPr>
          <w:p w14:paraId="2BAE0F9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474</w:t>
            </w:r>
          </w:p>
        </w:tc>
        <w:tc>
          <w:tcPr>
            <w:tcW w:w="1006" w:type="dxa"/>
            <w:shd w:val="clear" w:color="auto" w:fill="FFF2CC" w:themeFill="accent4" w:themeFillTint="33"/>
            <w:noWrap/>
            <w:vAlign w:val="center"/>
            <w:hideMark/>
          </w:tcPr>
          <w:p w14:paraId="4F99300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p>
        </w:tc>
        <w:tc>
          <w:tcPr>
            <w:tcW w:w="1052" w:type="dxa"/>
            <w:shd w:val="clear" w:color="auto" w:fill="FFF2CC" w:themeFill="accent4" w:themeFillTint="33"/>
            <w:noWrap/>
            <w:vAlign w:val="center"/>
            <w:hideMark/>
          </w:tcPr>
          <w:p w14:paraId="42D384E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w:t>
            </w:r>
            <w:r>
              <w:rPr>
                <w:rFonts w:eastAsia="Times New Roman" w:cstheme="minorHAnsi"/>
                <w:color w:val="000000" w:themeColor="text1"/>
                <w:sz w:val="18"/>
                <w:szCs w:val="18"/>
              </w:rPr>
              <w:t>%</w:t>
            </w:r>
          </w:p>
        </w:tc>
        <w:tc>
          <w:tcPr>
            <w:tcW w:w="997" w:type="dxa"/>
            <w:shd w:val="clear" w:color="auto" w:fill="auto"/>
            <w:noWrap/>
            <w:vAlign w:val="center"/>
            <w:hideMark/>
          </w:tcPr>
          <w:p w14:paraId="479DA8D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664338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4D1984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p>
        </w:tc>
        <w:tc>
          <w:tcPr>
            <w:tcW w:w="1132" w:type="dxa"/>
            <w:shd w:val="clear" w:color="auto" w:fill="FFC7CE"/>
            <w:noWrap/>
            <w:vAlign w:val="center"/>
            <w:hideMark/>
          </w:tcPr>
          <w:p w14:paraId="670006F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w:t>
            </w:r>
            <w:r>
              <w:rPr>
                <w:rFonts w:eastAsia="Times New Roman" w:cstheme="minorHAnsi"/>
                <w:color w:val="000000" w:themeColor="text1"/>
                <w:sz w:val="18"/>
                <w:szCs w:val="18"/>
              </w:rPr>
              <w:t>%</w:t>
            </w:r>
          </w:p>
        </w:tc>
      </w:tr>
      <w:tr w:rsidR="00AF1690" w:rsidRPr="005C0CA6" w14:paraId="5E04717D" w14:textId="77777777" w:rsidTr="00E84DD6">
        <w:trPr>
          <w:trHeight w:val="113"/>
        </w:trPr>
        <w:tc>
          <w:tcPr>
            <w:tcW w:w="2405" w:type="dxa"/>
            <w:shd w:val="clear" w:color="auto" w:fill="E7E6E6" w:themeFill="background2"/>
            <w:noWrap/>
            <w:vAlign w:val="center"/>
            <w:hideMark/>
          </w:tcPr>
          <w:p w14:paraId="6B0667F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Breakfast beverages</w:t>
            </w:r>
          </w:p>
        </w:tc>
        <w:tc>
          <w:tcPr>
            <w:tcW w:w="1123" w:type="dxa"/>
            <w:shd w:val="clear" w:color="auto" w:fill="auto"/>
            <w:noWrap/>
            <w:vAlign w:val="center"/>
            <w:hideMark/>
          </w:tcPr>
          <w:p w14:paraId="6FCEDC7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w:t>
            </w:r>
          </w:p>
        </w:tc>
        <w:tc>
          <w:tcPr>
            <w:tcW w:w="1006" w:type="dxa"/>
            <w:shd w:val="clear" w:color="auto" w:fill="auto"/>
            <w:noWrap/>
            <w:vAlign w:val="center"/>
            <w:hideMark/>
          </w:tcPr>
          <w:p w14:paraId="6DEBF55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102F715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997" w:type="dxa"/>
            <w:shd w:val="clear" w:color="auto" w:fill="auto"/>
            <w:noWrap/>
            <w:vAlign w:val="center"/>
            <w:hideMark/>
          </w:tcPr>
          <w:p w14:paraId="071C81C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6BAC9C3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auto"/>
            <w:noWrap/>
            <w:vAlign w:val="center"/>
            <w:hideMark/>
          </w:tcPr>
          <w:p w14:paraId="57F0F44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51D7C74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26ACEF0E" w14:textId="77777777" w:rsidTr="00E84DD6">
        <w:trPr>
          <w:trHeight w:val="113"/>
        </w:trPr>
        <w:tc>
          <w:tcPr>
            <w:tcW w:w="2405" w:type="dxa"/>
            <w:shd w:val="clear" w:color="auto" w:fill="E7E6E6" w:themeFill="background2"/>
            <w:noWrap/>
            <w:vAlign w:val="center"/>
            <w:hideMark/>
          </w:tcPr>
          <w:p w14:paraId="6B82B6ED"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Breakfast cereals</w:t>
            </w:r>
          </w:p>
        </w:tc>
        <w:tc>
          <w:tcPr>
            <w:tcW w:w="1123" w:type="dxa"/>
            <w:shd w:val="clear" w:color="auto" w:fill="auto"/>
            <w:noWrap/>
            <w:vAlign w:val="center"/>
            <w:hideMark/>
          </w:tcPr>
          <w:p w14:paraId="10B09F3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434</w:t>
            </w:r>
          </w:p>
        </w:tc>
        <w:tc>
          <w:tcPr>
            <w:tcW w:w="1006" w:type="dxa"/>
            <w:shd w:val="clear" w:color="auto" w:fill="FFF2CC" w:themeFill="accent4" w:themeFillTint="33"/>
            <w:noWrap/>
            <w:vAlign w:val="center"/>
            <w:hideMark/>
          </w:tcPr>
          <w:p w14:paraId="62D95B1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w:t>
            </w:r>
          </w:p>
        </w:tc>
        <w:tc>
          <w:tcPr>
            <w:tcW w:w="1052" w:type="dxa"/>
            <w:shd w:val="clear" w:color="auto" w:fill="FFF2CC" w:themeFill="accent4" w:themeFillTint="33"/>
            <w:noWrap/>
            <w:vAlign w:val="center"/>
            <w:hideMark/>
          </w:tcPr>
          <w:p w14:paraId="47889E8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9.9</w:t>
            </w:r>
            <w:r>
              <w:rPr>
                <w:rFonts w:eastAsia="Times New Roman" w:cstheme="minorHAnsi"/>
                <w:color w:val="000000" w:themeColor="text1"/>
                <w:sz w:val="18"/>
                <w:szCs w:val="18"/>
              </w:rPr>
              <w:t>%</w:t>
            </w:r>
          </w:p>
        </w:tc>
        <w:tc>
          <w:tcPr>
            <w:tcW w:w="997" w:type="dxa"/>
            <w:shd w:val="clear" w:color="auto" w:fill="auto"/>
            <w:noWrap/>
            <w:vAlign w:val="center"/>
            <w:hideMark/>
          </w:tcPr>
          <w:p w14:paraId="5F378A9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70CBECD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5A49B9D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w:t>
            </w:r>
          </w:p>
        </w:tc>
        <w:tc>
          <w:tcPr>
            <w:tcW w:w="1132" w:type="dxa"/>
            <w:shd w:val="clear" w:color="auto" w:fill="FFC7CE"/>
            <w:noWrap/>
            <w:vAlign w:val="center"/>
            <w:hideMark/>
          </w:tcPr>
          <w:p w14:paraId="596C315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9.9</w:t>
            </w:r>
            <w:r>
              <w:rPr>
                <w:rFonts w:eastAsia="Times New Roman" w:cstheme="minorHAnsi"/>
                <w:color w:val="000000" w:themeColor="text1"/>
                <w:sz w:val="18"/>
                <w:szCs w:val="18"/>
              </w:rPr>
              <w:t>%</w:t>
            </w:r>
          </w:p>
        </w:tc>
      </w:tr>
      <w:tr w:rsidR="00AF1690" w:rsidRPr="005C0CA6" w14:paraId="69F4EB96" w14:textId="77777777" w:rsidTr="00E84DD6">
        <w:trPr>
          <w:trHeight w:val="113"/>
        </w:trPr>
        <w:tc>
          <w:tcPr>
            <w:tcW w:w="2405" w:type="dxa"/>
            <w:shd w:val="clear" w:color="auto" w:fill="E7E6E6" w:themeFill="background2"/>
            <w:noWrap/>
            <w:vAlign w:val="center"/>
            <w:hideMark/>
          </w:tcPr>
          <w:p w14:paraId="535BC4E0"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Cakes, muffins and pastries</w:t>
            </w:r>
          </w:p>
        </w:tc>
        <w:tc>
          <w:tcPr>
            <w:tcW w:w="1123" w:type="dxa"/>
            <w:shd w:val="clear" w:color="auto" w:fill="auto"/>
            <w:noWrap/>
            <w:vAlign w:val="center"/>
            <w:hideMark/>
          </w:tcPr>
          <w:p w14:paraId="029CA89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488</w:t>
            </w:r>
          </w:p>
        </w:tc>
        <w:tc>
          <w:tcPr>
            <w:tcW w:w="1006" w:type="dxa"/>
            <w:shd w:val="clear" w:color="auto" w:fill="FFF2CC" w:themeFill="accent4" w:themeFillTint="33"/>
            <w:noWrap/>
            <w:vAlign w:val="center"/>
            <w:hideMark/>
          </w:tcPr>
          <w:p w14:paraId="4EFC227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p>
        </w:tc>
        <w:tc>
          <w:tcPr>
            <w:tcW w:w="1052" w:type="dxa"/>
            <w:shd w:val="clear" w:color="auto" w:fill="FFF2CC" w:themeFill="accent4" w:themeFillTint="33"/>
            <w:noWrap/>
            <w:vAlign w:val="center"/>
            <w:hideMark/>
          </w:tcPr>
          <w:p w14:paraId="39C3DE6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13.7</w:t>
            </w:r>
            <w:r>
              <w:rPr>
                <w:rFonts w:eastAsia="Times New Roman" w:cstheme="minorHAnsi"/>
                <w:color w:val="000000" w:themeColor="text1"/>
                <w:sz w:val="18"/>
                <w:szCs w:val="18"/>
              </w:rPr>
              <w:t>%</w:t>
            </w:r>
          </w:p>
        </w:tc>
        <w:tc>
          <w:tcPr>
            <w:tcW w:w="997" w:type="dxa"/>
            <w:shd w:val="clear" w:color="auto" w:fill="auto"/>
            <w:noWrap/>
            <w:vAlign w:val="center"/>
            <w:hideMark/>
          </w:tcPr>
          <w:p w14:paraId="2A3790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309D0D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140966A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p>
        </w:tc>
        <w:tc>
          <w:tcPr>
            <w:tcW w:w="1132" w:type="dxa"/>
            <w:shd w:val="clear" w:color="auto" w:fill="FFC7CE"/>
            <w:noWrap/>
            <w:vAlign w:val="center"/>
            <w:hideMark/>
          </w:tcPr>
          <w:p w14:paraId="47B4462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13.7</w:t>
            </w:r>
            <w:r>
              <w:rPr>
                <w:rFonts w:eastAsia="Times New Roman" w:cstheme="minorHAnsi"/>
                <w:color w:val="000000" w:themeColor="text1"/>
                <w:sz w:val="18"/>
                <w:szCs w:val="18"/>
              </w:rPr>
              <w:t>%</w:t>
            </w:r>
          </w:p>
        </w:tc>
      </w:tr>
      <w:tr w:rsidR="00AF1690" w:rsidRPr="005C0CA6" w14:paraId="3ADBCDA7" w14:textId="77777777" w:rsidTr="00E84DD6">
        <w:trPr>
          <w:trHeight w:val="113"/>
        </w:trPr>
        <w:tc>
          <w:tcPr>
            <w:tcW w:w="2405" w:type="dxa"/>
            <w:shd w:val="clear" w:color="auto" w:fill="E7E6E6" w:themeFill="background2"/>
            <w:noWrap/>
            <w:vAlign w:val="center"/>
            <w:hideMark/>
          </w:tcPr>
          <w:p w14:paraId="73FEBF0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Cereal and grain products</w:t>
            </w:r>
          </w:p>
        </w:tc>
        <w:tc>
          <w:tcPr>
            <w:tcW w:w="1123" w:type="dxa"/>
            <w:shd w:val="clear" w:color="auto" w:fill="auto"/>
            <w:noWrap/>
            <w:vAlign w:val="center"/>
            <w:hideMark/>
          </w:tcPr>
          <w:p w14:paraId="0EF3016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956</w:t>
            </w:r>
          </w:p>
        </w:tc>
        <w:tc>
          <w:tcPr>
            <w:tcW w:w="1006" w:type="dxa"/>
            <w:shd w:val="clear" w:color="auto" w:fill="FFF2CC" w:themeFill="accent4" w:themeFillTint="33"/>
            <w:noWrap/>
            <w:vAlign w:val="center"/>
            <w:hideMark/>
          </w:tcPr>
          <w:p w14:paraId="1B88A2B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24</w:t>
            </w:r>
          </w:p>
        </w:tc>
        <w:tc>
          <w:tcPr>
            <w:tcW w:w="1052" w:type="dxa"/>
            <w:shd w:val="clear" w:color="auto" w:fill="FFF2CC" w:themeFill="accent4" w:themeFillTint="33"/>
            <w:noWrap/>
            <w:vAlign w:val="center"/>
            <w:hideMark/>
          </w:tcPr>
          <w:p w14:paraId="63D6C3A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w:t>
            </w:r>
            <w:r>
              <w:rPr>
                <w:rFonts w:eastAsia="Times New Roman" w:cstheme="minorHAnsi"/>
                <w:color w:val="000000" w:themeColor="text1"/>
                <w:sz w:val="18"/>
                <w:szCs w:val="18"/>
              </w:rPr>
              <w:t>%</w:t>
            </w:r>
          </w:p>
        </w:tc>
        <w:tc>
          <w:tcPr>
            <w:tcW w:w="997" w:type="dxa"/>
            <w:shd w:val="clear" w:color="auto" w:fill="auto"/>
            <w:noWrap/>
            <w:vAlign w:val="center"/>
            <w:hideMark/>
          </w:tcPr>
          <w:p w14:paraId="411BFB7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6989CC8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6677626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24</w:t>
            </w:r>
          </w:p>
        </w:tc>
        <w:tc>
          <w:tcPr>
            <w:tcW w:w="1132" w:type="dxa"/>
            <w:shd w:val="clear" w:color="auto" w:fill="FFC7CE"/>
            <w:noWrap/>
            <w:vAlign w:val="center"/>
            <w:hideMark/>
          </w:tcPr>
          <w:p w14:paraId="0D06043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w:t>
            </w:r>
            <w:r>
              <w:rPr>
                <w:rFonts w:eastAsia="Times New Roman" w:cstheme="minorHAnsi"/>
                <w:color w:val="000000" w:themeColor="text1"/>
                <w:sz w:val="18"/>
                <w:szCs w:val="18"/>
              </w:rPr>
              <w:t>%</w:t>
            </w:r>
          </w:p>
        </w:tc>
      </w:tr>
      <w:tr w:rsidR="00AF1690" w:rsidRPr="005C0CA6" w14:paraId="7F401B9F" w14:textId="77777777" w:rsidTr="00E84DD6">
        <w:trPr>
          <w:trHeight w:val="113"/>
        </w:trPr>
        <w:tc>
          <w:tcPr>
            <w:tcW w:w="2405" w:type="dxa"/>
            <w:shd w:val="clear" w:color="auto" w:fill="E7E6E6" w:themeFill="background2"/>
            <w:noWrap/>
            <w:vAlign w:val="center"/>
            <w:hideMark/>
          </w:tcPr>
          <w:p w14:paraId="1D6D5131"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Cereal and nut-based bars</w:t>
            </w:r>
          </w:p>
        </w:tc>
        <w:tc>
          <w:tcPr>
            <w:tcW w:w="1123" w:type="dxa"/>
            <w:shd w:val="clear" w:color="auto" w:fill="auto"/>
            <w:noWrap/>
            <w:vAlign w:val="center"/>
            <w:hideMark/>
          </w:tcPr>
          <w:p w14:paraId="05D0904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234</w:t>
            </w:r>
          </w:p>
        </w:tc>
        <w:tc>
          <w:tcPr>
            <w:tcW w:w="1006" w:type="dxa"/>
            <w:shd w:val="clear" w:color="auto" w:fill="FFF2CC" w:themeFill="accent4" w:themeFillTint="33"/>
            <w:noWrap/>
            <w:vAlign w:val="center"/>
            <w:hideMark/>
          </w:tcPr>
          <w:p w14:paraId="2D3AE41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41</w:t>
            </w:r>
          </w:p>
        </w:tc>
        <w:tc>
          <w:tcPr>
            <w:tcW w:w="1052" w:type="dxa"/>
            <w:shd w:val="clear" w:color="auto" w:fill="FFF2CC" w:themeFill="accent4" w:themeFillTint="33"/>
            <w:noWrap/>
            <w:vAlign w:val="center"/>
            <w:hideMark/>
          </w:tcPr>
          <w:p w14:paraId="474CC4A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17.5</w:t>
            </w:r>
            <w:r>
              <w:rPr>
                <w:rFonts w:eastAsia="Times New Roman" w:cstheme="minorHAnsi"/>
                <w:color w:val="000000" w:themeColor="text1"/>
                <w:sz w:val="18"/>
                <w:szCs w:val="18"/>
              </w:rPr>
              <w:t>%</w:t>
            </w:r>
          </w:p>
        </w:tc>
        <w:tc>
          <w:tcPr>
            <w:tcW w:w="997" w:type="dxa"/>
            <w:shd w:val="clear" w:color="auto" w:fill="auto"/>
            <w:noWrap/>
            <w:vAlign w:val="center"/>
            <w:hideMark/>
          </w:tcPr>
          <w:p w14:paraId="67204DD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D5847B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0C7210">
              <w:rPr>
                <w:rFonts w:eastAsia="Times New Roman" w:cstheme="minorHAnsi"/>
                <w:color w:val="000000" w:themeColor="text1"/>
                <w:sz w:val="18"/>
                <w:szCs w:val="18"/>
              </w:rPr>
              <w:t>%</w:t>
            </w:r>
          </w:p>
        </w:tc>
        <w:tc>
          <w:tcPr>
            <w:tcW w:w="1020" w:type="dxa"/>
            <w:shd w:val="clear" w:color="auto" w:fill="FFC7CE"/>
            <w:noWrap/>
            <w:vAlign w:val="center"/>
            <w:hideMark/>
          </w:tcPr>
          <w:p w14:paraId="1EC514C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41</w:t>
            </w:r>
          </w:p>
        </w:tc>
        <w:tc>
          <w:tcPr>
            <w:tcW w:w="1132" w:type="dxa"/>
            <w:shd w:val="clear" w:color="auto" w:fill="FFC7CE"/>
            <w:noWrap/>
            <w:vAlign w:val="center"/>
            <w:hideMark/>
          </w:tcPr>
          <w:p w14:paraId="09BBA89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17.5</w:t>
            </w:r>
            <w:r>
              <w:rPr>
                <w:rFonts w:eastAsia="Times New Roman" w:cstheme="minorHAnsi"/>
                <w:color w:val="000000" w:themeColor="text1"/>
                <w:sz w:val="18"/>
                <w:szCs w:val="18"/>
              </w:rPr>
              <w:t>%</w:t>
            </w:r>
          </w:p>
        </w:tc>
      </w:tr>
      <w:tr w:rsidR="00AF1690" w:rsidRPr="005C0CA6" w14:paraId="7951B8E6" w14:textId="77777777" w:rsidTr="00E84DD6">
        <w:trPr>
          <w:trHeight w:val="113"/>
        </w:trPr>
        <w:tc>
          <w:tcPr>
            <w:tcW w:w="2405" w:type="dxa"/>
            <w:shd w:val="clear" w:color="auto" w:fill="E7E6E6" w:themeFill="background2"/>
            <w:noWrap/>
            <w:vAlign w:val="center"/>
            <w:hideMark/>
          </w:tcPr>
          <w:p w14:paraId="59709061"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Cheese</w:t>
            </w:r>
          </w:p>
        </w:tc>
        <w:tc>
          <w:tcPr>
            <w:tcW w:w="1123" w:type="dxa"/>
            <w:shd w:val="clear" w:color="auto" w:fill="auto"/>
            <w:noWrap/>
            <w:vAlign w:val="center"/>
            <w:hideMark/>
          </w:tcPr>
          <w:p w14:paraId="4E5FCF8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669</w:t>
            </w:r>
          </w:p>
        </w:tc>
        <w:tc>
          <w:tcPr>
            <w:tcW w:w="1006" w:type="dxa"/>
            <w:shd w:val="clear" w:color="auto" w:fill="FFF2CC" w:themeFill="accent4" w:themeFillTint="33"/>
            <w:noWrap/>
            <w:vAlign w:val="center"/>
            <w:hideMark/>
          </w:tcPr>
          <w:p w14:paraId="4CAA26C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471</w:t>
            </w:r>
          </w:p>
        </w:tc>
        <w:tc>
          <w:tcPr>
            <w:tcW w:w="1052" w:type="dxa"/>
            <w:shd w:val="clear" w:color="auto" w:fill="FFF2CC" w:themeFill="accent4" w:themeFillTint="33"/>
            <w:noWrap/>
            <w:vAlign w:val="center"/>
            <w:hideMark/>
          </w:tcPr>
          <w:p w14:paraId="369F1A0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70.4</w:t>
            </w:r>
            <w:r>
              <w:rPr>
                <w:rFonts w:eastAsia="Times New Roman" w:cstheme="minorHAnsi"/>
                <w:color w:val="000000" w:themeColor="text1"/>
                <w:sz w:val="18"/>
                <w:szCs w:val="18"/>
              </w:rPr>
              <w:t>%</w:t>
            </w:r>
          </w:p>
        </w:tc>
        <w:tc>
          <w:tcPr>
            <w:tcW w:w="997" w:type="dxa"/>
            <w:shd w:val="clear" w:color="auto" w:fill="C6EFCE"/>
            <w:noWrap/>
            <w:vAlign w:val="center"/>
            <w:hideMark/>
          </w:tcPr>
          <w:p w14:paraId="10B6680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404</w:t>
            </w:r>
          </w:p>
        </w:tc>
        <w:tc>
          <w:tcPr>
            <w:tcW w:w="1074" w:type="dxa"/>
            <w:shd w:val="clear" w:color="auto" w:fill="C6EFCE"/>
            <w:noWrap/>
            <w:vAlign w:val="center"/>
            <w:hideMark/>
          </w:tcPr>
          <w:p w14:paraId="40C23E3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60.4</w:t>
            </w:r>
            <w:r>
              <w:rPr>
                <w:rFonts w:eastAsia="Times New Roman" w:cstheme="minorHAnsi"/>
                <w:color w:val="000000" w:themeColor="text1"/>
                <w:sz w:val="18"/>
                <w:szCs w:val="18"/>
              </w:rPr>
              <w:t>%</w:t>
            </w:r>
          </w:p>
        </w:tc>
        <w:tc>
          <w:tcPr>
            <w:tcW w:w="1020" w:type="dxa"/>
            <w:shd w:val="clear" w:color="auto" w:fill="FFC7CE"/>
            <w:noWrap/>
            <w:vAlign w:val="center"/>
            <w:hideMark/>
          </w:tcPr>
          <w:p w14:paraId="76DABEF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p>
        </w:tc>
        <w:tc>
          <w:tcPr>
            <w:tcW w:w="1132" w:type="dxa"/>
            <w:shd w:val="clear" w:color="auto" w:fill="FFC7CE"/>
            <w:noWrap/>
            <w:vAlign w:val="center"/>
            <w:hideMark/>
          </w:tcPr>
          <w:p w14:paraId="40DCFFE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10.0</w:t>
            </w:r>
            <w:r>
              <w:rPr>
                <w:rFonts w:eastAsia="Times New Roman" w:cstheme="minorHAnsi"/>
                <w:color w:val="000000" w:themeColor="text1"/>
                <w:sz w:val="18"/>
                <w:szCs w:val="18"/>
              </w:rPr>
              <w:t>%</w:t>
            </w:r>
          </w:p>
        </w:tc>
      </w:tr>
      <w:tr w:rsidR="00AF1690" w:rsidRPr="005C0CA6" w14:paraId="259D7085" w14:textId="77777777" w:rsidTr="00E84DD6">
        <w:trPr>
          <w:trHeight w:val="113"/>
        </w:trPr>
        <w:tc>
          <w:tcPr>
            <w:tcW w:w="2405" w:type="dxa"/>
            <w:shd w:val="clear" w:color="auto" w:fill="E7E6E6" w:themeFill="background2"/>
            <w:noWrap/>
            <w:vAlign w:val="center"/>
            <w:hideMark/>
          </w:tcPr>
          <w:p w14:paraId="4F2F3F0C"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Chocolate and sweets</w:t>
            </w:r>
          </w:p>
        </w:tc>
        <w:tc>
          <w:tcPr>
            <w:tcW w:w="1123" w:type="dxa"/>
            <w:shd w:val="clear" w:color="auto" w:fill="auto"/>
            <w:noWrap/>
            <w:vAlign w:val="center"/>
            <w:hideMark/>
          </w:tcPr>
          <w:p w14:paraId="629293F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870</w:t>
            </w:r>
          </w:p>
        </w:tc>
        <w:tc>
          <w:tcPr>
            <w:tcW w:w="1006" w:type="dxa"/>
            <w:shd w:val="clear" w:color="auto" w:fill="FFF2CC" w:themeFill="accent4" w:themeFillTint="33"/>
            <w:noWrap/>
            <w:vAlign w:val="center"/>
            <w:hideMark/>
          </w:tcPr>
          <w:p w14:paraId="2C4428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233</w:t>
            </w:r>
          </w:p>
        </w:tc>
        <w:tc>
          <w:tcPr>
            <w:tcW w:w="1052" w:type="dxa"/>
            <w:shd w:val="clear" w:color="auto" w:fill="FFF2CC" w:themeFill="accent4" w:themeFillTint="33"/>
            <w:noWrap/>
            <w:vAlign w:val="center"/>
            <w:hideMark/>
          </w:tcPr>
          <w:p w14:paraId="4DD57D2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26.8</w:t>
            </w:r>
            <w:r>
              <w:rPr>
                <w:rFonts w:eastAsia="Times New Roman" w:cstheme="minorHAnsi"/>
                <w:color w:val="000000" w:themeColor="text1"/>
                <w:sz w:val="18"/>
                <w:szCs w:val="18"/>
              </w:rPr>
              <w:t>%</w:t>
            </w:r>
          </w:p>
        </w:tc>
        <w:tc>
          <w:tcPr>
            <w:tcW w:w="997" w:type="dxa"/>
            <w:shd w:val="clear" w:color="auto" w:fill="auto"/>
            <w:noWrap/>
            <w:vAlign w:val="center"/>
            <w:hideMark/>
          </w:tcPr>
          <w:p w14:paraId="122FDEC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182FB7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020" w:type="dxa"/>
            <w:shd w:val="clear" w:color="auto" w:fill="FFC7CE"/>
            <w:noWrap/>
            <w:vAlign w:val="center"/>
            <w:hideMark/>
          </w:tcPr>
          <w:p w14:paraId="28F60FC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233</w:t>
            </w:r>
          </w:p>
        </w:tc>
        <w:tc>
          <w:tcPr>
            <w:tcW w:w="1132" w:type="dxa"/>
            <w:shd w:val="clear" w:color="auto" w:fill="FFC7CE"/>
            <w:noWrap/>
            <w:vAlign w:val="center"/>
            <w:hideMark/>
          </w:tcPr>
          <w:p w14:paraId="02C6F47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26.8</w:t>
            </w:r>
            <w:r>
              <w:rPr>
                <w:rFonts w:eastAsia="Times New Roman" w:cstheme="minorHAnsi"/>
                <w:color w:val="000000" w:themeColor="text1"/>
                <w:sz w:val="18"/>
                <w:szCs w:val="18"/>
              </w:rPr>
              <w:t>%</w:t>
            </w:r>
          </w:p>
        </w:tc>
      </w:tr>
      <w:tr w:rsidR="00AF1690" w:rsidRPr="005C0CA6" w14:paraId="1202B326" w14:textId="77777777" w:rsidTr="00E84DD6">
        <w:trPr>
          <w:trHeight w:val="113"/>
        </w:trPr>
        <w:tc>
          <w:tcPr>
            <w:tcW w:w="2405" w:type="dxa"/>
            <w:shd w:val="clear" w:color="auto" w:fill="E7E6E6" w:themeFill="background2"/>
            <w:noWrap/>
            <w:vAlign w:val="center"/>
            <w:hideMark/>
          </w:tcPr>
          <w:p w14:paraId="0B11CB30"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Cream</w:t>
            </w:r>
          </w:p>
        </w:tc>
        <w:tc>
          <w:tcPr>
            <w:tcW w:w="1123" w:type="dxa"/>
            <w:shd w:val="clear" w:color="auto" w:fill="auto"/>
            <w:noWrap/>
            <w:vAlign w:val="center"/>
            <w:hideMark/>
          </w:tcPr>
          <w:p w14:paraId="44ACAE1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69</w:t>
            </w:r>
          </w:p>
        </w:tc>
        <w:tc>
          <w:tcPr>
            <w:tcW w:w="1006" w:type="dxa"/>
            <w:shd w:val="clear" w:color="auto" w:fill="FFF2CC" w:themeFill="accent4" w:themeFillTint="33"/>
            <w:noWrap/>
            <w:vAlign w:val="center"/>
            <w:hideMark/>
          </w:tcPr>
          <w:p w14:paraId="2FA0081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54</w:t>
            </w:r>
          </w:p>
        </w:tc>
        <w:tc>
          <w:tcPr>
            <w:tcW w:w="1052" w:type="dxa"/>
            <w:shd w:val="clear" w:color="auto" w:fill="FFF2CC" w:themeFill="accent4" w:themeFillTint="33"/>
            <w:noWrap/>
            <w:vAlign w:val="center"/>
            <w:hideMark/>
          </w:tcPr>
          <w:p w14:paraId="296342B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78.3</w:t>
            </w:r>
            <w:r>
              <w:rPr>
                <w:rFonts w:eastAsia="Times New Roman" w:cstheme="minorHAnsi"/>
                <w:color w:val="000000" w:themeColor="text1"/>
                <w:sz w:val="18"/>
                <w:szCs w:val="18"/>
              </w:rPr>
              <w:t>%</w:t>
            </w:r>
          </w:p>
        </w:tc>
        <w:tc>
          <w:tcPr>
            <w:tcW w:w="997" w:type="dxa"/>
            <w:shd w:val="clear" w:color="auto" w:fill="C6EFCE"/>
            <w:noWrap/>
            <w:vAlign w:val="center"/>
            <w:hideMark/>
          </w:tcPr>
          <w:p w14:paraId="6003DAB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w:t>
            </w:r>
          </w:p>
        </w:tc>
        <w:tc>
          <w:tcPr>
            <w:tcW w:w="1074" w:type="dxa"/>
            <w:shd w:val="clear" w:color="auto" w:fill="C6EFCE"/>
            <w:noWrap/>
            <w:vAlign w:val="center"/>
            <w:hideMark/>
          </w:tcPr>
          <w:p w14:paraId="0EEBB0E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w:t>
            </w:r>
            <w:r>
              <w:rPr>
                <w:rFonts w:eastAsia="Times New Roman" w:cstheme="minorHAnsi"/>
                <w:color w:val="000000" w:themeColor="text1"/>
                <w:sz w:val="18"/>
                <w:szCs w:val="18"/>
              </w:rPr>
              <w:t>%</w:t>
            </w:r>
          </w:p>
        </w:tc>
        <w:tc>
          <w:tcPr>
            <w:tcW w:w="1020" w:type="dxa"/>
            <w:shd w:val="clear" w:color="auto" w:fill="FFC7CE"/>
            <w:noWrap/>
            <w:vAlign w:val="center"/>
            <w:hideMark/>
          </w:tcPr>
          <w:p w14:paraId="02EF17E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51</w:t>
            </w:r>
          </w:p>
        </w:tc>
        <w:tc>
          <w:tcPr>
            <w:tcW w:w="1132" w:type="dxa"/>
            <w:shd w:val="clear" w:color="auto" w:fill="FFC7CE"/>
            <w:noWrap/>
            <w:vAlign w:val="center"/>
            <w:hideMark/>
          </w:tcPr>
          <w:p w14:paraId="29753F1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73.9</w:t>
            </w:r>
            <w:r>
              <w:rPr>
                <w:rFonts w:eastAsia="Times New Roman" w:cstheme="minorHAnsi"/>
                <w:color w:val="000000" w:themeColor="text1"/>
                <w:sz w:val="18"/>
                <w:szCs w:val="18"/>
              </w:rPr>
              <w:t>%</w:t>
            </w:r>
          </w:p>
        </w:tc>
      </w:tr>
      <w:tr w:rsidR="00AF1690" w:rsidRPr="005C0CA6" w14:paraId="3CD4D5A1" w14:textId="77777777" w:rsidTr="00E84DD6">
        <w:trPr>
          <w:trHeight w:val="113"/>
        </w:trPr>
        <w:tc>
          <w:tcPr>
            <w:tcW w:w="2405" w:type="dxa"/>
            <w:shd w:val="clear" w:color="auto" w:fill="E7E6E6" w:themeFill="background2"/>
            <w:noWrap/>
            <w:vAlign w:val="center"/>
            <w:hideMark/>
          </w:tcPr>
          <w:p w14:paraId="0C9F761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Crisps and snacks</w:t>
            </w:r>
          </w:p>
        </w:tc>
        <w:tc>
          <w:tcPr>
            <w:tcW w:w="1123" w:type="dxa"/>
            <w:shd w:val="clear" w:color="auto" w:fill="auto"/>
            <w:noWrap/>
            <w:vAlign w:val="center"/>
            <w:hideMark/>
          </w:tcPr>
          <w:p w14:paraId="5C8266E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434</w:t>
            </w:r>
          </w:p>
        </w:tc>
        <w:tc>
          <w:tcPr>
            <w:tcW w:w="1006" w:type="dxa"/>
            <w:shd w:val="clear" w:color="auto" w:fill="FFF2CC" w:themeFill="accent4" w:themeFillTint="33"/>
            <w:noWrap/>
            <w:vAlign w:val="center"/>
            <w:hideMark/>
          </w:tcPr>
          <w:p w14:paraId="11B1E91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w:t>
            </w:r>
          </w:p>
        </w:tc>
        <w:tc>
          <w:tcPr>
            <w:tcW w:w="1052" w:type="dxa"/>
            <w:shd w:val="clear" w:color="auto" w:fill="FFF2CC" w:themeFill="accent4" w:themeFillTint="33"/>
            <w:noWrap/>
            <w:vAlign w:val="center"/>
            <w:hideMark/>
          </w:tcPr>
          <w:p w14:paraId="7147A39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1.8</w:t>
            </w:r>
            <w:r>
              <w:rPr>
                <w:rFonts w:eastAsia="Times New Roman" w:cstheme="minorHAnsi"/>
                <w:color w:val="000000" w:themeColor="text1"/>
                <w:sz w:val="18"/>
                <w:szCs w:val="18"/>
              </w:rPr>
              <w:t>%</w:t>
            </w:r>
          </w:p>
        </w:tc>
        <w:tc>
          <w:tcPr>
            <w:tcW w:w="997" w:type="dxa"/>
            <w:shd w:val="clear" w:color="auto" w:fill="auto"/>
            <w:noWrap/>
            <w:vAlign w:val="center"/>
            <w:hideMark/>
          </w:tcPr>
          <w:p w14:paraId="645AE2D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DBC508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020" w:type="dxa"/>
            <w:shd w:val="clear" w:color="auto" w:fill="FFC7CE"/>
            <w:noWrap/>
            <w:vAlign w:val="center"/>
            <w:hideMark/>
          </w:tcPr>
          <w:p w14:paraId="0C6B2F4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w:t>
            </w:r>
          </w:p>
        </w:tc>
        <w:tc>
          <w:tcPr>
            <w:tcW w:w="1132" w:type="dxa"/>
            <w:shd w:val="clear" w:color="auto" w:fill="FFC7CE"/>
            <w:noWrap/>
            <w:vAlign w:val="center"/>
            <w:hideMark/>
          </w:tcPr>
          <w:p w14:paraId="070098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1.8</w:t>
            </w:r>
            <w:r>
              <w:rPr>
                <w:rFonts w:eastAsia="Times New Roman" w:cstheme="minorHAnsi"/>
                <w:color w:val="000000" w:themeColor="text1"/>
                <w:sz w:val="18"/>
                <w:szCs w:val="18"/>
              </w:rPr>
              <w:t>%</w:t>
            </w:r>
          </w:p>
        </w:tc>
      </w:tr>
      <w:tr w:rsidR="00AF1690" w:rsidRPr="005C0CA6" w14:paraId="533DC8E7" w14:textId="77777777" w:rsidTr="00E84DD6">
        <w:trPr>
          <w:trHeight w:val="113"/>
        </w:trPr>
        <w:tc>
          <w:tcPr>
            <w:tcW w:w="2405" w:type="dxa"/>
            <w:shd w:val="clear" w:color="auto" w:fill="E7E6E6" w:themeFill="background2"/>
            <w:noWrap/>
            <w:vAlign w:val="center"/>
            <w:hideMark/>
          </w:tcPr>
          <w:p w14:paraId="4C1444D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Desserts</w:t>
            </w:r>
          </w:p>
        </w:tc>
        <w:tc>
          <w:tcPr>
            <w:tcW w:w="1123" w:type="dxa"/>
            <w:shd w:val="clear" w:color="auto" w:fill="auto"/>
            <w:noWrap/>
            <w:vAlign w:val="center"/>
            <w:hideMark/>
          </w:tcPr>
          <w:p w14:paraId="40A21DF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152</w:t>
            </w:r>
          </w:p>
        </w:tc>
        <w:tc>
          <w:tcPr>
            <w:tcW w:w="1006" w:type="dxa"/>
            <w:shd w:val="clear" w:color="auto" w:fill="FFF2CC" w:themeFill="accent4" w:themeFillTint="33"/>
            <w:noWrap/>
            <w:vAlign w:val="center"/>
            <w:hideMark/>
          </w:tcPr>
          <w:p w14:paraId="26652EA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47</w:t>
            </w:r>
          </w:p>
        </w:tc>
        <w:tc>
          <w:tcPr>
            <w:tcW w:w="1052" w:type="dxa"/>
            <w:shd w:val="clear" w:color="auto" w:fill="FFF2CC" w:themeFill="accent4" w:themeFillTint="33"/>
            <w:noWrap/>
            <w:vAlign w:val="center"/>
            <w:hideMark/>
          </w:tcPr>
          <w:p w14:paraId="12BAA76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30.9</w:t>
            </w:r>
            <w:r>
              <w:rPr>
                <w:rFonts w:eastAsia="Times New Roman" w:cstheme="minorHAnsi"/>
                <w:color w:val="000000" w:themeColor="text1"/>
                <w:sz w:val="18"/>
                <w:szCs w:val="18"/>
              </w:rPr>
              <w:t>%</w:t>
            </w:r>
          </w:p>
        </w:tc>
        <w:tc>
          <w:tcPr>
            <w:tcW w:w="997" w:type="dxa"/>
            <w:shd w:val="clear" w:color="auto" w:fill="C6EFCE"/>
            <w:noWrap/>
            <w:vAlign w:val="center"/>
            <w:hideMark/>
          </w:tcPr>
          <w:p w14:paraId="1DB547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20</w:t>
            </w:r>
          </w:p>
        </w:tc>
        <w:tc>
          <w:tcPr>
            <w:tcW w:w="1074" w:type="dxa"/>
            <w:shd w:val="clear" w:color="auto" w:fill="C6EFCE"/>
            <w:noWrap/>
            <w:vAlign w:val="center"/>
            <w:hideMark/>
          </w:tcPr>
          <w:p w14:paraId="4E87C9D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13.2</w:t>
            </w:r>
            <w:r>
              <w:rPr>
                <w:rFonts w:eastAsia="Times New Roman" w:cstheme="minorHAnsi"/>
                <w:color w:val="000000" w:themeColor="text1"/>
                <w:sz w:val="18"/>
                <w:szCs w:val="18"/>
              </w:rPr>
              <w:t>%</w:t>
            </w:r>
          </w:p>
        </w:tc>
        <w:tc>
          <w:tcPr>
            <w:tcW w:w="1020" w:type="dxa"/>
            <w:shd w:val="clear" w:color="auto" w:fill="FFC7CE"/>
            <w:noWrap/>
            <w:vAlign w:val="center"/>
            <w:hideMark/>
          </w:tcPr>
          <w:p w14:paraId="4A57051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27</w:t>
            </w:r>
          </w:p>
        </w:tc>
        <w:tc>
          <w:tcPr>
            <w:tcW w:w="1132" w:type="dxa"/>
            <w:shd w:val="clear" w:color="auto" w:fill="FFC7CE"/>
            <w:noWrap/>
            <w:vAlign w:val="center"/>
            <w:hideMark/>
          </w:tcPr>
          <w:p w14:paraId="076BF25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17.8</w:t>
            </w:r>
            <w:r>
              <w:rPr>
                <w:rFonts w:eastAsia="Times New Roman" w:cstheme="minorHAnsi"/>
                <w:color w:val="000000" w:themeColor="text1"/>
                <w:sz w:val="18"/>
                <w:szCs w:val="18"/>
              </w:rPr>
              <w:t>%</w:t>
            </w:r>
          </w:p>
        </w:tc>
      </w:tr>
      <w:tr w:rsidR="00AF1690" w:rsidRPr="005C0CA6" w14:paraId="4D9CE0E4" w14:textId="77777777" w:rsidTr="00E84DD6">
        <w:trPr>
          <w:trHeight w:val="113"/>
        </w:trPr>
        <w:tc>
          <w:tcPr>
            <w:tcW w:w="2405" w:type="dxa"/>
            <w:shd w:val="clear" w:color="auto" w:fill="E7E6E6" w:themeFill="background2"/>
            <w:noWrap/>
            <w:vAlign w:val="center"/>
            <w:hideMark/>
          </w:tcPr>
          <w:p w14:paraId="04512E12"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Edible oils and oil emulsions</w:t>
            </w:r>
          </w:p>
        </w:tc>
        <w:tc>
          <w:tcPr>
            <w:tcW w:w="1123" w:type="dxa"/>
            <w:shd w:val="clear" w:color="auto" w:fill="auto"/>
            <w:noWrap/>
            <w:vAlign w:val="center"/>
            <w:hideMark/>
          </w:tcPr>
          <w:p w14:paraId="39612E7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297</w:t>
            </w:r>
          </w:p>
        </w:tc>
        <w:tc>
          <w:tcPr>
            <w:tcW w:w="1006" w:type="dxa"/>
            <w:shd w:val="clear" w:color="auto" w:fill="auto"/>
            <w:noWrap/>
            <w:vAlign w:val="center"/>
            <w:hideMark/>
          </w:tcPr>
          <w:p w14:paraId="603FB74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0768411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796A95">
              <w:rPr>
                <w:rFonts w:eastAsia="Times New Roman" w:cstheme="minorHAnsi"/>
                <w:color w:val="000000" w:themeColor="text1"/>
                <w:sz w:val="18"/>
                <w:szCs w:val="18"/>
              </w:rPr>
              <w:t>%</w:t>
            </w:r>
          </w:p>
        </w:tc>
        <w:tc>
          <w:tcPr>
            <w:tcW w:w="997" w:type="dxa"/>
            <w:shd w:val="clear" w:color="auto" w:fill="auto"/>
            <w:noWrap/>
            <w:vAlign w:val="center"/>
            <w:hideMark/>
          </w:tcPr>
          <w:p w14:paraId="4596F98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4BF0BE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3B2DF4">
              <w:rPr>
                <w:rFonts w:eastAsia="Times New Roman" w:cstheme="minorHAnsi"/>
                <w:color w:val="000000" w:themeColor="text1"/>
                <w:sz w:val="18"/>
                <w:szCs w:val="18"/>
              </w:rPr>
              <w:t>%</w:t>
            </w:r>
          </w:p>
        </w:tc>
        <w:tc>
          <w:tcPr>
            <w:tcW w:w="1020" w:type="dxa"/>
            <w:shd w:val="clear" w:color="auto" w:fill="auto"/>
            <w:noWrap/>
            <w:vAlign w:val="center"/>
            <w:hideMark/>
          </w:tcPr>
          <w:p w14:paraId="6DD21FB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3116AAA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BD470A">
              <w:rPr>
                <w:rFonts w:eastAsia="Times New Roman" w:cstheme="minorHAnsi"/>
                <w:color w:val="000000" w:themeColor="text1"/>
                <w:sz w:val="18"/>
                <w:szCs w:val="18"/>
              </w:rPr>
              <w:t>%</w:t>
            </w:r>
          </w:p>
        </w:tc>
      </w:tr>
      <w:tr w:rsidR="00AF1690" w:rsidRPr="005C0CA6" w14:paraId="09120015" w14:textId="77777777" w:rsidTr="00E84DD6">
        <w:trPr>
          <w:trHeight w:val="113"/>
        </w:trPr>
        <w:tc>
          <w:tcPr>
            <w:tcW w:w="2405" w:type="dxa"/>
            <w:shd w:val="clear" w:color="auto" w:fill="E7E6E6" w:themeFill="background2"/>
            <w:noWrap/>
            <w:vAlign w:val="center"/>
            <w:hideMark/>
          </w:tcPr>
          <w:p w14:paraId="166C751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Eggs</w:t>
            </w:r>
          </w:p>
        </w:tc>
        <w:tc>
          <w:tcPr>
            <w:tcW w:w="1123" w:type="dxa"/>
            <w:shd w:val="clear" w:color="auto" w:fill="auto"/>
            <w:noWrap/>
            <w:vAlign w:val="center"/>
            <w:hideMark/>
          </w:tcPr>
          <w:p w14:paraId="59D4497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52</w:t>
            </w:r>
          </w:p>
        </w:tc>
        <w:tc>
          <w:tcPr>
            <w:tcW w:w="1006" w:type="dxa"/>
            <w:shd w:val="clear" w:color="auto" w:fill="auto"/>
            <w:noWrap/>
            <w:vAlign w:val="center"/>
            <w:hideMark/>
          </w:tcPr>
          <w:p w14:paraId="40136C3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442A675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796A95">
              <w:rPr>
                <w:rFonts w:eastAsia="Times New Roman" w:cstheme="minorHAnsi"/>
                <w:color w:val="000000" w:themeColor="text1"/>
                <w:sz w:val="18"/>
                <w:szCs w:val="18"/>
              </w:rPr>
              <w:t>%</w:t>
            </w:r>
          </w:p>
        </w:tc>
        <w:tc>
          <w:tcPr>
            <w:tcW w:w="997" w:type="dxa"/>
            <w:shd w:val="clear" w:color="auto" w:fill="auto"/>
            <w:noWrap/>
            <w:vAlign w:val="center"/>
            <w:hideMark/>
          </w:tcPr>
          <w:p w14:paraId="29CB891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057F7D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3B2DF4">
              <w:rPr>
                <w:rFonts w:eastAsia="Times New Roman" w:cstheme="minorHAnsi"/>
                <w:color w:val="000000" w:themeColor="text1"/>
                <w:sz w:val="18"/>
                <w:szCs w:val="18"/>
              </w:rPr>
              <w:t>%</w:t>
            </w:r>
          </w:p>
        </w:tc>
        <w:tc>
          <w:tcPr>
            <w:tcW w:w="1020" w:type="dxa"/>
            <w:shd w:val="clear" w:color="auto" w:fill="auto"/>
            <w:noWrap/>
            <w:vAlign w:val="center"/>
            <w:hideMark/>
          </w:tcPr>
          <w:p w14:paraId="49CB2EC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12CE229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BD470A">
              <w:rPr>
                <w:rFonts w:eastAsia="Times New Roman" w:cstheme="minorHAnsi"/>
                <w:color w:val="000000" w:themeColor="text1"/>
                <w:sz w:val="18"/>
                <w:szCs w:val="18"/>
              </w:rPr>
              <w:t>%</w:t>
            </w:r>
          </w:p>
        </w:tc>
      </w:tr>
      <w:tr w:rsidR="00AF1690" w:rsidRPr="005C0CA6" w14:paraId="4E357E15" w14:textId="77777777" w:rsidTr="00E84DD6">
        <w:trPr>
          <w:trHeight w:val="113"/>
        </w:trPr>
        <w:tc>
          <w:tcPr>
            <w:tcW w:w="2405" w:type="dxa"/>
            <w:shd w:val="clear" w:color="auto" w:fill="E7E6E6" w:themeFill="background2"/>
            <w:noWrap/>
            <w:vAlign w:val="center"/>
            <w:hideMark/>
          </w:tcPr>
          <w:p w14:paraId="7AC59F5D"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Fitness and diet products</w:t>
            </w:r>
          </w:p>
        </w:tc>
        <w:tc>
          <w:tcPr>
            <w:tcW w:w="1123" w:type="dxa"/>
            <w:shd w:val="clear" w:color="auto" w:fill="auto"/>
            <w:noWrap/>
            <w:vAlign w:val="center"/>
            <w:hideMark/>
          </w:tcPr>
          <w:p w14:paraId="0A7FB43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209</w:t>
            </w:r>
          </w:p>
        </w:tc>
        <w:tc>
          <w:tcPr>
            <w:tcW w:w="1006" w:type="dxa"/>
            <w:shd w:val="clear" w:color="auto" w:fill="FFF2CC" w:themeFill="accent4" w:themeFillTint="33"/>
            <w:noWrap/>
            <w:vAlign w:val="center"/>
            <w:hideMark/>
          </w:tcPr>
          <w:p w14:paraId="6030639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14</w:t>
            </w:r>
          </w:p>
        </w:tc>
        <w:tc>
          <w:tcPr>
            <w:tcW w:w="1052" w:type="dxa"/>
            <w:shd w:val="clear" w:color="auto" w:fill="FFF2CC" w:themeFill="accent4" w:themeFillTint="33"/>
            <w:noWrap/>
            <w:vAlign w:val="center"/>
            <w:hideMark/>
          </w:tcPr>
          <w:p w14:paraId="3B695CA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r>
              <w:rPr>
                <w:rFonts w:eastAsia="Times New Roman" w:cstheme="minorHAnsi"/>
                <w:color w:val="000000" w:themeColor="text1"/>
                <w:sz w:val="18"/>
                <w:szCs w:val="18"/>
              </w:rPr>
              <w:t>%</w:t>
            </w:r>
          </w:p>
        </w:tc>
        <w:tc>
          <w:tcPr>
            <w:tcW w:w="997" w:type="dxa"/>
            <w:shd w:val="clear" w:color="auto" w:fill="auto"/>
            <w:noWrap/>
            <w:vAlign w:val="center"/>
            <w:hideMark/>
          </w:tcPr>
          <w:p w14:paraId="5413CFA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1713005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020" w:type="dxa"/>
            <w:shd w:val="clear" w:color="auto" w:fill="FFC7CE"/>
            <w:noWrap/>
            <w:vAlign w:val="center"/>
            <w:hideMark/>
          </w:tcPr>
          <w:p w14:paraId="4F017B1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14</w:t>
            </w:r>
          </w:p>
        </w:tc>
        <w:tc>
          <w:tcPr>
            <w:tcW w:w="1132" w:type="dxa"/>
            <w:shd w:val="clear" w:color="auto" w:fill="FFC7CE"/>
            <w:noWrap/>
            <w:vAlign w:val="center"/>
            <w:hideMark/>
          </w:tcPr>
          <w:p w14:paraId="06DC585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6.7</w:t>
            </w:r>
            <w:r>
              <w:rPr>
                <w:rFonts w:eastAsia="Times New Roman" w:cstheme="minorHAnsi"/>
                <w:color w:val="000000" w:themeColor="text1"/>
                <w:sz w:val="18"/>
                <w:szCs w:val="18"/>
              </w:rPr>
              <w:t>%</w:t>
            </w:r>
          </w:p>
        </w:tc>
      </w:tr>
      <w:tr w:rsidR="00AF1690" w:rsidRPr="005C0CA6" w14:paraId="3163B322" w14:textId="77777777" w:rsidTr="00E84DD6">
        <w:trPr>
          <w:trHeight w:val="113"/>
        </w:trPr>
        <w:tc>
          <w:tcPr>
            <w:tcW w:w="2405" w:type="dxa"/>
            <w:shd w:val="clear" w:color="auto" w:fill="E7E6E6" w:themeFill="background2"/>
            <w:noWrap/>
            <w:vAlign w:val="center"/>
            <w:hideMark/>
          </w:tcPr>
          <w:p w14:paraId="7532D73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Frozen foods </w:t>
            </w:r>
            <w:r>
              <w:rPr>
                <w:rFonts w:eastAsia="Times New Roman" w:cstheme="minorHAnsi"/>
                <w:b/>
                <w:bCs/>
                <w:color w:val="000000" w:themeColor="text1"/>
                <w:sz w:val="18"/>
                <w:szCs w:val="18"/>
              </w:rPr>
              <w:t>- other</w:t>
            </w:r>
          </w:p>
        </w:tc>
        <w:tc>
          <w:tcPr>
            <w:tcW w:w="1123" w:type="dxa"/>
            <w:shd w:val="clear" w:color="auto" w:fill="auto"/>
            <w:noWrap/>
            <w:vAlign w:val="center"/>
            <w:hideMark/>
          </w:tcPr>
          <w:p w14:paraId="3A779F9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9</w:t>
            </w:r>
          </w:p>
        </w:tc>
        <w:tc>
          <w:tcPr>
            <w:tcW w:w="1006" w:type="dxa"/>
            <w:shd w:val="clear" w:color="auto" w:fill="auto"/>
            <w:noWrap/>
            <w:vAlign w:val="center"/>
            <w:hideMark/>
          </w:tcPr>
          <w:p w14:paraId="1A33384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3A01F6D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997" w:type="dxa"/>
            <w:shd w:val="clear" w:color="auto" w:fill="auto"/>
            <w:noWrap/>
            <w:vAlign w:val="center"/>
            <w:hideMark/>
          </w:tcPr>
          <w:p w14:paraId="78689A0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FE9262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677766">
              <w:rPr>
                <w:rFonts w:eastAsia="Times New Roman" w:cstheme="minorHAnsi"/>
                <w:color w:val="000000" w:themeColor="text1"/>
                <w:sz w:val="18"/>
                <w:szCs w:val="18"/>
              </w:rPr>
              <w:t>%</w:t>
            </w:r>
          </w:p>
        </w:tc>
        <w:tc>
          <w:tcPr>
            <w:tcW w:w="1020" w:type="dxa"/>
            <w:shd w:val="clear" w:color="auto" w:fill="auto"/>
            <w:noWrap/>
            <w:vAlign w:val="center"/>
            <w:hideMark/>
          </w:tcPr>
          <w:p w14:paraId="0E688CF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5BF3C1E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56F0E86C" w14:textId="77777777" w:rsidTr="00E84DD6">
        <w:trPr>
          <w:trHeight w:val="113"/>
        </w:trPr>
        <w:tc>
          <w:tcPr>
            <w:tcW w:w="2405" w:type="dxa"/>
            <w:shd w:val="clear" w:color="auto" w:fill="E7E6E6" w:themeFill="background2"/>
            <w:noWrap/>
            <w:vAlign w:val="center"/>
            <w:hideMark/>
          </w:tcPr>
          <w:p w14:paraId="58DBF9DD"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Fruit </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processed</w:t>
            </w:r>
          </w:p>
        </w:tc>
        <w:tc>
          <w:tcPr>
            <w:tcW w:w="1123" w:type="dxa"/>
            <w:shd w:val="clear" w:color="auto" w:fill="auto"/>
            <w:noWrap/>
            <w:vAlign w:val="center"/>
            <w:hideMark/>
          </w:tcPr>
          <w:p w14:paraId="0A0D7D5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402</w:t>
            </w:r>
          </w:p>
        </w:tc>
        <w:tc>
          <w:tcPr>
            <w:tcW w:w="1006" w:type="dxa"/>
            <w:shd w:val="clear" w:color="auto" w:fill="FFF2CC" w:themeFill="accent4" w:themeFillTint="33"/>
            <w:noWrap/>
            <w:vAlign w:val="center"/>
            <w:hideMark/>
          </w:tcPr>
          <w:p w14:paraId="428D1A5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66</w:t>
            </w:r>
          </w:p>
        </w:tc>
        <w:tc>
          <w:tcPr>
            <w:tcW w:w="1052" w:type="dxa"/>
            <w:shd w:val="clear" w:color="auto" w:fill="FFF2CC" w:themeFill="accent4" w:themeFillTint="33"/>
            <w:noWrap/>
            <w:vAlign w:val="center"/>
            <w:hideMark/>
          </w:tcPr>
          <w:p w14:paraId="3A39336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16.4</w:t>
            </w:r>
            <w:r>
              <w:rPr>
                <w:rFonts w:eastAsia="Times New Roman" w:cstheme="minorHAnsi"/>
                <w:color w:val="000000" w:themeColor="text1"/>
                <w:sz w:val="18"/>
                <w:szCs w:val="18"/>
              </w:rPr>
              <w:t>%</w:t>
            </w:r>
          </w:p>
        </w:tc>
        <w:tc>
          <w:tcPr>
            <w:tcW w:w="997" w:type="dxa"/>
            <w:shd w:val="clear" w:color="auto" w:fill="auto"/>
            <w:noWrap/>
            <w:vAlign w:val="center"/>
            <w:hideMark/>
          </w:tcPr>
          <w:p w14:paraId="3F7509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7E7FD8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677766">
              <w:rPr>
                <w:rFonts w:eastAsia="Times New Roman" w:cstheme="minorHAnsi"/>
                <w:color w:val="000000" w:themeColor="text1"/>
                <w:sz w:val="18"/>
                <w:szCs w:val="18"/>
              </w:rPr>
              <w:t>%</w:t>
            </w:r>
          </w:p>
        </w:tc>
        <w:tc>
          <w:tcPr>
            <w:tcW w:w="1020" w:type="dxa"/>
            <w:shd w:val="clear" w:color="auto" w:fill="FFC7CE"/>
            <w:noWrap/>
            <w:vAlign w:val="center"/>
            <w:hideMark/>
          </w:tcPr>
          <w:p w14:paraId="69F5EF6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66</w:t>
            </w:r>
          </w:p>
        </w:tc>
        <w:tc>
          <w:tcPr>
            <w:tcW w:w="1132" w:type="dxa"/>
            <w:shd w:val="clear" w:color="auto" w:fill="FFC7CE"/>
            <w:noWrap/>
            <w:vAlign w:val="center"/>
            <w:hideMark/>
          </w:tcPr>
          <w:p w14:paraId="1AEED1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16.4</w:t>
            </w:r>
            <w:r>
              <w:rPr>
                <w:rFonts w:eastAsia="Times New Roman" w:cstheme="minorHAnsi"/>
                <w:color w:val="000000" w:themeColor="text1"/>
                <w:sz w:val="18"/>
                <w:szCs w:val="18"/>
              </w:rPr>
              <w:t>%</w:t>
            </w:r>
          </w:p>
        </w:tc>
      </w:tr>
      <w:tr w:rsidR="00AF1690" w:rsidRPr="005C0CA6" w14:paraId="074C375F" w14:textId="77777777" w:rsidTr="00E84DD6">
        <w:trPr>
          <w:trHeight w:val="113"/>
        </w:trPr>
        <w:tc>
          <w:tcPr>
            <w:tcW w:w="2405" w:type="dxa"/>
            <w:shd w:val="clear" w:color="auto" w:fill="E7E6E6" w:themeFill="background2"/>
            <w:noWrap/>
            <w:vAlign w:val="center"/>
            <w:hideMark/>
          </w:tcPr>
          <w:p w14:paraId="731149E1"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Fruit </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unprocessed</w:t>
            </w:r>
          </w:p>
        </w:tc>
        <w:tc>
          <w:tcPr>
            <w:tcW w:w="1123" w:type="dxa"/>
            <w:shd w:val="clear" w:color="auto" w:fill="auto"/>
            <w:noWrap/>
            <w:vAlign w:val="center"/>
            <w:hideMark/>
          </w:tcPr>
          <w:p w14:paraId="794C23F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43</w:t>
            </w:r>
          </w:p>
        </w:tc>
        <w:tc>
          <w:tcPr>
            <w:tcW w:w="1006" w:type="dxa"/>
            <w:shd w:val="clear" w:color="auto" w:fill="FFF2CC" w:themeFill="accent4" w:themeFillTint="33"/>
            <w:noWrap/>
            <w:vAlign w:val="center"/>
            <w:hideMark/>
          </w:tcPr>
          <w:p w14:paraId="790D866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38</w:t>
            </w:r>
          </w:p>
        </w:tc>
        <w:tc>
          <w:tcPr>
            <w:tcW w:w="1052" w:type="dxa"/>
            <w:shd w:val="clear" w:color="auto" w:fill="FFF2CC" w:themeFill="accent4" w:themeFillTint="33"/>
            <w:noWrap/>
            <w:vAlign w:val="center"/>
            <w:hideMark/>
          </w:tcPr>
          <w:p w14:paraId="16EB555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88.4</w:t>
            </w:r>
            <w:r>
              <w:rPr>
                <w:rFonts w:eastAsia="Times New Roman" w:cstheme="minorHAnsi"/>
                <w:color w:val="000000" w:themeColor="text1"/>
                <w:sz w:val="18"/>
                <w:szCs w:val="18"/>
              </w:rPr>
              <w:t>%</w:t>
            </w:r>
          </w:p>
        </w:tc>
        <w:tc>
          <w:tcPr>
            <w:tcW w:w="997" w:type="dxa"/>
            <w:shd w:val="clear" w:color="auto" w:fill="C6EFCE"/>
            <w:noWrap/>
            <w:vAlign w:val="center"/>
            <w:hideMark/>
          </w:tcPr>
          <w:p w14:paraId="5D35148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38</w:t>
            </w:r>
          </w:p>
        </w:tc>
        <w:tc>
          <w:tcPr>
            <w:tcW w:w="1074" w:type="dxa"/>
            <w:shd w:val="clear" w:color="auto" w:fill="C6EFCE"/>
            <w:noWrap/>
            <w:vAlign w:val="center"/>
            <w:hideMark/>
          </w:tcPr>
          <w:p w14:paraId="5860CAB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88.4</w:t>
            </w:r>
            <w:r>
              <w:rPr>
                <w:rFonts w:eastAsia="Times New Roman" w:cstheme="minorHAnsi"/>
                <w:color w:val="000000" w:themeColor="text1"/>
                <w:sz w:val="18"/>
                <w:szCs w:val="18"/>
              </w:rPr>
              <w:t>%</w:t>
            </w:r>
          </w:p>
        </w:tc>
        <w:tc>
          <w:tcPr>
            <w:tcW w:w="1020" w:type="dxa"/>
            <w:shd w:val="clear" w:color="auto" w:fill="auto"/>
            <w:noWrap/>
            <w:vAlign w:val="center"/>
            <w:hideMark/>
          </w:tcPr>
          <w:p w14:paraId="144EBD1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2BB985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227F43D2" w14:textId="77777777" w:rsidTr="00E84DD6">
        <w:trPr>
          <w:trHeight w:val="113"/>
        </w:trPr>
        <w:tc>
          <w:tcPr>
            <w:tcW w:w="2405" w:type="dxa"/>
            <w:shd w:val="clear" w:color="auto" w:fill="E7E6E6" w:themeFill="background2"/>
            <w:noWrap/>
            <w:vAlign w:val="center"/>
            <w:hideMark/>
          </w:tcPr>
          <w:p w14:paraId="3118247C"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Ice cream</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edible ices</w:t>
            </w:r>
          </w:p>
        </w:tc>
        <w:tc>
          <w:tcPr>
            <w:tcW w:w="1123" w:type="dxa"/>
            <w:shd w:val="clear" w:color="auto" w:fill="auto"/>
            <w:noWrap/>
            <w:vAlign w:val="center"/>
            <w:hideMark/>
          </w:tcPr>
          <w:p w14:paraId="063C7B2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355</w:t>
            </w:r>
          </w:p>
        </w:tc>
        <w:tc>
          <w:tcPr>
            <w:tcW w:w="1006" w:type="dxa"/>
            <w:shd w:val="clear" w:color="auto" w:fill="FFF2CC" w:themeFill="accent4" w:themeFillTint="33"/>
            <w:noWrap/>
            <w:vAlign w:val="center"/>
            <w:hideMark/>
          </w:tcPr>
          <w:p w14:paraId="594DFD7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81</w:t>
            </w:r>
          </w:p>
        </w:tc>
        <w:tc>
          <w:tcPr>
            <w:tcW w:w="1052" w:type="dxa"/>
            <w:shd w:val="clear" w:color="auto" w:fill="FFF2CC" w:themeFill="accent4" w:themeFillTint="33"/>
            <w:noWrap/>
            <w:vAlign w:val="center"/>
            <w:hideMark/>
          </w:tcPr>
          <w:p w14:paraId="20014D5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22.8</w:t>
            </w:r>
            <w:r>
              <w:rPr>
                <w:rFonts w:eastAsia="Times New Roman" w:cstheme="minorHAnsi"/>
                <w:color w:val="000000" w:themeColor="text1"/>
                <w:sz w:val="18"/>
                <w:szCs w:val="18"/>
              </w:rPr>
              <w:t>%</w:t>
            </w:r>
          </w:p>
        </w:tc>
        <w:tc>
          <w:tcPr>
            <w:tcW w:w="997" w:type="dxa"/>
            <w:shd w:val="clear" w:color="auto" w:fill="auto"/>
            <w:noWrap/>
            <w:vAlign w:val="center"/>
            <w:hideMark/>
          </w:tcPr>
          <w:p w14:paraId="6D01DD2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7B8DD80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FFC7CE"/>
            <w:noWrap/>
            <w:vAlign w:val="center"/>
            <w:hideMark/>
          </w:tcPr>
          <w:p w14:paraId="0BA4E9C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80</w:t>
            </w:r>
          </w:p>
        </w:tc>
        <w:tc>
          <w:tcPr>
            <w:tcW w:w="1132" w:type="dxa"/>
            <w:shd w:val="clear" w:color="auto" w:fill="FFC7CE"/>
            <w:noWrap/>
            <w:vAlign w:val="center"/>
            <w:hideMark/>
          </w:tcPr>
          <w:p w14:paraId="50A9F0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22.5</w:t>
            </w:r>
            <w:r>
              <w:rPr>
                <w:rFonts w:eastAsia="Times New Roman" w:cstheme="minorHAnsi"/>
                <w:color w:val="000000" w:themeColor="text1"/>
                <w:sz w:val="18"/>
                <w:szCs w:val="18"/>
              </w:rPr>
              <w:t>%</w:t>
            </w:r>
          </w:p>
        </w:tc>
      </w:tr>
      <w:tr w:rsidR="00AF1690" w:rsidRPr="005C0CA6" w14:paraId="70AF6EF1" w14:textId="77777777" w:rsidTr="00E84DD6">
        <w:trPr>
          <w:trHeight w:val="113"/>
        </w:trPr>
        <w:tc>
          <w:tcPr>
            <w:tcW w:w="2405" w:type="dxa"/>
            <w:shd w:val="clear" w:color="auto" w:fill="E7E6E6" w:themeFill="background2"/>
            <w:noWrap/>
            <w:vAlign w:val="center"/>
            <w:hideMark/>
          </w:tcPr>
          <w:p w14:paraId="075991E7"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Jam and marmalades</w:t>
            </w:r>
          </w:p>
        </w:tc>
        <w:tc>
          <w:tcPr>
            <w:tcW w:w="1123" w:type="dxa"/>
            <w:shd w:val="clear" w:color="auto" w:fill="auto"/>
            <w:noWrap/>
            <w:vAlign w:val="center"/>
            <w:hideMark/>
          </w:tcPr>
          <w:p w14:paraId="123F10C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130</w:t>
            </w:r>
          </w:p>
        </w:tc>
        <w:tc>
          <w:tcPr>
            <w:tcW w:w="1006" w:type="dxa"/>
            <w:shd w:val="clear" w:color="auto" w:fill="FFF2CC" w:themeFill="accent4" w:themeFillTint="33"/>
            <w:noWrap/>
            <w:vAlign w:val="center"/>
            <w:hideMark/>
          </w:tcPr>
          <w:p w14:paraId="18727AA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100</w:t>
            </w:r>
          </w:p>
        </w:tc>
        <w:tc>
          <w:tcPr>
            <w:tcW w:w="1052" w:type="dxa"/>
            <w:shd w:val="clear" w:color="auto" w:fill="FFF2CC" w:themeFill="accent4" w:themeFillTint="33"/>
            <w:noWrap/>
            <w:vAlign w:val="center"/>
            <w:hideMark/>
          </w:tcPr>
          <w:p w14:paraId="7AD9326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76.9</w:t>
            </w:r>
            <w:r>
              <w:rPr>
                <w:rFonts w:eastAsia="Times New Roman" w:cstheme="minorHAnsi"/>
                <w:color w:val="000000" w:themeColor="text1"/>
                <w:sz w:val="18"/>
                <w:szCs w:val="18"/>
              </w:rPr>
              <w:t>%</w:t>
            </w:r>
          </w:p>
        </w:tc>
        <w:tc>
          <w:tcPr>
            <w:tcW w:w="997" w:type="dxa"/>
            <w:shd w:val="clear" w:color="auto" w:fill="auto"/>
            <w:noWrap/>
            <w:vAlign w:val="center"/>
            <w:hideMark/>
          </w:tcPr>
          <w:p w14:paraId="796EDD3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2D2ABFA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FFC7CE"/>
            <w:noWrap/>
            <w:vAlign w:val="center"/>
            <w:hideMark/>
          </w:tcPr>
          <w:p w14:paraId="5C068C8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100</w:t>
            </w:r>
          </w:p>
        </w:tc>
        <w:tc>
          <w:tcPr>
            <w:tcW w:w="1132" w:type="dxa"/>
            <w:shd w:val="clear" w:color="auto" w:fill="FFC7CE"/>
            <w:noWrap/>
            <w:vAlign w:val="center"/>
            <w:hideMark/>
          </w:tcPr>
          <w:p w14:paraId="024A1FB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76.9</w:t>
            </w:r>
            <w:r>
              <w:rPr>
                <w:rFonts w:eastAsia="Times New Roman" w:cstheme="minorHAnsi"/>
                <w:color w:val="000000" w:themeColor="text1"/>
                <w:sz w:val="18"/>
                <w:szCs w:val="18"/>
              </w:rPr>
              <w:t>%</w:t>
            </w:r>
          </w:p>
        </w:tc>
      </w:tr>
      <w:tr w:rsidR="00AF1690" w:rsidRPr="005C0CA6" w14:paraId="1405F6C4" w14:textId="77777777" w:rsidTr="00E84DD6">
        <w:trPr>
          <w:trHeight w:val="113"/>
        </w:trPr>
        <w:tc>
          <w:tcPr>
            <w:tcW w:w="2405" w:type="dxa"/>
            <w:shd w:val="clear" w:color="auto" w:fill="E7E6E6" w:themeFill="background2"/>
            <w:noWrap/>
            <w:vAlign w:val="center"/>
            <w:hideMark/>
          </w:tcPr>
          <w:p w14:paraId="15400DFD"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Jelly</w:t>
            </w:r>
          </w:p>
        </w:tc>
        <w:tc>
          <w:tcPr>
            <w:tcW w:w="1123" w:type="dxa"/>
            <w:shd w:val="clear" w:color="auto" w:fill="auto"/>
            <w:noWrap/>
            <w:vAlign w:val="center"/>
            <w:hideMark/>
          </w:tcPr>
          <w:p w14:paraId="556565D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66</w:t>
            </w:r>
          </w:p>
        </w:tc>
        <w:tc>
          <w:tcPr>
            <w:tcW w:w="1006" w:type="dxa"/>
            <w:shd w:val="clear" w:color="auto" w:fill="FFF2CC" w:themeFill="accent4" w:themeFillTint="33"/>
            <w:noWrap/>
            <w:vAlign w:val="center"/>
            <w:hideMark/>
          </w:tcPr>
          <w:p w14:paraId="2E000AF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52</w:t>
            </w:r>
          </w:p>
        </w:tc>
        <w:tc>
          <w:tcPr>
            <w:tcW w:w="1052" w:type="dxa"/>
            <w:shd w:val="clear" w:color="auto" w:fill="FFF2CC" w:themeFill="accent4" w:themeFillTint="33"/>
            <w:noWrap/>
            <w:vAlign w:val="center"/>
            <w:hideMark/>
          </w:tcPr>
          <w:p w14:paraId="52B2AD1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78.8</w:t>
            </w:r>
            <w:r>
              <w:rPr>
                <w:rFonts w:eastAsia="Times New Roman" w:cstheme="minorHAnsi"/>
                <w:color w:val="000000" w:themeColor="text1"/>
                <w:sz w:val="18"/>
                <w:szCs w:val="18"/>
              </w:rPr>
              <w:t>%</w:t>
            </w:r>
          </w:p>
        </w:tc>
        <w:tc>
          <w:tcPr>
            <w:tcW w:w="997" w:type="dxa"/>
            <w:shd w:val="clear" w:color="auto" w:fill="auto"/>
            <w:noWrap/>
            <w:vAlign w:val="center"/>
            <w:hideMark/>
          </w:tcPr>
          <w:p w14:paraId="2BA6CD4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391EF88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FFC7CE"/>
            <w:noWrap/>
            <w:vAlign w:val="center"/>
            <w:hideMark/>
          </w:tcPr>
          <w:p w14:paraId="7431796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52</w:t>
            </w:r>
          </w:p>
        </w:tc>
        <w:tc>
          <w:tcPr>
            <w:tcW w:w="1132" w:type="dxa"/>
            <w:shd w:val="clear" w:color="auto" w:fill="FFC7CE"/>
            <w:noWrap/>
            <w:vAlign w:val="center"/>
            <w:hideMark/>
          </w:tcPr>
          <w:p w14:paraId="290A87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78.8</w:t>
            </w:r>
            <w:r>
              <w:rPr>
                <w:rFonts w:eastAsia="Times New Roman" w:cstheme="minorHAnsi"/>
                <w:color w:val="000000" w:themeColor="text1"/>
                <w:sz w:val="18"/>
                <w:szCs w:val="18"/>
              </w:rPr>
              <w:t>%</w:t>
            </w:r>
          </w:p>
        </w:tc>
      </w:tr>
      <w:tr w:rsidR="00AF1690" w:rsidRPr="005C0CA6" w14:paraId="22C9536C" w14:textId="77777777" w:rsidTr="00E84DD6">
        <w:trPr>
          <w:trHeight w:val="113"/>
        </w:trPr>
        <w:tc>
          <w:tcPr>
            <w:tcW w:w="2405" w:type="dxa"/>
            <w:shd w:val="clear" w:color="auto" w:fill="E7E6E6" w:themeFill="background2"/>
            <w:noWrap/>
            <w:vAlign w:val="center"/>
            <w:hideMark/>
          </w:tcPr>
          <w:p w14:paraId="43D86AE9"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Mayonnaise</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salad dressings</w:t>
            </w:r>
          </w:p>
        </w:tc>
        <w:tc>
          <w:tcPr>
            <w:tcW w:w="1123" w:type="dxa"/>
            <w:shd w:val="clear" w:color="auto" w:fill="auto"/>
            <w:noWrap/>
            <w:vAlign w:val="center"/>
            <w:hideMark/>
          </w:tcPr>
          <w:p w14:paraId="608A3ED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156</w:t>
            </w:r>
          </w:p>
        </w:tc>
        <w:tc>
          <w:tcPr>
            <w:tcW w:w="1006" w:type="dxa"/>
            <w:shd w:val="clear" w:color="auto" w:fill="FFF2CC" w:themeFill="accent4" w:themeFillTint="33"/>
            <w:noWrap/>
            <w:vAlign w:val="center"/>
            <w:hideMark/>
          </w:tcPr>
          <w:p w14:paraId="3299A1E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w:t>
            </w:r>
          </w:p>
        </w:tc>
        <w:tc>
          <w:tcPr>
            <w:tcW w:w="1052" w:type="dxa"/>
            <w:shd w:val="clear" w:color="auto" w:fill="FFF2CC" w:themeFill="accent4" w:themeFillTint="33"/>
            <w:noWrap/>
            <w:vAlign w:val="center"/>
            <w:hideMark/>
          </w:tcPr>
          <w:p w14:paraId="4AE53F6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3.2</w:t>
            </w:r>
            <w:r>
              <w:rPr>
                <w:rFonts w:eastAsia="Times New Roman" w:cstheme="minorHAnsi"/>
                <w:color w:val="000000" w:themeColor="text1"/>
                <w:sz w:val="18"/>
                <w:szCs w:val="18"/>
              </w:rPr>
              <w:t>%</w:t>
            </w:r>
          </w:p>
        </w:tc>
        <w:tc>
          <w:tcPr>
            <w:tcW w:w="997" w:type="dxa"/>
            <w:shd w:val="clear" w:color="auto" w:fill="auto"/>
            <w:noWrap/>
            <w:vAlign w:val="center"/>
            <w:hideMark/>
          </w:tcPr>
          <w:p w14:paraId="57BD875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1CFDEE4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FFC7CE"/>
            <w:noWrap/>
            <w:vAlign w:val="center"/>
            <w:hideMark/>
          </w:tcPr>
          <w:p w14:paraId="54AB9D5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w:t>
            </w:r>
          </w:p>
        </w:tc>
        <w:tc>
          <w:tcPr>
            <w:tcW w:w="1132" w:type="dxa"/>
            <w:shd w:val="clear" w:color="auto" w:fill="FFC7CE"/>
            <w:noWrap/>
            <w:vAlign w:val="center"/>
            <w:hideMark/>
          </w:tcPr>
          <w:p w14:paraId="56C01A9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3.2</w:t>
            </w:r>
            <w:r>
              <w:rPr>
                <w:rFonts w:eastAsia="Times New Roman" w:cstheme="minorHAnsi"/>
                <w:color w:val="000000" w:themeColor="text1"/>
                <w:sz w:val="18"/>
                <w:szCs w:val="18"/>
              </w:rPr>
              <w:t>%</w:t>
            </w:r>
          </w:p>
        </w:tc>
      </w:tr>
      <w:tr w:rsidR="00AF1690" w:rsidRPr="005C0CA6" w14:paraId="459C6179" w14:textId="77777777" w:rsidTr="00E84DD6">
        <w:trPr>
          <w:trHeight w:val="113"/>
        </w:trPr>
        <w:tc>
          <w:tcPr>
            <w:tcW w:w="2405" w:type="dxa"/>
            <w:shd w:val="clear" w:color="auto" w:fill="E7E6E6" w:themeFill="background2"/>
            <w:noWrap/>
            <w:vAlign w:val="center"/>
            <w:hideMark/>
          </w:tcPr>
          <w:p w14:paraId="20922908"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Meat alternatives</w:t>
            </w:r>
          </w:p>
        </w:tc>
        <w:tc>
          <w:tcPr>
            <w:tcW w:w="1123" w:type="dxa"/>
            <w:shd w:val="clear" w:color="auto" w:fill="auto"/>
            <w:noWrap/>
            <w:vAlign w:val="center"/>
            <w:hideMark/>
          </w:tcPr>
          <w:p w14:paraId="223CE6B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104</w:t>
            </w:r>
          </w:p>
        </w:tc>
        <w:tc>
          <w:tcPr>
            <w:tcW w:w="1006" w:type="dxa"/>
            <w:shd w:val="clear" w:color="auto" w:fill="auto"/>
            <w:noWrap/>
            <w:vAlign w:val="center"/>
            <w:hideMark/>
          </w:tcPr>
          <w:p w14:paraId="156C711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7C3A90E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997" w:type="dxa"/>
            <w:shd w:val="clear" w:color="auto" w:fill="auto"/>
            <w:noWrap/>
            <w:vAlign w:val="center"/>
            <w:hideMark/>
          </w:tcPr>
          <w:p w14:paraId="6DD61E8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4A5DD97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947B98">
              <w:rPr>
                <w:rFonts w:eastAsia="Times New Roman" w:cstheme="minorHAnsi"/>
                <w:color w:val="000000" w:themeColor="text1"/>
                <w:sz w:val="18"/>
                <w:szCs w:val="18"/>
              </w:rPr>
              <w:t>%</w:t>
            </w:r>
          </w:p>
        </w:tc>
        <w:tc>
          <w:tcPr>
            <w:tcW w:w="1020" w:type="dxa"/>
            <w:shd w:val="clear" w:color="auto" w:fill="auto"/>
            <w:noWrap/>
            <w:vAlign w:val="center"/>
            <w:hideMark/>
          </w:tcPr>
          <w:p w14:paraId="0D6C7B8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15CBC6F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49D5D3AD" w14:textId="77777777" w:rsidTr="00E84DD6">
        <w:trPr>
          <w:trHeight w:val="113"/>
        </w:trPr>
        <w:tc>
          <w:tcPr>
            <w:tcW w:w="2405" w:type="dxa"/>
            <w:shd w:val="clear" w:color="auto" w:fill="E7E6E6" w:themeFill="background2"/>
            <w:noWrap/>
            <w:vAlign w:val="center"/>
            <w:hideMark/>
          </w:tcPr>
          <w:p w14:paraId="1B5428D7"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Milk</w:t>
            </w:r>
          </w:p>
        </w:tc>
        <w:tc>
          <w:tcPr>
            <w:tcW w:w="1123" w:type="dxa"/>
            <w:shd w:val="clear" w:color="auto" w:fill="auto"/>
            <w:noWrap/>
            <w:vAlign w:val="center"/>
            <w:hideMark/>
          </w:tcPr>
          <w:p w14:paraId="06AF775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364</w:t>
            </w:r>
          </w:p>
        </w:tc>
        <w:tc>
          <w:tcPr>
            <w:tcW w:w="1006" w:type="dxa"/>
            <w:shd w:val="clear" w:color="auto" w:fill="FFF2CC" w:themeFill="accent4" w:themeFillTint="33"/>
            <w:noWrap/>
            <w:vAlign w:val="center"/>
            <w:hideMark/>
          </w:tcPr>
          <w:p w14:paraId="1481A65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21</w:t>
            </w:r>
          </w:p>
        </w:tc>
        <w:tc>
          <w:tcPr>
            <w:tcW w:w="1052" w:type="dxa"/>
            <w:shd w:val="clear" w:color="auto" w:fill="FFF2CC" w:themeFill="accent4" w:themeFillTint="33"/>
            <w:noWrap/>
            <w:vAlign w:val="center"/>
            <w:hideMark/>
          </w:tcPr>
          <w:p w14:paraId="4CD6FC6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5.8</w:t>
            </w:r>
            <w:r>
              <w:rPr>
                <w:rFonts w:eastAsia="Times New Roman" w:cstheme="minorHAnsi"/>
                <w:color w:val="000000" w:themeColor="text1"/>
                <w:sz w:val="18"/>
                <w:szCs w:val="18"/>
              </w:rPr>
              <w:t>%</w:t>
            </w:r>
          </w:p>
        </w:tc>
        <w:tc>
          <w:tcPr>
            <w:tcW w:w="997" w:type="dxa"/>
            <w:shd w:val="clear" w:color="auto" w:fill="C6EFCE"/>
            <w:noWrap/>
            <w:vAlign w:val="center"/>
            <w:hideMark/>
          </w:tcPr>
          <w:p w14:paraId="6E9D8FA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w:t>
            </w:r>
          </w:p>
        </w:tc>
        <w:tc>
          <w:tcPr>
            <w:tcW w:w="1074" w:type="dxa"/>
            <w:shd w:val="clear" w:color="auto" w:fill="C6EFCE"/>
            <w:noWrap/>
            <w:vAlign w:val="center"/>
            <w:hideMark/>
          </w:tcPr>
          <w:p w14:paraId="2D9CAEC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r>
              <w:rPr>
                <w:rFonts w:eastAsia="Times New Roman" w:cstheme="minorHAnsi"/>
                <w:color w:val="000000" w:themeColor="text1"/>
                <w:sz w:val="18"/>
                <w:szCs w:val="18"/>
              </w:rPr>
              <w:t>%</w:t>
            </w:r>
          </w:p>
        </w:tc>
        <w:tc>
          <w:tcPr>
            <w:tcW w:w="1020" w:type="dxa"/>
            <w:shd w:val="clear" w:color="auto" w:fill="FFC7CE"/>
            <w:noWrap/>
            <w:vAlign w:val="center"/>
            <w:hideMark/>
          </w:tcPr>
          <w:p w14:paraId="6EEA735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w:t>
            </w:r>
          </w:p>
        </w:tc>
        <w:tc>
          <w:tcPr>
            <w:tcW w:w="1132" w:type="dxa"/>
            <w:shd w:val="clear" w:color="auto" w:fill="FFC7CE"/>
            <w:noWrap/>
            <w:vAlign w:val="center"/>
            <w:hideMark/>
          </w:tcPr>
          <w:p w14:paraId="3357C96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4.7</w:t>
            </w:r>
            <w:r>
              <w:rPr>
                <w:rFonts w:eastAsia="Times New Roman" w:cstheme="minorHAnsi"/>
                <w:color w:val="000000" w:themeColor="text1"/>
                <w:sz w:val="18"/>
                <w:szCs w:val="18"/>
              </w:rPr>
              <w:t>%</w:t>
            </w:r>
          </w:p>
        </w:tc>
      </w:tr>
      <w:tr w:rsidR="00AF1690" w:rsidRPr="005C0CA6" w14:paraId="11E90122" w14:textId="77777777" w:rsidTr="00E84DD6">
        <w:trPr>
          <w:trHeight w:val="113"/>
        </w:trPr>
        <w:tc>
          <w:tcPr>
            <w:tcW w:w="2405" w:type="dxa"/>
            <w:shd w:val="clear" w:color="auto" w:fill="E7E6E6" w:themeFill="background2"/>
            <w:noWrap/>
            <w:vAlign w:val="center"/>
            <w:hideMark/>
          </w:tcPr>
          <w:p w14:paraId="2B265F3A"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Nuts and seeds</w:t>
            </w:r>
          </w:p>
        </w:tc>
        <w:tc>
          <w:tcPr>
            <w:tcW w:w="1123" w:type="dxa"/>
            <w:shd w:val="clear" w:color="auto" w:fill="auto"/>
            <w:noWrap/>
            <w:vAlign w:val="center"/>
            <w:hideMark/>
          </w:tcPr>
          <w:p w14:paraId="7A20039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297</w:t>
            </w:r>
          </w:p>
        </w:tc>
        <w:tc>
          <w:tcPr>
            <w:tcW w:w="1006" w:type="dxa"/>
            <w:shd w:val="clear" w:color="auto" w:fill="FFF2CC" w:themeFill="accent4" w:themeFillTint="33"/>
            <w:noWrap/>
            <w:vAlign w:val="center"/>
            <w:hideMark/>
          </w:tcPr>
          <w:p w14:paraId="3935C72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w:t>
            </w:r>
          </w:p>
        </w:tc>
        <w:tc>
          <w:tcPr>
            <w:tcW w:w="1052" w:type="dxa"/>
            <w:shd w:val="clear" w:color="auto" w:fill="FFF2CC" w:themeFill="accent4" w:themeFillTint="33"/>
            <w:noWrap/>
            <w:vAlign w:val="center"/>
            <w:hideMark/>
          </w:tcPr>
          <w:p w14:paraId="5F2668E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2.4</w:t>
            </w:r>
            <w:r>
              <w:rPr>
                <w:rFonts w:eastAsia="Times New Roman" w:cstheme="minorHAnsi"/>
                <w:color w:val="000000" w:themeColor="text1"/>
                <w:sz w:val="18"/>
                <w:szCs w:val="18"/>
              </w:rPr>
              <w:t>%</w:t>
            </w:r>
          </w:p>
        </w:tc>
        <w:tc>
          <w:tcPr>
            <w:tcW w:w="997" w:type="dxa"/>
            <w:shd w:val="clear" w:color="auto" w:fill="auto"/>
            <w:noWrap/>
            <w:vAlign w:val="center"/>
            <w:hideMark/>
          </w:tcPr>
          <w:p w14:paraId="5F934D2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3104500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0D7DE0A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w:t>
            </w:r>
          </w:p>
        </w:tc>
        <w:tc>
          <w:tcPr>
            <w:tcW w:w="1132" w:type="dxa"/>
            <w:shd w:val="clear" w:color="auto" w:fill="FFC7CE"/>
            <w:noWrap/>
            <w:vAlign w:val="center"/>
            <w:hideMark/>
          </w:tcPr>
          <w:p w14:paraId="311F1EB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2.4</w:t>
            </w:r>
            <w:r>
              <w:rPr>
                <w:rFonts w:eastAsia="Times New Roman" w:cstheme="minorHAnsi"/>
                <w:color w:val="000000" w:themeColor="text1"/>
                <w:sz w:val="18"/>
                <w:szCs w:val="18"/>
              </w:rPr>
              <w:t>%</w:t>
            </w:r>
          </w:p>
        </w:tc>
      </w:tr>
      <w:tr w:rsidR="00AF1690" w:rsidRPr="005C0CA6" w14:paraId="5E7335B6" w14:textId="77777777" w:rsidTr="00E84DD6">
        <w:trPr>
          <w:trHeight w:val="113"/>
        </w:trPr>
        <w:tc>
          <w:tcPr>
            <w:tcW w:w="2405" w:type="dxa"/>
            <w:shd w:val="clear" w:color="auto" w:fill="E7E6E6" w:themeFill="background2"/>
            <w:noWrap/>
            <w:vAlign w:val="center"/>
            <w:hideMark/>
          </w:tcPr>
          <w:p w14:paraId="32DD3BDC"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Pizza</w:t>
            </w:r>
          </w:p>
        </w:tc>
        <w:tc>
          <w:tcPr>
            <w:tcW w:w="1123" w:type="dxa"/>
            <w:shd w:val="clear" w:color="auto" w:fill="auto"/>
            <w:noWrap/>
            <w:vAlign w:val="center"/>
            <w:hideMark/>
          </w:tcPr>
          <w:p w14:paraId="6C4E3DD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76</w:t>
            </w:r>
          </w:p>
        </w:tc>
        <w:tc>
          <w:tcPr>
            <w:tcW w:w="1006" w:type="dxa"/>
            <w:shd w:val="clear" w:color="auto" w:fill="auto"/>
            <w:noWrap/>
            <w:vAlign w:val="center"/>
            <w:hideMark/>
          </w:tcPr>
          <w:p w14:paraId="10A72F8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52" w:type="dxa"/>
            <w:shd w:val="clear" w:color="auto" w:fill="auto"/>
            <w:noWrap/>
            <w:vAlign w:val="center"/>
            <w:hideMark/>
          </w:tcPr>
          <w:p w14:paraId="78D83B5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997" w:type="dxa"/>
            <w:shd w:val="clear" w:color="auto" w:fill="auto"/>
            <w:noWrap/>
            <w:vAlign w:val="center"/>
            <w:hideMark/>
          </w:tcPr>
          <w:p w14:paraId="1A687F6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35EB3D8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auto"/>
            <w:noWrap/>
            <w:vAlign w:val="center"/>
            <w:hideMark/>
          </w:tcPr>
          <w:p w14:paraId="1CA4FC2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0069306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69BCB45C" w14:textId="77777777" w:rsidTr="00E84DD6">
        <w:trPr>
          <w:trHeight w:val="113"/>
        </w:trPr>
        <w:tc>
          <w:tcPr>
            <w:tcW w:w="2405" w:type="dxa"/>
            <w:shd w:val="clear" w:color="auto" w:fill="E7E6E6" w:themeFill="background2"/>
            <w:noWrap/>
            <w:vAlign w:val="center"/>
            <w:hideMark/>
          </w:tcPr>
          <w:p w14:paraId="04E073D8"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Pre-prepared salads</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sandwiches</w:t>
            </w:r>
          </w:p>
        </w:tc>
        <w:tc>
          <w:tcPr>
            <w:tcW w:w="1123" w:type="dxa"/>
            <w:shd w:val="clear" w:color="auto" w:fill="auto"/>
            <w:noWrap/>
            <w:vAlign w:val="center"/>
            <w:hideMark/>
          </w:tcPr>
          <w:p w14:paraId="31C8D67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183</w:t>
            </w:r>
          </w:p>
        </w:tc>
        <w:tc>
          <w:tcPr>
            <w:tcW w:w="1006" w:type="dxa"/>
            <w:shd w:val="clear" w:color="auto" w:fill="FFF2CC" w:themeFill="accent4" w:themeFillTint="33"/>
            <w:noWrap/>
            <w:vAlign w:val="center"/>
            <w:hideMark/>
          </w:tcPr>
          <w:p w14:paraId="00D8B1D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w:t>
            </w:r>
          </w:p>
        </w:tc>
        <w:tc>
          <w:tcPr>
            <w:tcW w:w="1052" w:type="dxa"/>
            <w:shd w:val="clear" w:color="auto" w:fill="FFF2CC" w:themeFill="accent4" w:themeFillTint="33"/>
            <w:noWrap/>
            <w:vAlign w:val="center"/>
            <w:hideMark/>
          </w:tcPr>
          <w:p w14:paraId="142BE67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r>
              <w:rPr>
                <w:rFonts w:eastAsia="Times New Roman" w:cstheme="minorHAnsi"/>
                <w:color w:val="000000" w:themeColor="text1"/>
                <w:sz w:val="18"/>
                <w:szCs w:val="18"/>
              </w:rPr>
              <w:t>%</w:t>
            </w:r>
          </w:p>
        </w:tc>
        <w:tc>
          <w:tcPr>
            <w:tcW w:w="997" w:type="dxa"/>
            <w:shd w:val="clear" w:color="auto" w:fill="auto"/>
            <w:noWrap/>
            <w:vAlign w:val="center"/>
            <w:hideMark/>
          </w:tcPr>
          <w:p w14:paraId="733631A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11B129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06A5215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w:t>
            </w:r>
          </w:p>
        </w:tc>
        <w:tc>
          <w:tcPr>
            <w:tcW w:w="1132" w:type="dxa"/>
            <w:shd w:val="clear" w:color="auto" w:fill="FFC7CE"/>
            <w:noWrap/>
            <w:vAlign w:val="center"/>
            <w:hideMark/>
          </w:tcPr>
          <w:p w14:paraId="07FC00F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1.1</w:t>
            </w:r>
            <w:r>
              <w:rPr>
                <w:rFonts w:eastAsia="Times New Roman" w:cstheme="minorHAnsi"/>
                <w:color w:val="000000" w:themeColor="text1"/>
                <w:sz w:val="18"/>
                <w:szCs w:val="18"/>
              </w:rPr>
              <w:t>%</w:t>
            </w:r>
          </w:p>
        </w:tc>
      </w:tr>
      <w:tr w:rsidR="00AF1690" w:rsidRPr="005C0CA6" w14:paraId="3E5E34CD" w14:textId="77777777" w:rsidTr="00E84DD6">
        <w:trPr>
          <w:trHeight w:val="113"/>
        </w:trPr>
        <w:tc>
          <w:tcPr>
            <w:tcW w:w="2405" w:type="dxa"/>
            <w:shd w:val="clear" w:color="auto" w:fill="E7E6E6" w:themeFill="background2"/>
            <w:noWrap/>
            <w:vAlign w:val="center"/>
            <w:hideMark/>
          </w:tcPr>
          <w:p w14:paraId="07601EB3"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Processed fish</w:t>
            </w:r>
          </w:p>
        </w:tc>
        <w:tc>
          <w:tcPr>
            <w:tcW w:w="1123" w:type="dxa"/>
            <w:shd w:val="clear" w:color="auto" w:fill="auto"/>
            <w:noWrap/>
            <w:vAlign w:val="center"/>
            <w:hideMark/>
          </w:tcPr>
          <w:p w14:paraId="0D86669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559</w:t>
            </w:r>
          </w:p>
        </w:tc>
        <w:tc>
          <w:tcPr>
            <w:tcW w:w="1006" w:type="dxa"/>
            <w:shd w:val="clear" w:color="auto" w:fill="FFF2CC" w:themeFill="accent4" w:themeFillTint="33"/>
            <w:noWrap/>
            <w:vAlign w:val="center"/>
            <w:hideMark/>
          </w:tcPr>
          <w:p w14:paraId="781A4CC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w:t>
            </w:r>
          </w:p>
        </w:tc>
        <w:tc>
          <w:tcPr>
            <w:tcW w:w="1052" w:type="dxa"/>
            <w:shd w:val="clear" w:color="auto" w:fill="FFF2CC" w:themeFill="accent4" w:themeFillTint="33"/>
            <w:noWrap/>
            <w:vAlign w:val="center"/>
            <w:hideMark/>
          </w:tcPr>
          <w:p w14:paraId="23FF4DCC"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3.0</w:t>
            </w:r>
            <w:r>
              <w:rPr>
                <w:rFonts w:eastAsia="Times New Roman" w:cstheme="minorHAnsi"/>
                <w:color w:val="000000" w:themeColor="text1"/>
                <w:sz w:val="18"/>
                <w:szCs w:val="18"/>
              </w:rPr>
              <w:t>%</w:t>
            </w:r>
          </w:p>
        </w:tc>
        <w:tc>
          <w:tcPr>
            <w:tcW w:w="997" w:type="dxa"/>
            <w:shd w:val="clear" w:color="auto" w:fill="auto"/>
            <w:noWrap/>
            <w:vAlign w:val="center"/>
            <w:hideMark/>
          </w:tcPr>
          <w:p w14:paraId="1458624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1DBE149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2029529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17</w:t>
            </w:r>
          </w:p>
        </w:tc>
        <w:tc>
          <w:tcPr>
            <w:tcW w:w="1132" w:type="dxa"/>
            <w:shd w:val="clear" w:color="auto" w:fill="FFC7CE"/>
            <w:noWrap/>
            <w:vAlign w:val="center"/>
            <w:hideMark/>
          </w:tcPr>
          <w:p w14:paraId="6C52C50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3.0</w:t>
            </w:r>
            <w:r>
              <w:rPr>
                <w:rFonts w:eastAsia="Times New Roman" w:cstheme="minorHAnsi"/>
                <w:color w:val="000000" w:themeColor="text1"/>
                <w:sz w:val="18"/>
                <w:szCs w:val="18"/>
              </w:rPr>
              <w:t>%</w:t>
            </w:r>
          </w:p>
        </w:tc>
      </w:tr>
      <w:tr w:rsidR="00AF1690" w:rsidRPr="005C0CA6" w14:paraId="5039E72A" w14:textId="77777777" w:rsidTr="00E84DD6">
        <w:trPr>
          <w:trHeight w:val="113"/>
        </w:trPr>
        <w:tc>
          <w:tcPr>
            <w:tcW w:w="2405" w:type="dxa"/>
            <w:shd w:val="clear" w:color="auto" w:fill="E7E6E6" w:themeFill="background2"/>
            <w:noWrap/>
            <w:vAlign w:val="center"/>
            <w:hideMark/>
          </w:tcPr>
          <w:p w14:paraId="3F1C756A"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Processed meat</w:t>
            </w:r>
          </w:p>
        </w:tc>
        <w:tc>
          <w:tcPr>
            <w:tcW w:w="1123" w:type="dxa"/>
            <w:shd w:val="clear" w:color="auto" w:fill="auto"/>
            <w:noWrap/>
            <w:vAlign w:val="center"/>
            <w:hideMark/>
          </w:tcPr>
          <w:p w14:paraId="41D12E4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857</w:t>
            </w:r>
          </w:p>
        </w:tc>
        <w:tc>
          <w:tcPr>
            <w:tcW w:w="1006" w:type="dxa"/>
            <w:shd w:val="clear" w:color="auto" w:fill="FFF2CC" w:themeFill="accent4" w:themeFillTint="33"/>
            <w:noWrap/>
            <w:vAlign w:val="center"/>
            <w:hideMark/>
          </w:tcPr>
          <w:p w14:paraId="10E98B0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55</w:t>
            </w:r>
          </w:p>
        </w:tc>
        <w:tc>
          <w:tcPr>
            <w:tcW w:w="1052" w:type="dxa"/>
            <w:shd w:val="clear" w:color="auto" w:fill="FFF2CC" w:themeFill="accent4" w:themeFillTint="33"/>
            <w:noWrap/>
            <w:vAlign w:val="center"/>
            <w:hideMark/>
          </w:tcPr>
          <w:p w14:paraId="6A8648B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6.4</w:t>
            </w:r>
            <w:r>
              <w:rPr>
                <w:rFonts w:eastAsia="Times New Roman" w:cstheme="minorHAnsi"/>
                <w:color w:val="000000" w:themeColor="text1"/>
                <w:sz w:val="18"/>
                <w:szCs w:val="18"/>
              </w:rPr>
              <w:t>%</w:t>
            </w:r>
          </w:p>
        </w:tc>
        <w:tc>
          <w:tcPr>
            <w:tcW w:w="997" w:type="dxa"/>
            <w:shd w:val="clear" w:color="auto" w:fill="auto"/>
            <w:noWrap/>
            <w:vAlign w:val="center"/>
            <w:hideMark/>
          </w:tcPr>
          <w:p w14:paraId="3CA0FD9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72D1A3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6852943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55</w:t>
            </w:r>
          </w:p>
        </w:tc>
        <w:tc>
          <w:tcPr>
            <w:tcW w:w="1132" w:type="dxa"/>
            <w:shd w:val="clear" w:color="auto" w:fill="FFC7CE"/>
            <w:noWrap/>
            <w:vAlign w:val="center"/>
            <w:hideMark/>
          </w:tcPr>
          <w:p w14:paraId="430C76E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6.4</w:t>
            </w:r>
            <w:r>
              <w:rPr>
                <w:rFonts w:eastAsia="Times New Roman" w:cstheme="minorHAnsi"/>
                <w:color w:val="000000" w:themeColor="text1"/>
                <w:sz w:val="18"/>
                <w:szCs w:val="18"/>
              </w:rPr>
              <w:t>%</w:t>
            </w:r>
          </w:p>
        </w:tc>
      </w:tr>
      <w:tr w:rsidR="00AF1690" w:rsidRPr="005C0CA6" w14:paraId="711476B2" w14:textId="77777777" w:rsidTr="00E84DD6">
        <w:trPr>
          <w:trHeight w:val="113"/>
        </w:trPr>
        <w:tc>
          <w:tcPr>
            <w:tcW w:w="2405" w:type="dxa"/>
            <w:shd w:val="clear" w:color="auto" w:fill="E7E6E6" w:themeFill="background2"/>
            <w:noWrap/>
            <w:vAlign w:val="center"/>
            <w:hideMark/>
          </w:tcPr>
          <w:p w14:paraId="58660408"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Ready meals</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meal kits</w:t>
            </w:r>
          </w:p>
        </w:tc>
        <w:tc>
          <w:tcPr>
            <w:tcW w:w="1123" w:type="dxa"/>
            <w:shd w:val="clear" w:color="auto" w:fill="auto"/>
            <w:noWrap/>
            <w:vAlign w:val="center"/>
            <w:hideMark/>
          </w:tcPr>
          <w:p w14:paraId="5CB5959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595</w:t>
            </w:r>
          </w:p>
        </w:tc>
        <w:tc>
          <w:tcPr>
            <w:tcW w:w="1006" w:type="dxa"/>
            <w:shd w:val="clear" w:color="auto" w:fill="FFF2CC" w:themeFill="accent4" w:themeFillTint="33"/>
            <w:noWrap/>
            <w:vAlign w:val="center"/>
            <w:hideMark/>
          </w:tcPr>
          <w:p w14:paraId="3D380D1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w:t>
            </w:r>
          </w:p>
        </w:tc>
        <w:tc>
          <w:tcPr>
            <w:tcW w:w="1052" w:type="dxa"/>
            <w:shd w:val="clear" w:color="auto" w:fill="FFF2CC" w:themeFill="accent4" w:themeFillTint="33"/>
            <w:noWrap/>
            <w:vAlign w:val="center"/>
            <w:hideMark/>
          </w:tcPr>
          <w:p w14:paraId="2A5BA37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0.7</w:t>
            </w:r>
            <w:r>
              <w:rPr>
                <w:rFonts w:eastAsia="Times New Roman" w:cstheme="minorHAnsi"/>
                <w:color w:val="000000" w:themeColor="text1"/>
                <w:sz w:val="18"/>
                <w:szCs w:val="18"/>
              </w:rPr>
              <w:t>%</w:t>
            </w:r>
          </w:p>
        </w:tc>
        <w:tc>
          <w:tcPr>
            <w:tcW w:w="997" w:type="dxa"/>
            <w:shd w:val="clear" w:color="auto" w:fill="auto"/>
            <w:noWrap/>
            <w:vAlign w:val="center"/>
            <w:hideMark/>
          </w:tcPr>
          <w:p w14:paraId="189A0FB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6959243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1BCF11D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w:t>
            </w:r>
          </w:p>
        </w:tc>
        <w:tc>
          <w:tcPr>
            <w:tcW w:w="1132" w:type="dxa"/>
            <w:shd w:val="clear" w:color="auto" w:fill="FFC7CE"/>
            <w:noWrap/>
            <w:vAlign w:val="center"/>
            <w:hideMark/>
          </w:tcPr>
          <w:p w14:paraId="71EB75D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0.7</w:t>
            </w:r>
            <w:r>
              <w:rPr>
                <w:rFonts w:eastAsia="Times New Roman" w:cstheme="minorHAnsi"/>
                <w:color w:val="000000" w:themeColor="text1"/>
                <w:sz w:val="18"/>
                <w:szCs w:val="18"/>
              </w:rPr>
              <w:t>%</w:t>
            </w:r>
          </w:p>
        </w:tc>
      </w:tr>
      <w:tr w:rsidR="00AF1690" w:rsidRPr="005C0CA6" w14:paraId="1FB267E4" w14:textId="77777777" w:rsidTr="00E84DD6">
        <w:trPr>
          <w:trHeight w:val="113"/>
        </w:trPr>
        <w:tc>
          <w:tcPr>
            <w:tcW w:w="2405" w:type="dxa"/>
            <w:shd w:val="clear" w:color="auto" w:fill="E7E6E6" w:themeFill="background2"/>
            <w:noWrap/>
            <w:vAlign w:val="center"/>
            <w:hideMark/>
          </w:tcPr>
          <w:p w14:paraId="391A707E"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Sauces</w:t>
            </w:r>
          </w:p>
        </w:tc>
        <w:tc>
          <w:tcPr>
            <w:tcW w:w="1123" w:type="dxa"/>
            <w:shd w:val="clear" w:color="auto" w:fill="auto"/>
            <w:noWrap/>
            <w:vAlign w:val="center"/>
            <w:hideMark/>
          </w:tcPr>
          <w:p w14:paraId="465A65E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1,046</w:t>
            </w:r>
          </w:p>
        </w:tc>
        <w:tc>
          <w:tcPr>
            <w:tcW w:w="1006" w:type="dxa"/>
            <w:shd w:val="clear" w:color="auto" w:fill="FFF2CC" w:themeFill="accent4" w:themeFillTint="33"/>
            <w:noWrap/>
            <w:vAlign w:val="center"/>
            <w:hideMark/>
          </w:tcPr>
          <w:p w14:paraId="1504C18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155</w:t>
            </w:r>
          </w:p>
        </w:tc>
        <w:tc>
          <w:tcPr>
            <w:tcW w:w="1052" w:type="dxa"/>
            <w:shd w:val="clear" w:color="auto" w:fill="FFF2CC" w:themeFill="accent4" w:themeFillTint="33"/>
            <w:noWrap/>
            <w:vAlign w:val="center"/>
            <w:hideMark/>
          </w:tcPr>
          <w:p w14:paraId="7281847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14.8</w:t>
            </w:r>
            <w:r>
              <w:rPr>
                <w:rFonts w:eastAsia="Times New Roman" w:cstheme="minorHAnsi"/>
                <w:color w:val="000000" w:themeColor="text1"/>
                <w:sz w:val="18"/>
                <w:szCs w:val="18"/>
              </w:rPr>
              <w:t>%</w:t>
            </w:r>
          </w:p>
        </w:tc>
        <w:tc>
          <w:tcPr>
            <w:tcW w:w="997" w:type="dxa"/>
            <w:shd w:val="clear" w:color="auto" w:fill="auto"/>
            <w:noWrap/>
            <w:vAlign w:val="center"/>
            <w:hideMark/>
          </w:tcPr>
          <w:p w14:paraId="6DC32E4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73D264D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AE2331">
              <w:rPr>
                <w:rFonts w:eastAsia="Times New Roman" w:cstheme="minorHAnsi"/>
                <w:color w:val="000000" w:themeColor="text1"/>
                <w:sz w:val="18"/>
                <w:szCs w:val="18"/>
              </w:rPr>
              <w:t>%</w:t>
            </w:r>
          </w:p>
        </w:tc>
        <w:tc>
          <w:tcPr>
            <w:tcW w:w="1020" w:type="dxa"/>
            <w:shd w:val="clear" w:color="auto" w:fill="FFC7CE"/>
            <w:noWrap/>
            <w:vAlign w:val="center"/>
            <w:hideMark/>
          </w:tcPr>
          <w:p w14:paraId="6973048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155</w:t>
            </w:r>
          </w:p>
        </w:tc>
        <w:tc>
          <w:tcPr>
            <w:tcW w:w="1132" w:type="dxa"/>
            <w:shd w:val="clear" w:color="auto" w:fill="FFC7CE"/>
            <w:noWrap/>
            <w:vAlign w:val="center"/>
            <w:hideMark/>
          </w:tcPr>
          <w:p w14:paraId="7C81EEC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14.8</w:t>
            </w:r>
            <w:r>
              <w:rPr>
                <w:rFonts w:eastAsia="Times New Roman" w:cstheme="minorHAnsi"/>
                <w:color w:val="000000" w:themeColor="text1"/>
                <w:sz w:val="18"/>
                <w:szCs w:val="18"/>
              </w:rPr>
              <w:t>%</w:t>
            </w:r>
          </w:p>
        </w:tc>
      </w:tr>
      <w:tr w:rsidR="00AF1690" w:rsidRPr="005C0CA6" w14:paraId="2865A4F2" w14:textId="77777777" w:rsidTr="00E84DD6">
        <w:trPr>
          <w:trHeight w:val="113"/>
        </w:trPr>
        <w:tc>
          <w:tcPr>
            <w:tcW w:w="2405" w:type="dxa"/>
            <w:shd w:val="clear" w:color="auto" w:fill="E7E6E6" w:themeFill="background2"/>
            <w:noWrap/>
            <w:vAlign w:val="center"/>
            <w:hideMark/>
          </w:tcPr>
          <w:p w14:paraId="1A486BC6"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Savoury biscuits</w:t>
            </w:r>
          </w:p>
        </w:tc>
        <w:tc>
          <w:tcPr>
            <w:tcW w:w="1123" w:type="dxa"/>
            <w:shd w:val="clear" w:color="auto" w:fill="auto"/>
            <w:noWrap/>
            <w:vAlign w:val="center"/>
            <w:hideMark/>
          </w:tcPr>
          <w:p w14:paraId="675B4B8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362</w:t>
            </w:r>
          </w:p>
        </w:tc>
        <w:tc>
          <w:tcPr>
            <w:tcW w:w="1006" w:type="dxa"/>
            <w:shd w:val="clear" w:color="auto" w:fill="FFF2CC" w:themeFill="accent4" w:themeFillTint="33"/>
            <w:noWrap/>
            <w:vAlign w:val="center"/>
            <w:hideMark/>
          </w:tcPr>
          <w:p w14:paraId="346CF6D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w:t>
            </w:r>
          </w:p>
        </w:tc>
        <w:tc>
          <w:tcPr>
            <w:tcW w:w="1052" w:type="dxa"/>
            <w:shd w:val="clear" w:color="auto" w:fill="FFF2CC" w:themeFill="accent4" w:themeFillTint="33"/>
            <w:noWrap/>
            <w:vAlign w:val="center"/>
            <w:hideMark/>
          </w:tcPr>
          <w:p w14:paraId="5345B765"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1.9</w:t>
            </w:r>
            <w:r>
              <w:rPr>
                <w:rFonts w:eastAsia="Times New Roman" w:cstheme="minorHAnsi"/>
                <w:color w:val="000000" w:themeColor="text1"/>
                <w:sz w:val="18"/>
                <w:szCs w:val="18"/>
              </w:rPr>
              <w:t>%</w:t>
            </w:r>
          </w:p>
        </w:tc>
        <w:tc>
          <w:tcPr>
            <w:tcW w:w="997" w:type="dxa"/>
            <w:shd w:val="clear" w:color="auto" w:fill="auto"/>
            <w:noWrap/>
            <w:vAlign w:val="center"/>
            <w:hideMark/>
          </w:tcPr>
          <w:p w14:paraId="3499871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0E1532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c>
          <w:tcPr>
            <w:tcW w:w="1020" w:type="dxa"/>
            <w:shd w:val="clear" w:color="auto" w:fill="FFC7CE"/>
            <w:noWrap/>
            <w:vAlign w:val="center"/>
            <w:hideMark/>
          </w:tcPr>
          <w:p w14:paraId="5F40D7E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w:t>
            </w:r>
          </w:p>
        </w:tc>
        <w:tc>
          <w:tcPr>
            <w:tcW w:w="1132" w:type="dxa"/>
            <w:shd w:val="clear" w:color="auto" w:fill="FFC7CE"/>
            <w:noWrap/>
            <w:vAlign w:val="center"/>
            <w:hideMark/>
          </w:tcPr>
          <w:p w14:paraId="55A7FB6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1.9</w:t>
            </w:r>
            <w:r>
              <w:rPr>
                <w:rFonts w:eastAsia="Times New Roman" w:cstheme="minorHAnsi"/>
                <w:color w:val="000000" w:themeColor="text1"/>
                <w:sz w:val="18"/>
                <w:szCs w:val="18"/>
              </w:rPr>
              <w:t>%</w:t>
            </w:r>
          </w:p>
        </w:tc>
      </w:tr>
      <w:tr w:rsidR="00AF1690" w:rsidRPr="005C0CA6" w14:paraId="76AC299A" w14:textId="77777777" w:rsidTr="00E84DD6">
        <w:trPr>
          <w:trHeight w:val="113"/>
        </w:trPr>
        <w:tc>
          <w:tcPr>
            <w:tcW w:w="2405" w:type="dxa"/>
            <w:shd w:val="clear" w:color="auto" w:fill="E7E6E6" w:themeFill="background2"/>
            <w:noWrap/>
            <w:vAlign w:val="center"/>
            <w:hideMark/>
          </w:tcPr>
          <w:p w14:paraId="67B238F6"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Soup</w:t>
            </w:r>
          </w:p>
        </w:tc>
        <w:tc>
          <w:tcPr>
            <w:tcW w:w="1123" w:type="dxa"/>
            <w:shd w:val="clear" w:color="auto" w:fill="auto"/>
            <w:noWrap/>
            <w:vAlign w:val="center"/>
            <w:hideMark/>
          </w:tcPr>
          <w:p w14:paraId="3B40182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326</w:t>
            </w:r>
          </w:p>
        </w:tc>
        <w:tc>
          <w:tcPr>
            <w:tcW w:w="1006" w:type="dxa"/>
            <w:shd w:val="clear" w:color="auto" w:fill="FFF2CC" w:themeFill="accent4" w:themeFillTint="33"/>
            <w:noWrap/>
            <w:vAlign w:val="center"/>
            <w:hideMark/>
          </w:tcPr>
          <w:p w14:paraId="24EA468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w:t>
            </w:r>
          </w:p>
        </w:tc>
        <w:tc>
          <w:tcPr>
            <w:tcW w:w="1052" w:type="dxa"/>
            <w:shd w:val="clear" w:color="auto" w:fill="FFF2CC" w:themeFill="accent4" w:themeFillTint="33"/>
            <w:noWrap/>
            <w:vAlign w:val="center"/>
            <w:hideMark/>
          </w:tcPr>
          <w:p w14:paraId="4AA0D77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0.9</w:t>
            </w:r>
            <w:r>
              <w:rPr>
                <w:rFonts w:eastAsia="Times New Roman" w:cstheme="minorHAnsi"/>
                <w:color w:val="000000" w:themeColor="text1"/>
                <w:sz w:val="18"/>
                <w:szCs w:val="18"/>
              </w:rPr>
              <w:t>%</w:t>
            </w:r>
          </w:p>
        </w:tc>
        <w:tc>
          <w:tcPr>
            <w:tcW w:w="997" w:type="dxa"/>
            <w:shd w:val="clear" w:color="auto" w:fill="auto"/>
            <w:noWrap/>
            <w:vAlign w:val="center"/>
            <w:hideMark/>
          </w:tcPr>
          <w:p w14:paraId="177737C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3A328E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35640EF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w:t>
            </w:r>
          </w:p>
        </w:tc>
        <w:tc>
          <w:tcPr>
            <w:tcW w:w="1132" w:type="dxa"/>
            <w:shd w:val="clear" w:color="auto" w:fill="FFC7CE"/>
            <w:noWrap/>
            <w:vAlign w:val="center"/>
            <w:hideMark/>
          </w:tcPr>
          <w:p w14:paraId="5A9DE6C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0.9</w:t>
            </w:r>
            <w:r>
              <w:rPr>
                <w:rFonts w:eastAsia="Times New Roman" w:cstheme="minorHAnsi"/>
                <w:color w:val="000000" w:themeColor="text1"/>
                <w:sz w:val="18"/>
                <w:szCs w:val="18"/>
              </w:rPr>
              <w:t>%</w:t>
            </w:r>
          </w:p>
        </w:tc>
      </w:tr>
      <w:tr w:rsidR="00AF1690" w:rsidRPr="005C0CA6" w14:paraId="3917CCC0" w14:textId="77777777" w:rsidTr="00E84DD6">
        <w:trPr>
          <w:trHeight w:val="113"/>
        </w:trPr>
        <w:tc>
          <w:tcPr>
            <w:tcW w:w="2405" w:type="dxa"/>
            <w:shd w:val="clear" w:color="auto" w:fill="E7E6E6" w:themeFill="background2"/>
            <w:noWrap/>
            <w:vAlign w:val="center"/>
            <w:hideMark/>
          </w:tcPr>
          <w:p w14:paraId="45C4DEB3"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Spreads and dips</w:t>
            </w:r>
          </w:p>
        </w:tc>
        <w:tc>
          <w:tcPr>
            <w:tcW w:w="1123" w:type="dxa"/>
            <w:shd w:val="clear" w:color="auto" w:fill="auto"/>
            <w:noWrap/>
            <w:vAlign w:val="center"/>
            <w:hideMark/>
          </w:tcPr>
          <w:p w14:paraId="2CA0464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453</w:t>
            </w:r>
          </w:p>
        </w:tc>
        <w:tc>
          <w:tcPr>
            <w:tcW w:w="1006" w:type="dxa"/>
            <w:shd w:val="clear" w:color="auto" w:fill="FFF2CC" w:themeFill="accent4" w:themeFillTint="33"/>
            <w:noWrap/>
            <w:vAlign w:val="center"/>
            <w:hideMark/>
          </w:tcPr>
          <w:p w14:paraId="1BB4F60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33</w:t>
            </w:r>
          </w:p>
        </w:tc>
        <w:tc>
          <w:tcPr>
            <w:tcW w:w="1052" w:type="dxa"/>
            <w:shd w:val="clear" w:color="auto" w:fill="FFF2CC" w:themeFill="accent4" w:themeFillTint="33"/>
            <w:noWrap/>
            <w:vAlign w:val="center"/>
            <w:hideMark/>
          </w:tcPr>
          <w:p w14:paraId="0850058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7.3</w:t>
            </w:r>
            <w:r>
              <w:rPr>
                <w:rFonts w:eastAsia="Times New Roman" w:cstheme="minorHAnsi"/>
                <w:color w:val="000000" w:themeColor="text1"/>
                <w:sz w:val="18"/>
                <w:szCs w:val="18"/>
              </w:rPr>
              <w:t>%</w:t>
            </w:r>
          </w:p>
        </w:tc>
        <w:tc>
          <w:tcPr>
            <w:tcW w:w="997" w:type="dxa"/>
            <w:shd w:val="clear" w:color="auto" w:fill="auto"/>
            <w:noWrap/>
            <w:vAlign w:val="center"/>
            <w:hideMark/>
          </w:tcPr>
          <w:p w14:paraId="00F1A7E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51C1F1F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186BCC4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33</w:t>
            </w:r>
          </w:p>
        </w:tc>
        <w:tc>
          <w:tcPr>
            <w:tcW w:w="1132" w:type="dxa"/>
            <w:shd w:val="clear" w:color="auto" w:fill="FFC7CE"/>
            <w:noWrap/>
            <w:vAlign w:val="center"/>
            <w:hideMark/>
          </w:tcPr>
          <w:p w14:paraId="7A87717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7.3</w:t>
            </w:r>
            <w:r>
              <w:rPr>
                <w:rFonts w:eastAsia="Times New Roman" w:cstheme="minorHAnsi"/>
                <w:color w:val="000000" w:themeColor="text1"/>
                <w:sz w:val="18"/>
                <w:szCs w:val="18"/>
              </w:rPr>
              <w:t>%</w:t>
            </w:r>
          </w:p>
        </w:tc>
      </w:tr>
      <w:tr w:rsidR="00AF1690" w:rsidRPr="005C0CA6" w14:paraId="172A98CE" w14:textId="77777777" w:rsidTr="00E84DD6">
        <w:trPr>
          <w:trHeight w:val="113"/>
        </w:trPr>
        <w:tc>
          <w:tcPr>
            <w:tcW w:w="2405" w:type="dxa"/>
            <w:shd w:val="clear" w:color="auto" w:fill="E7E6E6" w:themeFill="background2"/>
            <w:noWrap/>
            <w:vAlign w:val="center"/>
            <w:hideMark/>
          </w:tcPr>
          <w:p w14:paraId="6116AD5A"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Sugars, honey</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 xml:space="preserve">related </w:t>
            </w:r>
          </w:p>
        </w:tc>
        <w:tc>
          <w:tcPr>
            <w:tcW w:w="1123" w:type="dxa"/>
            <w:shd w:val="clear" w:color="auto" w:fill="auto"/>
            <w:noWrap/>
            <w:vAlign w:val="center"/>
            <w:hideMark/>
          </w:tcPr>
          <w:p w14:paraId="3E053A1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250</w:t>
            </w:r>
          </w:p>
        </w:tc>
        <w:tc>
          <w:tcPr>
            <w:tcW w:w="1006" w:type="dxa"/>
            <w:shd w:val="clear" w:color="auto" w:fill="FFF2CC" w:themeFill="accent4" w:themeFillTint="33"/>
            <w:noWrap/>
            <w:vAlign w:val="center"/>
            <w:hideMark/>
          </w:tcPr>
          <w:p w14:paraId="6992BA3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54</w:t>
            </w:r>
          </w:p>
        </w:tc>
        <w:tc>
          <w:tcPr>
            <w:tcW w:w="1052" w:type="dxa"/>
            <w:shd w:val="clear" w:color="auto" w:fill="FFF2CC" w:themeFill="accent4" w:themeFillTint="33"/>
            <w:noWrap/>
            <w:vAlign w:val="center"/>
            <w:hideMark/>
          </w:tcPr>
          <w:p w14:paraId="3CFE570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21.6</w:t>
            </w:r>
            <w:r>
              <w:rPr>
                <w:rFonts w:eastAsia="Times New Roman" w:cstheme="minorHAnsi"/>
                <w:color w:val="000000" w:themeColor="text1"/>
                <w:sz w:val="18"/>
                <w:szCs w:val="18"/>
              </w:rPr>
              <w:t>%</w:t>
            </w:r>
          </w:p>
        </w:tc>
        <w:tc>
          <w:tcPr>
            <w:tcW w:w="997" w:type="dxa"/>
            <w:shd w:val="clear" w:color="auto" w:fill="auto"/>
            <w:noWrap/>
            <w:vAlign w:val="center"/>
            <w:hideMark/>
          </w:tcPr>
          <w:p w14:paraId="045D5DD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0CE6DB9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0F826CA6"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54</w:t>
            </w:r>
          </w:p>
        </w:tc>
        <w:tc>
          <w:tcPr>
            <w:tcW w:w="1132" w:type="dxa"/>
            <w:shd w:val="clear" w:color="auto" w:fill="FFC7CE"/>
            <w:noWrap/>
            <w:vAlign w:val="center"/>
            <w:hideMark/>
          </w:tcPr>
          <w:p w14:paraId="198ED26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21.6</w:t>
            </w:r>
            <w:r>
              <w:rPr>
                <w:rFonts w:eastAsia="Times New Roman" w:cstheme="minorHAnsi"/>
                <w:color w:val="000000" w:themeColor="text1"/>
                <w:sz w:val="18"/>
                <w:szCs w:val="18"/>
              </w:rPr>
              <w:t>%</w:t>
            </w:r>
          </w:p>
        </w:tc>
      </w:tr>
      <w:tr w:rsidR="00AF1690" w:rsidRPr="005C0CA6" w14:paraId="31A3E444" w14:textId="77777777" w:rsidTr="00E84DD6">
        <w:trPr>
          <w:trHeight w:val="113"/>
        </w:trPr>
        <w:tc>
          <w:tcPr>
            <w:tcW w:w="2405" w:type="dxa"/>
            <w:shd w:val="clear" w:color="auto" w:fill="E7E6E6" w:themeFill="background2"/>
            <w:noWrap/>
            <w:vAlign w:val="center"/>
            <w:hideMark/>
          </w:tcPr>
          <w:p w14:paraId="5834D31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Sweet biscuits</w:t>
            </w:r>
          </w:p>
        </w:tc>
        <w:tc>
          <w:tcPr>
            <w:tcW w:w="1123" w:type="dxa"/>
            <w:shd w:val="clear" w:color="auto" w:fill="auto"/>
            <w:noWrap/>
            <w:vAlign w:val="center"/>
            <w:hideMark/>
          </w:tcPr>
          <w:p w14:paraId="7D92819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398</w:t>
            </w:r>
          </w:p>
        </w:tc>
        <w:tc>
          <w:tcPr>
            <w:tcW w:w="1006" w:type="dxa"/>
            <w:shd w:val="clear" w:color="auto" w:fill="FFF2CC" w:themeFill="accent4" w:themeFillTint="33"/>
            <w:noWrap/>
            <w:vAlign w:val="center"/>
            <w:hideMark/>
          </w:tcPr>
          <w:p w14:paraId="7882DAE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60</w:t>
            </w:r>
          </w:p>
        </w:tc>
        <w:tc>
          <w:tcPr>
            <w:tcW w:w="1052" w:type="dxa"/>
            <w:shd w:val="clear" w:color="auto" w:fill="FFF2CC" w:themeFill="accent4" w:themeFillTint="33"/>
            <w:noWrap/>
            <w:vAlign w:val="center"/>
            <w:hideMark/>
          </w:tcPr>
          <w:p w14:paraId="4F14570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15.1</w:t>
            </w:r>
            <w:r>
              <w:rPr>
                <w:rFonts w:eastAsia="Times New Roman" w:cstheme="minorHAnsi"/>
                <w:color w:val="000000" w:themeColor="text1"/>
                <w:sz w:val="18"/>
                <w:szCs w:val="18"/>
              </w:rPr>
              <w:t>%</w:t>
            </w:r>
          </w:p>
        </w:tc>
        <w:tc>
          <w:tcPr>
            <w:tcW w:w="997" w:type="dxa"/>
            <w:shd w:val="clear" w:color="auto" w:fill="auto"/>
            <w:noWrap/>
            <w:vAlign w:val="center"/>
            <w:hideMark/>
          </w:tcPr>
          <w:p w14:paraId="5A5BD7FF"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107A48C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3E46A66D"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60</w:t>
            </w:r>
          </w:p>
        </w:tc>
        <w:tc>
          <w:tcPr>
            <w:tcW w:w="1132" w:type="dxa"/>
            <w:shd w:val="clear" w:color="auto" w:fill="FFC7CE"/>
            <w:noWrap/>
            <w:vAlign w:val="center"/>
            <w:hideMark/>
          </w:tcPr>
          <w:p w14:paraId="376B7CEA"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15.1</w:t>
            </w:r>
            <w:r>
              <w:rPr>
                <w:rFonts w:eastAsia="Times New Roman" w:cstheme="minorHAnsi"/>
                <w:color w:val="000000" w:themeColor="text1"/>
                <w:sz w:val="18"/>
                <w:szCs w:val="18"/>
              </w:rPr>
              <w:t>%</w:t>
            </w:r>
          </w:p>
        </w:tc>
      </w:tr>
      <w:tr w:rsidR="00AF1690" w:rsidRPr="005C0CA6" w14:paraId="1C8D6BCC" w14:textId="77777777" w:rsidTr="00E84DD6">
        <w:trPr>
          <w:trHeight w:val="113"/>
        </w:trPr>
        <w:tc>
          <w:tcPr>
            <w:tcW w:w="2405" w:type="dxa"/>
            <w:shd w:val="clear" w:color="auto" w:fill="E7E6E6" w:themeFill="background2"/>
            <w:noWrap/>
            <w:vAlign w:val="center"/>
            <w:hideMark/>
          </w:tcPr>
          <w:p w14:paraId="0F60C744"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Vegetables </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processed</w:t>
            </w:r>
            <w:r>
              <w:rPr>
                <w:rFonts w:eastAsia="Times New Roman" w:cstheme="minorHAnsi"/>
                <w:b/>
                <w:bCs/>
                <w:color w:val="000000" w:themeColor="text1"/>
                <w:sz w:val="18"/>
                <w:szCs w:val="18"/>
              </w:rPr>
              <w:t xml:space="preserve"> </w:t>
            </w:r>
          </w:p>
        </w:tc>
        <w:tc>
          <w:tcPr>
            <w:tcW w:w="1123" w:type="dxa"/>
            <w:shd w:val="clear" w:color="auto" w:fill="auto"/>
            <w:noWrap/>
            <w:vAlign w:val="center"/>
            <w:hideMark/>
          </w:tcPr>
          <w:p w14:paraId="0EC9338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574</w:t>
            </w:r>
          </w:p>
        </w:tc>
        <w:tc>
          <w:tcPr>
            <w:tcW w:w="1006" w:type="dxa"/>
            <w:shd w:val="clear" w:color="auto" w:fill="FFF2CC" w:themeFill="accent4" w:themeFillTint="33"/>
            <w:noWrap/>
            <w:vAlign w:val="center"/>
            <w:hideMark/>
          </w:tcPr>
          <w:p w14:paraId="57CA81E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50</w:t>
            </w:r>
          </w:p>
        </w:tc>
        <w:tc>
          <w:tcPr>
            <w:tcW w:w="1052" w:type="dxa"/>
            <w:shd w:val="clear" w:color="auto" w:fill="FFF2CC" w:themeFill="accent4" w:themeFillTint="33"/>
            <w:noWrap/>
            <w:vAlign w:val="center"/>
            <w:hideMark/>
          </w:tcPr>
          <w:p w14:paraId="0EE58BA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8.7</w:t>
            </w:r>
            <w:r>
              <w:rPr>
                <w:rFonts w:eastAsia="Times New Roman" w:cstheme="minorHAnsi"/>
                <w:color w:val="000000" w:themeColor="text1"/>
                <w:sz w:val="18"/>
                <w:szCs w:val="18"/>
              </w:rPr>
              <w:t>%</w:t>
            </w:r>
          </w:p>
        </w:tc>
        <w:tc>
          <w:tcPr>
            <w:tcW w:w="997" w:type="dxa"/>
            <w:shd w:val="clear" w:color="auto" w:fill="auto"/>
            <w:noWrap/>
            <w:vAlign w:val="center"/>
            <w:hideMark/>
          </w:tcPr>
          <w:p w14:paraId="172B434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074" w:type="dxa"/>
            <w:shd w:val="clear" w:color="auto" w:fill="auto"/>
            <w:noWrap/>
            <w:vAlign w:val="center"/>
            <w:hideMark/>
          </w:tcPr>
          <w:p w14:paraId="71C020A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sidRPr="005B704F">
              <w:rPr>
                <w:rFonts w:eastAsia="Times New Roman" w:cstheme="minorHAnsi"/>
                <w:color w:val="000000" w:themeColor="text1"/>
                <w:sz w:val="18"/>
                <w:szCs w:val="18"/>
              </w:rPr>
              <w:t>%</w:t>
            </w:r>
          </w:p>
        </w:tc>
        <w:tc>
          <w:tcPr>
            <w:tcW w:w="1020" w:type="dxa"/>
            <w:shd w:val="clear" w:color="auto" w:fill="FFC7CE"/>
            <w:noWrap/>
            <w:vAlign w:val="center"/>
            <w:hideMark/>
          </w:tcPr>
          <w:p w14:paraId="72B19329"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50</w:t>
            </w:r>
          </w:p>
        </w:tc>
        <w:tc>
          <w:tcPr>
            <w:tcW w:w="1132" w:type="dxa"/>
            <w:shd w:val="clear" w:color="auto" w:fill="FFC7CE"/>
            <w:noWrap/>
            <w:vAlign w:val="center"/>
            <w:hideMark/>
          </w:tcPr>
          <w:p w14:paraId="21678CB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8.7</w:t>
            </w:r>
            <w:r>
              <w:rPr>
                <w:rFonts w:eastAsia="Times New Roman" w:cstheme="minorHAnsi"/>
                <w:color w:val="000000" w:themeColor="text1"/>
                <w:sz w:val="18"/>
                <w:szCs w:val="18"/>
              </w:rPr>
              <w:t>%</w:t>
            </w:r>
          </w:p>
        </w:tc>
      </w:tr>
      <w:tr w:rsidR="00AF1690" w:rsidRPr="005C0CA6" w14:paraId="407DB0A4" w14:textId="77777777" w:rsidTr="00E84DD6">
        <w:trPr>
          <w:trHeight w:val="113"/>
        </w:trPr>
        <w:tc>
          <w:tcPr>
            <w:tcW w:w="2405" w:type="dxa"/>
            <w:shd w:val="clear" w:color="auto" w:fill="E7E6E6" w:themeFill="background2"/>
            <w:noWrap/>
            <w:vAlign w:val="center"/>
            <w:hideMark/>
          </w:tcPr>
          <w:p w14:paraId="786D307F"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 xml:space="preserve">Vegetables </w:t>
            </w:r>
            <w:r>
              <w:rPr>
                <w:rFonts w:eastAsia="Times New Roman" w:cstheme="minorHAnsi"/>
                <w:b/>
                <w:bCs/>
                <w:color w:val="000000" w:themeColor="text1"/>
                <w:sz w:val="18"/>
                <w:szCs w:val="18"/>
              </w:rPr>
              <w:t xml:space="preserve">- </w:t>
            </w:r>
            <w:r w:rsidRPr="005C0CA6">
              <w:rPr>
                <w:rFonts w:eastAsia="Times New Roman" w:cstheme="minorHAnsi"/>
                <w:b/>
                <w:bCs/>
                <w:color w:val="000000" w:themeColor="text1"/>
                <w:sz w:val="18"/>
                <w:szCs w:val="18"/>
              </w:rPr>
              <w:t>unprocessed</w:t>
            </w:r>
          </w:p>
        </w:tc>
        <w:tc>
          <w:tcPr>
            <w:tcW w:w="1123" w:type="dxa"/>
            <w:shd w:val="clear" w:color="auto" w:fill="auto"/>
            <w:noWrap/>
            <w:vAlign w:val="center"/>
            <w:hideMark/>
          </w:tcPr>
          <w:p w14:paraId="0FEA6B9B"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167</w:t>
            </w:r>
          </w:p>
        </w:tc>
        <w:tc>
          <w:tcPr>
            <w:tcW w:w="1006" w:type="dxa"/>
            <w:shd w:val="clear" w:color="auto" w:fill="FFF2CC" w:themeFill="accent4" w:themeFillTint="33"/>
            <w:noWrap/>
            <w:vAlign w:val="center"/>
            <w:hideMark/>
          </w:tcPr>
          <w:p w14:paraId="2F2EC957"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42</w:t>
            </w:r>
          </w:p>
        </w:tc>
        <w:tc>
          <w:tcPr>
            <w:tcW w:w="1052" w:type="dxa"/>
            <w:shd w:val="clear" w:color="auto" w:fill="FFF2CC" w:themeFill="accent4" w:themeFillTint="33"/>
            <w:noWrap/>
            <w:vAlign w:val="center"/>
            <w:hideMark/>
          </w:tcPr>
          <w:p w14:paraId="30EED2A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25.1</w:t>
            </w:r>
            <w:r>
              <w:rPr>
                <w:rFonts w:eastAsia="Times New Roman" w:cstheme="minorHAnsi"/>
                <w:color w:val="000000" w:themeColor="text1"/>
                <w:sz w:val="18"/>
                <w:szCs w:val="18"/>
              </w:rPr>
              <w:t>%</w:t>
            </w:r>
          </w:p>
        </w:tc>
        <w:tc>
          <w:tcPr>
            <w:tcW w:w="997" w:type="dxa"/>
            <w:shd w:val="clear" w:color="auto" w:fill="C6EFCE"/>
            <w:noWrap/>
            <w:vAlign w:val="center"/>
            <w:hideMark/>
          </w:tcPr>
          <w:p w14:paraId="5513B4B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42</w:t>
            </w:r>
          </w:p>
        </w:tc>
        <w:tc>
          <w:tcPr>
            <w:tcW w:w="1074" w:type="dxa"/>
            <w:shd w:val="clear" w:color="auto" w:fill="C6EFCE"/>
            <w:noWrap/>
            <w:vAlign w:val="center"/>
            <w:hideMark/>
          </w:tcPr>
          <w:p w14:paraId="7008DA32"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25.1</w:t>
            </w:r>
            <w:r>
              <w:rPr>
                <w:rFonts w:eastAsia="Times New Roman" w:cstheme="minorHAnsi"/>
                <w:color w:val="000000" w:themeColor="text1"/>
                <w:sz w:val="18"/>
                <w:szCs w:val="18"/>
              </w:rPr>
              <w:t>%</w:t>
            </w:r>
          </w:p>
        </w:tc>
        <w:tc>
          <w:tcPr>
            <w:tcW w:w="1020" w:type="dxa"/>
            <w:shd w:val="clear" w:color="auto" w:fill="auto"/>
            <w:noWrap/>
            <w:vAlign w:val="center"/>
            <w:hideMark/>
          </w:tcPr>
          <w:p w14:paraId="1EA7AAD3"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p>
        </w:tc>
        <w:tc>
          <w:tcPr>
            <w:tcW w:w="1132" w:type="dxa"/>
            <w:shd w:val="clear" w:color="auto" w:fill="auto"/>
            <w:noWrap/>
            <w:vAlign w:val="center"/>
            <w:hideMark/>
          </w:tcPr>
          <w:p w14:paraId="2151217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w:t>
            </w:r>
            <w:r>
              <w:rPr>
                <w:rFonts w:eastAsia="Times New Roman" w:cstheme="minorHAnsi"/>
                <w:color w:val="000000" w:themeColor="text1"/>
                <w:sz w:val="18"/>
                <w:szCs w:val="18"/>
              </w:rPr>
              <w:t>%</w:t>
            </w:r>
          </w:p>
        </w:tc>
      </w:tr>
      <w:tr w:rsidR="00AF1690" w:rsidRPr="005C0CA6" w14:paraId="2C1CD17C" w14:textId="77777777" w:rsidTr="00E84DD6">
        <w:trPr>
          <w:trHeight w:val="113"/>
        </w:trPr>
        <w:tc>
          <w:tcPr>
            <w:tcW w:w="2405" w:type="dxa"/>
            <w:shd w:val="clear" w:color="auto" w:fill="E7E6E6" w:themeFill="background2"/>
            <w:noWrap/>
            <w:vAlign w:val="center"/>
            <w:hideMark/>
          </w:tcPr>
          <w:p w14:paraId="7A702997"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Yoghurt and yoghurt drinks</w:t>
            </w:r>
          </w:p>
        </w:tc>
        <w:tc>
          <w:tcPr>
            <w:tcW w:w="1123" w:type="dxa"/>
            <w:shd w:val="clear" w:color="auto" w:fill="auto"/>
            <w:noWrap/>
            <w:vAlign w:val="center"/>
            <w:hideMark/>
          </w:tcPr>
          <w:p w14:paraId="3BF8884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394</w:t>
            </w:r>
          </w:p>
        </w:tc>
        <w:tc>
          <w:tcPr>
            <w:tcW w:w="1006" w:type="dxa"/>
            <w:shd w:val="clear" w:color="auto" w:fill="FFF2CC" w:themeFill="accent4" w:themeFillTint="33"/>
            <w:noWrap/>
            <w:vAlign w:val="center"/>
            <w:hideMark/>
          </w:tcPr>
          <w:p w14:paraId="4891FB51"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298</w:t>
            </w:r>
          </w:p>
        </w:tc>
        <w:tc>
          <w:tcPr>
            <w:tcW w:w="1052" w:type="dxa"/>
            <w:shd w:val="clear" w:color="auto" w:fill="FFF2CC" w:themeFill="accent4" w:themeFillTint="33"/>
            <w:noWrap/>
            <w:vAlign w:val="center"/>
            <w:hideMark/>
          </w:tcPr>
          <w:p w14:paraId="23632A3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75.6</w:t>
            </w:r>
            <w:r>
              <w:rPr>
                <w:rFonts w:eastAsia="Times New Roman" w:cstheme="minorHAnsi"/>
                <w:color w:val="000000" w:themeColor="text1"/>
                <w:sz w:val="18"/>
                <w:szCs w:val="18"/>
              </w:rPr>
              <w:t>%</w:t>
            </w:r>
          </w:p>
        </w:tc>
        <w:tc>
          <w:tcPr>
            <w:tcW w:w="997" w:type="dxa"/>
            <w:shd w:val="clear" w:color="auto" w:fill="C6EFCE"/>
            <w:noWrap/>
            <w:vAlign w:val="center"/>
            <w:hideMark/>
          </w:tcPr>
          <w:p w14:paraId="2E5861DE"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297</w:t>
            </w:r>
          </w:p>
        </w:tc>
        <w:tc>
          <w:tcPr>
            <w:tcW w:w="1074" w:type="dxa"/>
            <w:shd w:val="clear" w:color="auto" w:fill="C6EFCE"/>
            <w:noWrap/>
            <w:vAlign w:val="center"/>
            <w:hideMark/>
          </w:tcPr>
          <w:p w14:paraId="0FAF5738"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75.4</w:t>
            </w:r>
            <w:r>
              <w:rPr>
                <w:rFonts w:eastAsia="Times New Roman" w:cstheme="minorHAnsi"/>
                <w:color w:val="000000" w:themeColor="text1"/>
                <w:sz w:val="18"/>
                <w:szCs w:val="18"/>
              </w:rPr>
              <w:t>%</w:t>
            </w:r>
          </w:p>
        </w:tc>
        <w:tc>
          <w:tcPr>
            <w:tcW w:w="1020" w:type="dxa"/>
            <w:shd w:val="clear" w:color="auto" w:fill="FFC7CE"/>
            <w:noWrap/>
            <w:vAlign w:val="center"/>
            <w:hideMark/>
          </w:tcPr>
          <w:p w14:paraId="54B1C374"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1</w:t>
            </w:r>
          </w:p>
        </w:tc>
        <w:tc>
          <w:tcPr>
            <w:tcW w:w="1132" w:type="dxa"/>
            <w:shd w:val="clear" w:color="auto" w:fill="FFC7CE"/>
            <w:noWrap/>
            <w:vAlign w:val="center"/>
            <w:hideMark/>
          </w:tcPr>
          <w:p w14:paraId="42A41740" w14:textId="77777777" w:rsidR="00AF1690" w:rsidRPr="005C0CA6" w:rsidRDefault="00AF1690" w:rsidP="00E84DD6">
            <w:pPr>
              <w:jc w:val="center"/>
              <w:rPr>
                <w:rFonts w:eastAsia="Times New Roman" w:cstheme="minorHAnsi"/>
                <w:color w:val="000000" w:themeColor="text1"/>
                <w:sz w:val="18"/>
                <w:szCs w:val="18"/>
              </w:rPr>
            </w:pPr>
            <w:r w:rsidRPr="005C0CA6">
              <w:rPr>
                <w:rFonts w:eastAsia="Times New Roman" w:cstheme="minorHAnsi"/>
                <w:color w:val="000000" w:themeColor="text1"/>
                <w:sz w:val="18"/>
                <w:szCs w:val="18"/>
              </w:rPr>
              <w:t>0.3</w:t>
            </w:r>
            <w:r>
              <w:rPr>
                <w:rFonts w:eastAsia="Times New Roman" w:cstheme="minorHAnsi"/>
                <w:color w:val="000000" w:themeColor="text1"/>
                <w:sz w:val="18"/>
                <w:szCs w:val="18"/>
              </w:rPr>
              <w:t>%</w:t>
            </w:r>
          </w:p>
        </w:tc>
      </w:tr>
      <w:tr w:rsidR="00AF1690" w:rsidRPr="005C0CA6" w14:paraId="5C6A2622" w14:textId="77777777" w:rsidTr="00E84DD6">
        <w:trPr>
          <w:trHeight w:val="113"/>
        </w:trPr>
        <w:tc>
          <w:tcPr>
            <w:tcW w:w="2405" w:type="dxa"/>
            <w:shd w:val="clear" w:color="auto" w:fill="BFBFBF" w:themeFill="background1" w:themeFillShade="BF"/>
            <w:noWrap/>
            <w:vAlign w:val="center"/>
            <w:hideMark/>
          </w:tcPr>
          <w:p w14:paraId="689D56B7" w14:textId="77777777" w:rsidR="00AF1690" w:rsidRPr="005C0CA6" w:rsidRDefault="00AF1690" w:rsidP="00E84DD6">
            <w:pPr>
              <w:rPr>
                <w:rFonts w:eastAsia="Times New Roman" w:cstheme="minorHAnsi"/>
                <w:b/>
                <w:bCs/>
                <w:color w:val="000000" w:themeColor="text1"/>
                <w:sz w:val="18"/>
                <w:szCs w:val="18"/>
              </w:rPr>
            </w:pPr>
            <w:r w:rsidRPr="005C0CA6">
              <w:rPr>
                <w:rFonts w:eastAsia="Times New Roman" w:cstheme="minorHAnsi"/>
                <w:b/>
                <w:bCs/>
                <w:color w:val="000000" w:themeColor="text1"/>
                <w:sz w:val="18"/>
                <w:szCs w:val="18"/>
              </w:rPr>
              <w:t>Total</w:t>
            </w:r>
          </w:p>
        </w:tc>
        <w:tc>
          <w:tcPr>
            <w:tcW w:w="1123" w:type="dxa"/>
            <w:shd w:val="clear" w:color="auto" w:fill="BFBFBF" w:themeFill="background1" w:themeFillShade="BF"/>
            <w:noWrap/>
            <w:vAlign w:val="center"/>
            <w:hideMark/>
          </w:tcPr>
          <w:p w14:paraId="77148E0F" w14:textId="27A6885B" w:rsidR="00AF1690" w:rsidRPr="003B79E0" w:rsidRDefault="00AF169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1</w:t>
            </w:r>
            <w:r w:rsidR="003B79E0" w:rsidRPr="003B79E0">
              <w:rPr>
                <w:rFonts w:eastAsia="Times New Roman" w:cstheme="minorHAnsi"/>
                <w:b/>
                <w:bCs/>
                <w:color w:val="000000" w:themeColor="text1"/>
                <w:sz w:val="18"/>
                <w:szCs w:val="18"/>
              </w:rPr>
              <w:t>3</w:t>
            </w:r>
            <w:r w:rsidRPr="003B79E0">
              <w:rPr>
                <w:rFonts w:eastAsia="Times New Roman" w:cstheme="minorHAnsi"/>
                <w:b/>
                <w:bCs/>
                <w:color w:val="000000" w:themeColor="text1"/>
                <w:sz w:val="18"/>
                <w:szCs w:val="18"/>
              </w:rPr>
              <w:t>,</w:t>
            </w:r>
            <w:r w:rsidR="003B79E0" w:rsidRPr="003B79E0">
              <w:rPr>
                <w:rFonts w:eastAsia="Times New Roman" w:cstheme="minorHAnsi"/>
                <w:b/>
                <w:bCs/>
                <w:color w:val="000000" w:themeColor="text1"/>
                <w:sz w:val="18"/>
                <w:szCs w:val="18"/>
              </w:rPr>
              <w:t>527</w:t>
            </w:r>
          </w:p>
        </w:tc>
        <w:tc>
          <w:tcPr>
            <w:tcW w:w="1006" w:type="dxa"/>
            <w:shd w:val="clear" w:color="auto" w:fill="BFBFBF" w:themeFill="background1" w:themeFillShade="BF"/>
            <w:noWrap/>
            <w:vAlign w:val="center"/>
            <w:hideMark/>
          </w:tcPr>
          <w:p w14:paraId="6A9ABEA5" w14:textId="02A96111"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2,163</w:t>
            </w:r>
          </w:p>
        </w:tc>
        <w:tc>
          <w:tcPr>
            <w:tcW w:w="1052" w:type="dxa"/>
            <w:shd w:val="clear" w:color="auto" w:fill="BFBFBF" w:themeFill="background1" w:themeFillShade="BF"/>
            <w:noWrap/>
            <w:vAlign w:val="center"/>
            <w:hideMark/>
          </w:tcPr>
          <w:p w14:paraId="4D90C10B" w14:textId="165BEFBF"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1</w:t>
            </w:r>
            <w:r w:rsidR="00F37134">
              <w:rPr>
                <w:rFonts w:eastAsia="Times New Roman" w:cstheme="minorHAnsi"/>
                <w:b/>
                <w:bCs/>
                <w:color w:val="000000" w:themeColor="text1"/>
                <w:sz w:val="18"/>
                <w:szCs w:val="18"/>
              </w:rPr>
              <w:t>6.0</w:t>
            </w:r>
            <w:r w:rsidR="00AF1690" w:rsidRPr="003B79E0">
              <w:rPr>
                <w:rFonts w:eastAsia="Times New Roman" w:cstheme="minorHAnsi"/>
                <w:b/>
                <w:bCs/>
                <w:color w:val="000000" w:themeColor="text1"/>
                <w:sz w:val="18"/>
                <w:szCs w:val="18"/>
              </w:rPr>
              <w:t>%</w:t>
            </w:r>
          </w:p>
        </w:tc>
        <w:tc>
          <w:tcPr>
            <w:tcW w:w="997" w:type="dxa"/>
            <w:shd w:val="clear" w:color="auto" w:fill="BFBFBF" w:themeFill="background1" w:themeFillShade="BF"/>
            <w:noWrap/>
            <w:vAlign w:val="center"/>
            <w:hideMark/>
          </w:tcPr>
          <w:p w14:paraId="454A9B90" w14:textId="51E942F2"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808</w:t>
            </w:r>
          </w:p>
        </w:tc>
        <w:tc>
          <w:tcPr>
            <w:tcW w:w="1074" w:type="dxa"/>
            <w:shd w:val="clear" w:color="auto" w:fill="BFBFBF" w:themeFill="background1" w:themeFillShade="BF"/>
            <w:noWrap/>
            <w:vAlign w:val="center"/>
            <w:hideMark/>
          </w:tcPr>
          <w:p w14:paraId="5A3EB19C" w14:textId="488331AE" w:rsidR="00AF1690" w:rsidRPr="003B79E0" w:rsidRDefault="00F37134" w:rsidP="00E84DD6">
            <w:pPr>
              <w:jc w:val="center"/>
              <w:rPr>
                <w:rFonts w:eastAsia="Times New Roman" w:cstheme="minorHAnsi"/>
                <w:b/>
                <w:bCs/>
                <w:color w:val="000000" w:themeColor="text1"/>
                <w:sz w:val="18"/>
                <w:szCs w:val="18"/>
              </w:rPr>
            </w:pPr>
            <w:r>
              <w:rPr>
                <w:rFonts w:eastAsia="Times New Roman" w:cstheme="minorHAnsi"/>
                <w:b/>
                <w:bCs/>
                <w:color w:val="000000" w:themeColor="text1"/>
                <w:sz w:val="18"/>
                <w:szCs w:val="18"/>
              </w:rPr>
              <w:t>6.0</w:t>
            </w:r>
            <w:r w:rsidR="00AF1690" w:rsidRPr="003B79E0">
              <w:rPr>
                <w:rFonts w:eastAsia="Times New Roman" w:cstheme="minorHAnsi"/>
                <w:b/>
                <w:bCs/>
                <w:color w:val="000000" w:themeColor="text1"/>
                <w:sz w:val="18"/>
                <w:szCs w:val="18"/>
              </w:rPr>
              <w:t>%</w:t>
            </w:r>
          </w:p>
        </w:tc>
        <w:tc>
          <w:tcPr>
            <w:tcW w:w="1020" w:type="dxa"/>
            <w:shd w:val="clear" w:color="auto" w:fill="BFBFBF" w:themeFill="background1" w:themeFillShade="BF"/>
            <w:noWrap/>
            <w:vAlign w:val="center"/>
            <w:hideMark/>
          </w:tcPr>
          <w:p w14:paraId="3230A6C2" w14:textId="4A259640"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1,354</w:t>
            </w:r>
          </w:p>
        </w:tc>
        <w:tc>
          <w:tcPr>
            <w:tcW w:w="1132" w:type="dxa"/>
            <w:shd w:val="clear" w:color="auto" w:fill="BFBFBF" w:themeFill="background1" w:themeFillShade="BF"/>
            <w:noWrap/>
            <w:vAlign w:val="center"/>
            <w:hideMark/>
          </w:tcPr>
          <w:p w14:paraId="0F7A2856" w14:textId="5A435DDA" w:rsidR="00AF1690" w:rsidRPr="003B79E0" w:rsidRDefault="003B79E0" w:rsidP="00E84DD6">
            <w:pPr>
              <w:jc w:val="center"/>
              <w:rPr>
                <w:rFonts w:eastAsia="Times New Roman" w:cstheme="minorHAnsi"/>
                <w:b/>
                <w:bCs/>
                <w:color w:val="000000" w:themeColor="text1"/>
                <w:sz w:val="18"/>
                <w:szCs w:val="18"/>
              </w:rPr>
            </w:pPr>
            <w:r w:rsidRPr="003B79E0">
              <w:rPr>
                <w:rFonts w:eastAsia="Times New Roman" w:cstheme="minorHAnsi"/>
                <w:b/>
                <w:bCs/>
                <w:color w:val="000000" w:themeColor="text1"/>
                <w:sz w:val="18"/>
                <w:szCs w:val="18"/>
              </w:rPr>
              <w:t>10</w:t>
            </w:r>
            <w:r w:rsidR="00F37134">
              <w:rPr>
                <w:rFonts w:eastAsia="Times New Roman" w:cstheme="minorHAnsi"/>
                <w:b/>
                <w:bCs/>
                <w:color w:val="000000" w:themeColor="text1"/>
                <w:sz w:val="18"/>
                <w:szCs w:val="18"/>
              </w:rPr>
              <w:t>.0</w:t>
            </w:r>
            <w:r w:rsidR="00AF1690" w:rsidRPr="003B79E0">
              <w:rPr>
                <w:rFonts w:eastAsia="Times New Roman" w:cstheme="minorHAnsi"/>
                <w:b/>
                <w:bCs/>
                <w:color w:val="000000" w:themeColor="text1"/>
                <w:sz w:val="18"/>
                <w:szCs w:val="18"/>
              </w:rPr>
              <w:t>%</w:t>
            </w:r>
          </w:p>
        </w:tc>
      </w:tr>
    </w:tbl>
    <w:p w14:paraId="208D712D" w14:textId="30F92958" w:rsidR="004F7D86" w:rsidRPr="00CC1ADD" w:rsidRDefault="00AF1690" w:rsidP="009B0396">
      <w:pPr>
        <w:pStyle w:val="mpcheading1"/>
        <w:rPr>
          <w:i/>
        </w:rPr>
      </w:pPr>
      <w:r>
        <w:br w:type="column"/>
      </w:r>
      <w:bookmarkStart w:id="202" w:name="Glossary"/>
      <w:bookmarkStart w:id="203" w:name="_Toc9955096"/>
      <w:bookmarkEnd w:id="202"/>
      <w:r w:rsidR="004F7D86" w:rsidRPr="00CC1ADD">
        <w:t>Glossary</w:t>
      </w:r>
      <w:bookmarkEnd w:id="203"/>
    </w:p>
    <w:tbl>
      <w:tblPr>
        <w:tblStyle w:val="TableGrid"/>
        <w:tblW w:w="5000" w:type="pct"/>
        <w:tblCellMar>
          <w:top w:w="57" w:type="dxa"/>
          <w:bottom w:w="57" w:type="dxa"/>
        </w:tblCellMar>
        <w:tblLook w:val="04A0" w:firstRow="1" w:lastRow="0" w:firstColumn="1" w:lastColumn="0" w:noHBand="0" w:noVBand="1"/>
        <w:tblCaption w:val="Table 1: Glossary"/>
        <w:tblDescription w:val="Table 1 provides a glossary of definitions for terms used in this Consultation Paper."/>
      </w:tblPr>
      <w:tblGrid>
        <w:gridCol w:w="1980"/>
        <w:gridCol w:w="7756"/>
      </w:tblGrid>
      <w:tr w:rsidR="004F7D86" w:rsidRPr="00CC1ADD" w14:paraId="6D8385E3" w14:textId="77777777" w:rsidTr="004F7D86">
        <w:trPr>
          <w:tblHeader/>
        </w:trPr>
        <w:tc>
          <w:tcPr>
            <w:tcW w:w="1017" w:type="pct"/>
            <w:shd w:val="clear" w:color="auto" w:fill="516A8E"/>
          </w:tcPr>
          <w:p w14:paraId="6D3B9081" w14:textId="77777777" w:rsidR="004F7D86" w:rsidRPr="00CC1ADD" w:rsidRDefault="004F7D86">
            <w:pPr>
              <w:rPr>
                <w:rFonts w:cstheme="minorHAnsi"/>
                <w:b/>
                <w:color w:val="FFFFFF" w:themeColor="background1"/>
                <w:sz w:val="20"/>
                <w:szCs w:val="20"/>
              </w:rPr>
            </w:pPr>
            <w:bookmarkStart w:id="204" w:name="Term"/>
            <w:bookmarkEnd w:id="204"/>
            <w:r w:rsidRPr="00CC1ADD">
              <w:rPr>
                <w:rFonts w:cstheme="minorHAnsi"/>
                <w:b/>
                <w:color w:val="FFFFFF" w:themeColor="background1"/>
                <w:sz w:val="20"/>
                <w:szCs w:val="20"/>
              </w:rPr>
              <w:t>Term</w:t>
            </w:r>
          </w:p>
        </w:tc>
        <w:tc>
          <w:tcPr>
            <w:tcW w:w="3983" w:type="pct"/>
            <w:shd w:val="clear" w:color="auto" w:fill="516A8E"/>
          </w:tcPr>
          <w:p w14:paraId="212397CE" w14:textId="77777777" w:rsidR="004F7D86" w:rsidRPr="00CC1ADD" w:rsidRDefault="004F7D86">
            <w:pPr>
              <w:rPr>
                <w:rFonts w:cstheme="minorHAnsi"/>
                <w:b/>
                <w:color w:val="FFFFFF" w:themeColor="background1"/>
                <w:sz w:val="20"/>
                <w:szCs w:val="20"/>
              </w:rPr>
            </w:pPr>
            <w:r w:rsidRPr="00CC1ADD">
              <w:rPr>
                <w:rFonts w:cstheme="minorHAnsi"/>
                <w:b/>
                <w:color w:val="FFFFFF" w:themeColor="background1"/>
                <w:sz w:val="20"/>
                <w:szCs w:val="20"/>
              </w:rPr>
              <w:t>Meaning</w:t>
            </w:r>
          </w:p>
        </w:tc>
      </w:tr>
      <w:tr w:rsidR="004F7D86" w:rsidRPr="00CC1ADD" w14:paraId="163C81D3" w14:textId="77777777" w:rsidTr="004F7D86">
        <w:tc>
          <w:tcPr>
            <w:tcW w:w="1017" w:type="pct"/>
          </w:tcPr>
          <w:p w14:paraId="69B43D50"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Australia and New Zealand Ministerial Forum on Food Regulation </w:t>
            </w:r>
          </w:p>
          <w:p w14:paraId="42A11CF9" w14:textId="77777777" w:rsidR="004F7D86" w:rsidRPr="00CC1ADD" w:rsidRDefault="004F7D86">
            <w:pPr>
              <w:pStyle w:val="mpctabletext"/>
              <w:spacing w:before="60" w:after="60"/>
              <w:rPr>
                <w:rFonts w:cstheme="minorHAnsi"/>
                <w:b/>
                <w:color w:val="000000" w:themeColor="text1"/>
                <w:szCs w:val="20"/>
              </w:rPr>
            </w:pPr>
            <w:r w:rsidRPr="00CC1ADD">
              <w:rPr>
                <w:rFonts w:cstheme="minorHAnsi"/>
                <w:b/>
                <w:color w:val="000000" w:themeColor="text1"/>
                <w:szCs w:val="20"/>
              </w:rPr>
              <w:t>(The Forum)</w:t>
            </w:r>
          </w:p>
        </w:tc>
        <w:tc>
          <w:tcPr>
            <w:tcW w:w="3983" w:type="pct"/>
          </w:tcPr>
          <w:p w14:paraId="39E16069" w14:textId="77777777" w:rsidR="004F7D86" w:rsidRPr="00CC1ADD" w:rsidRDefault="004F7D86">
            <w:pPr>
              <w:rPr>
                <w:rFonts w:cstheme="minorHAnsi"/>
                <w:color w:val="000000" w:themeColor="text1"/>
                <w:sz w:val="20"/>
                <w:szCs w:val="20"/>
              </w:rPr>
            </w:pPr>
            <w:hyperlink r:id="rId144" w:history="1">
              <w:r w:rsidRPr="00CC1ADD">
                <w:rPr>
                  <w:rFonts w:cstheme="minorHAnsi"/>
                  <w:color w:val="000000" w:themeColor="text1"/>
                  <w:sz w:val="20"/>
                  <w:szCs w:val="20"/>
                </w:rPr>
                <w:t>The</w:t>
              </w:r>
            </w:hyperlink>
            <w:r w:rsidRPr="00CC1ADD">
              <w:rPr>
                <w:rFonts w:cstheme="minorHAnsi"/>
                <w:color w:val="000000" w:themeColor="text1"/>
                <w:sz w:val="20"/>
                <w:szCs w:val="20"/>
              </w:rPr>
              <w:t xml:space="preserve"> Forum has general oversight of the implementation of food standards, develops policy guidelines and promotes harmonised standards between Australia and New Zealand. </w:t>
            </w:r>
            <w:hyperlink r:id="rId145" w:tgtFrame="_blank" w:history="1">
              <w:r w:rsidRPr="00CC1ADD">
                <w:rPr>
                  <w:rFonts w:cstheme="minorHAnsi"/>
                  <w:color w:val="000000" w:themeColor="text1"/>
                  <w:sz w:val="20"/>
                  <w:szCs w:val="20"/>
                </w:rPr>
                <w:t>Forum membership</w:t>
              </w:r>
            </w:hyperlink>
            <w:r w:rsidRPr="00CC1ADD">
              <w:rPr>
                <w:rFonts w:cstheme="minorHAnsi"/>
                <w:color w:val="000000" w:themeColor="text1"/>
                <w:sz w:val="20"/>
                <w:szCs w:val="20"/>
              </w:rPr>
              <w:t xml:space="preserve"> is made up of lead ministers (usually health ministers) from Australian state and territory governments and the Australian and New Zealand governments. </w:t>
            </w:r>
          </w:p>
        </w:tc>
      </w:tr>
      <w:tr w:rsidR="004F7D86" w:rsidRPr="00CC1ADD" w14:paraId="1955E990" w14:textId="77777777" w:rsidTr="004F7D86">
        <w:tc>
          <w:tcPr>
            <w:tcW w:w="1017" w:type="pct"/>
          </w:tcPr>
          <w:p w14:paraId="2A4D41C9"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Dietary Guidelines 2013 (ADG)</w:t>
            </w:r>
          </w:p>
        </w:tc>
        <w:tc>
          <w:tcPr>
            <w:tcW w:w="3983" w:type="pct"/>
          </w:tcPr>
          <w:p w14:paraId="70E19675" w14:textId="77777777" w:rsidR="004F7D86" w:rsidRPr="00CC1ADD" w:rsidRDefault="004F7D86">
            <w:pPr>
              <w:pStyle w:val="mpctabletext"/>
              <w:spacing w:before="60" w:after="60"/>
              <w:rPr>
                <w:rFonts w:cstheme="minorHAnsi"/>
                <w:b/>
                <w:szCs w:val="20"/>
              </w:rPr>
            </w:pPr>
            <w:r w:rsidRPr="00CC1ADD">
              <w:rPr>
                <w:rFonts w:cstheme="minorHAnsi"/>
                <w:color w:val="000000" w:themeColor="text1"/>
                <w:szCs w:val="20"/>
              </w:rPr>
              <w:t xml:space="preserve">The </w:t>
            </w:r>
            <w:hyperlink r:id="rId146" w:history="1">
              <w:r w:rsidRPr="00CC1ADD">
                <w:rPr>
                  <w:rStyle w:val="Hyperlink"/>
                  <w:rFonts w:cstheme="minorHAnsi"/>
                  <w:szCs w:val="20"/>
                </w:rPr>
                <w:t>ADG</w:t>
              </w:r>
            </w:hyperlink>
            <w:r w:rsidRPr="00CC1ADD">
              <w:rPr>
                <w:rFonts w:cstheme="minorHAnsi"/>
                <w:color w:val="000000" w:themeColor="text1"/>
                <w:szCs w:val="20"/>
              </w:rPr>
              <w:t xml:space="preserve"> provide advice about the amount and types of foods that should be eaten for health and wellbeing, with recommendations based on scientific evidence.</w:t>
            </w:r>
          </w:p>
        </w:tc>
      </w:tr>
      <w:tr w:rsidR="004F7D86" w:rsidRPr="00CC1ADD" w14:paraId="0993F956" w14:textId="77777777" w:rsidTr="00DD78A3">
        <w:trPr>
          <w:trHeight w:val="832"/>
        </w:trPr>
        <w:tc>
          <w:tcPr>
            <w:tcW w:w="1017" w:type="pct"/>
          </w:tcPr>
          <w:p w14:paraId="0FEDF1E3"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Guide to Healthy Eating (AGHE)</w:t>
            </w:r>
          </w:p>
        </w:tc>
        <w:tc>
          <w:tcPr>
            <w:tcW w:w="3983" w:type="pct"/>
          </w:tcPr>
          <w:p w14:paraId="66DEBA0A" w14:textId="7CDBA62F" w:rsidR="004F7D86" w:rsidRPr="00CC1ADD" w:rsidRDefault="004F7D86">
            <w:pPr>
              <w:rPr>
                <w:rFonts w:cstheme="minorHAnsi"/>
                <w:color w:val="000000" w:themeColor="text1"/>
                <w:sz w:val="20"/>
                <w:szCs w:val="20"/>
              </w:rPr>
            </w:pPr>
            <w:r w:rsidRPr="00CC1ADD">
              <w:rPr>
                <w:rFonts w:cstheme="minorHAnsi"/>
                <w:color w:val="000000" w:themeColor="text1"/>
                <w:sz w:val="20"/>
                <w:szCs w:val="20"/>
              </w:rPr>
              <w:t xml:space="preserve">The </w:t>
            </w:r>
            <w:hyperlink r:id="rId147" w:history="1">
              <w:r w:rsidRPr="00CC1ADD">
                <w:rPr>
                  <w:rStyle w:val="Hyperlink"/>
                  <w:rFonts w:cstheme="minorHAnsi"/>
                  <w:sz w:val="20"/>
                  <w:szCs w:val="20"/>
                </w:rPr>
                <w:t>AGHE</w:t>
              </w:r>
            </w:hyperlink>
            <w:r w:rsidRPr="00CC1ADD">
              <w:rPr>
                <w:rFonts w:cstheme="minorHAnsi"/>
                <w:color w:val="000000" w:themeColor="text1"/>
                <w:sz w:val="20"/>
                <w:szCs w:val="20"/>
              </w:rPr>
              <w:t xml:space="preserve"> is a food selection guide which visually represents the proportion of the five food groups recommended for consumption each day.</w:t>
            </w:r>
          </w:p>
        </w:tc>
      </w:tr>
      <w:tr w:rsidR="004F7D86" w:rsidRPr="00CC1ADD" w14:paraId="38E8527A" w14:textId="77777777" w:rsidTr="004F7D86">
        <w:tc>
          <w:tcPr>
            <w:tcW w:w="1017" w:type="pct"/>
          </w:tcPr>
          <w:p w14:paraId="0CD11AB5"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Health Survey 2011-13 (AHS)</w:t>
            </w:r>
          </w:p>
        </w:tc>
        <w:tc>
          <w:tcPr>
            <w:tcW w:w="3983" w:type="pct"/>
          </w:tcPr>
          <w:p w14:paraId="4CFA49A6"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w:t>
            </w:r>
            <w:hyperlink r:id="rId148" w:history="1">
              <w:r w:rsidRPr="00CC1ADD">
                <w:rPr>
                  <w:rStyle w:val="Hyperlink"/>
                  <w:rFonts w:cstheme="minorHAnsi"/>
                  <w:szCs w:val="20"/>
                </w:rPr>
                <w:t>AHS</w:t>
              </w:r>
            </w:hyperlink>
            <w:r w:rsidRPr="00CC1ADD">
              <w:rPr>
                <w:rFonts w:cstheme="minorHAnsi"/>
                <w:color w:val="000000" w:themeColor="text1"/>
                <w:szCs w:val="20"/>
              </w:rPr>
              <w:t xml:space="preserve"> is the largest and most comprehensive health survey conducted in Australia. The AHS was undertaken by the Australian Bureau of Statistics (ABS) and collected a range of information about health-related issues. </w:t>
            </w:r>
          </w:p>
        </w:tc>
      </w:tr>
      <w:tr w:rsidR="004F7D86" w:rsidRPr="00CC1ADD" w14:paraId="7E7333A2" w14:textId="77777777" w:rsidTr="004F7D86">
        <w:tc>
          <w:tcPr>
            <w:tcW w:w="1017" w:type="pct"/>
          </w:tcPr>
          <w:p w14:paraId="43B0DEBF"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AHS Discretionary Foods List</w:t>
            </w:r>
          </w:p>
        </w:tc>
        <w:tc>
          <w:tcPr>
            <w:tcW w:w="3983" w:type="pct"/>
          </w:tcPr>
          <w:p w14:paraId="735E29B7"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w:t>
            </w:r>
            <w:hyperlink r:id="rId149" w:history="1">
              <w:r w:rsidRPr="00CC1ADD">
                <w:rPr>
                  <w:rStyle w:val="Hyperlink"/>
                  <w:rFonts w:cstheme="minorHAnsi"/>
                  <w:szCs w:val="20"/>
                </w:rPr>
                <w:t>AHS Discretionary Foods List</w:t>
              </w:r>
            </w:hyperlink>
            <w:r w:rsidRPr="00CC1ADD">
              <w:rPr>
                <w:rFonts w:cstheme="minorHAnsi"/>
                <w:color w:val="000000" w:themeColor="text1"/>
                <w:szCs w:val="20"/>
              </w:rPr>
              <w:t xml:space="preserve"> was developed by the ABS in 2014 for the purpose of the 2011-12 National Nutrition and Physical Activity Survey. It classifies foods as discretionary based on the ADG. </w:t>
            </w:r>
          </w:p>
        </w:tc>
      </w:tr>
      <w:tr w:rsidR="004F7D86" w:rsidRPr="00CC1ADD" w14:paraId="1F819E5D" w14:textId="77777777" w:rsidTr="004F7D86">
        <w:tc>
          <w:tcPr>
            <w:tcW w:w="1017" w:type="pct"/>
          </w:tcPr>
          <w:p w14:paraId="2490CC42" w14:textId="77777777" w:rsidR="004F7D86" w:rsidRPr="00CC1ADD" w:rsidRDefault="004F7D86" w:rsidP="005A3631">
            <w:pPr>
              <w:pStyle w:val="mpctabletext"/>
              <w:spacing w:before="60" w:after="60"/>
              <w:rPr>
                <w:rFonts w:cstheme="minorHAnsi"/>
                <w:b/>
                <w:szCs w:val="20"/>
              </w:rPr>
            </w:pPr>
            <w:r w:rsidRPr="00CC1ADD">
              <w:rPr>
                <w:rFonts w:cstheme="minorHAnsi"/>
                <w:b/>
                <w:szCs w:val="20"/>
              </w:rPr>
              <w:t>Australian Health Ministers’ Advisory Council (AHMAC)</w:t>
            </w:r>
          </w:p>
        </w:tc>
        <w:tc>
          <w:tcPr>
            <w:tcW w:w="3983" w:type="pct"/>
          </w:tcPr>
          <w:p w14:paraId="61F8C3EF"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Advisory and support body to the Council of Australian Governments (COAG) Health Council.</w:t>
            </w:r>
          </w:p>
        </w:tc>
      </w:tr>
      <w:tr w:rsidR="004F7D86" w:rsidRPr="00CC1ADD" w14:paraId="591CC6D0" w14:textId="77777777" w:rsidTr="004F7D86">
        <w:tc>
          <w:tcPr>
            <w:tcW w:w="1017" w:type="pct"/>
          </w:tcPr>
          <w:p w14:paraId="4AA516E6"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Australia New Zealand Foods Standards Code (the Code)</w:t>
            </w:r>
          </w:p>
        </w:tc>
        <w:tc>
          <w:tcPr>
            <w:tcW w:w="3983" w:type="pct"/>
          </w:tcPr>
          <w:p w14:paraId="674B9194" w14:textId="1C4AE432"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standards in </w:t>
            </w:r>
            <w:hyperlink r:id="rId150" w:history="1">
              <w:r w:rsidRPr="00CC1ADD">
                <w:rPr>
                  <w:rStyle w:val="Hyperlink"/>
                  <w:rFonts w:cstheme="minorHAnsi"/>
                  <w:szCs w:val="20"/>
                </w:rPr>
                <w:t>the Code</w:t>
              </w:r>
            </w:hyperlink>
            <w:r w:rsidRPr="00CC1ADD">
              <w:rPr>
                <w:rFonts w:cstheme="minorHAnsi"/>
                <w:color w:val="000000" w:themeColor="text1"/>
                <w:szCs w:val="20"/>
              </w:rPr>
              <w:t xml:space="preserve"> are legislative instruments and include standards for food safety, food composition and labelling and foods that need pre-approval such as genetically modified foods. The Code sets out regulatory requirements for food labelling and other information requirements on foods, plus food standards for: substances that can be added to or present in food; contaminants and resides; foods requiring pre-market clearance; microbiological limits; specific standards for food categories; food safety and primary production standards (Australia only).</w:t>
            </w:r>
          </w:p>
        </w:tc>
      </w:tr>
      <w:tr w:rsidR="004F7D86" w:rsidRPr="00CC1ADD" w14:paraId="20FA8CFC" w14:textId="77777777" w:rsidTr="004F7D86">
        <w:tc>
          <w:tcPr>
            <w:tcW w:w="1017" w:type="pct"/>
          </w:tcPr>
          <w:p w14:paraId="4003F08E"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 xml:space="preserve">Baseline points </w:t>
            </w:r>
          </w:p>
        </w:tc>
        <w:tc>
          <w:tcPr>
            <w:tcW w:w="3983" w:type="pct"/>
          </w:tcPr>
          <w:p w14:paraId="72304D0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NPSC system, b</w:t>
            </w:r>
            <w:r w:rsidRPr="00CC1ADD" w:rsidDel="00EE3546">
              <w:rPr>
                <w:rFonts w:cstheme="minorHAnsi"/>
                <w:color w:val="000000" w:themeColor="text1"/>
                <w:szCs w:val="20"/>
              </w:rPr>
              <w:t xml:space="preserve">aseline points are </w:t>
            </w:r>
            <w:r w:rsidRPr="00CC1ADD">
              <w:rPr>
                <w:rFonts w:cstheme="minorHAnsi"/>
                <w:color w:val="000000" w:themeColor="text1"/>
                <w:szCs w:val="20"/>
              </w:rPr>
              <w:t>allocated for the negative components considered in that system (energy, saturated fatty acids, total sugars and sodium).</w:t>
            </w:r>
          </w:p>
          <w:p w14:paraId="4206FBE6" w14:textId="77777777" w:rsidR="004F7D86" w:rsidRPr="00CC1ADD" w:rsidRDefault="004F7D86">
            <w:pPr>
              <w:pStyle w:val="mpctabletext"/>
              <w:spacing w:before="60" w:after="60"/>
              <w:rPr>
                <w:rFonts w:cstheme="minorHAnsi"/>
                <w:b/>
                <w:color w:val="000000" w:themeColor="text1"/>
                <w:szCs w:val="20"/>
              </w:rPr>
            </w:pPr>
            <w:r w:rsidRPr="00CC1ADD">
              <w:rPr>
                <w:rFonts w:cstheme="minorHAnsi"/>
                <w:color w:val="000000" w:themeColor="text1"/>
                <w:szCs w:val="20"/>
              </w:rPr>
              <w:t>In the HSR Calculator, baseline points are allocated to these same risk-associated components (energy, saturated fatty acids, total sugars and sodium). HSR baseline points contribute inversely to the final HSR.</w:t>
            </w:r>
          </w:p>
        </w:tc>
      </w:tr>
      <w:tr w:rsidR="004F7D86" w:rsidRPr="00CC1ADD" w14:paraId="68B447A3" w14:textId="77777777" w:rsidTr="004F7D86">
        <w:tc>
          <w:tcPr>
            <w:tcW w:w="1017" w:type="pct"/>
          </w:tcPr>
          <w:p w14:paraId="46FF5EA3"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1 </w:t>
            </w:r>
          </w:p>
        </w:tc>
        <w:tc>
          <w:tcPr>
            <w:tcW w:w="3983" w:type="pct"/>
          </w:tcPr>
          <w:p w14:paraId="4DDE6ACE" w14:textId="7B2FADE1"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beverages other than dairy beverages and alcoholic beverages.</w:t>
            </w:r>
          </w:p>
        </w:tc>
      </w:tr>
      <w:tr w:rsidR="004F7D86" w:rsidRPr="00CC1ADD" w14:paraId="62B2BC0E" w14:textId="77777777" w:rsidTr="004F7D86">
        <w:tc>
          <w:tcPr>
            <w:tcW w:w="1017" w:type="pct"/>
          </w:tcPr>
          <w:p w14:paraId="672D1A2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Category 1D</w:t>
            </w:r>
          </w:p>
        </w:tc>
        <w:tc>
          <w:tcPr>
            <w:tcW w:w="3983" w:type="pct"/>
          </w:tcPr>
          <w:p w14:paraId="4850E6CA" w14:textId="6127C5D1"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ca</w:t>
            </w:r>
            <w:r w:rsidR="00153CBD" w:rsidRPr="00CC1ADD">
              <w:rPr>
                <w:rFonts w:cstheme="minorHAnsi"/>
                <w:color w:val="000000" w:themeColor="text1"/>
                <w:szCs w:val="20"/>
              </w:rPr>
              <w:t xml:space="preserve">tegory </w:t>
            </w:r>
            <w:r w:rsidRPr="00CC1ADD">
              <w:rPr>
                <w:rFonts w:cstheme="minorHAnsi"/>
                <w:color w:val="000000" w:themeColor="text1"/>
                <w:szCs w:val="20"/>
              </w:rPr>
              <w:t xml:space="preserve">that covers dairy beverages that meet the calcium content requirements of </w:t>
            </w:r>
            <w:r w:rsidR="00BF476F" w:rsidRPr="00CC1ADD">
              <w:rPr>
                <w:rFonts w:cstheme="minorHAnsi"/>
                <w:color w:val="000000" w:themeColor="text1"/>
                <w:szCs w:val="20"/>
              </w:rPr>
              <w:t xml:space="preserve">the Code </w:t>
            </w:r>
            <w:r w:rsidRPr="00CC1ADD">
              <w:rPr>
                <w:rFonts w:cstheme="minorHAnsi"/>
                <w:color w:val="000000" w:themeColor="text1"/>
                <w:szCs w:val="20"/>
              </w:rPr>
              <w:t>Schedule 4 of Standard 1.2.7. Category 1D may include milk and dairy beverage alternatives derived from legumes, cereals, nuts or seeds, providing they meet the criterion for calcium content.</w:t>
            </w:r>
          </w:p>
        </w:tc>
      </w:tr>
      <w:tr w:rsidR="004F7D86" w:rsidRPr="00CC1ADD" w14:paraId="5A002DEF" w14:textId="77777777" w:rsidTr="004F7D86">
        <w:tc>
          <w:tcPr>
            <w:tcW w:w="1017" w:type="pct"/>
          </w:tcPr>
          <w:p w14:paraId="7DE55BC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2 </w:t>
            </w:r>
          </w:p>
        </w:tc>
        <w:tc>
          <w:tcPr>
            <w:tcW w:w="3983" w:type="pct"/>
          </w:tcPr>
          <w:p w14:paraId="62FE89FA" w14:textId="64FA67A5"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all foods other than those in Categories 1 and 1D, 2D, 3 and 3D.</w:t>
            </w:r>
          </w:p>
        </w:tc>
      </w:tr>
      <w:tr w:rsidR="004F7D86" w:rsidRPr="00CC1ADD" w14:paraId="1BFA319A" w14:textId="77777777" w:rsidTr="004F7D86">
        <w:tc>
          <w:tcPr>
            <w:tcW w:w="1017" w:type="pct"/>
          </w:tcPr>
          <w:p w14:paraId="53EF1C2A"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2D </w:t>
            </w:r>
          </w:p>
        </w:tc>
        <w:tc>
          <w:tcPr>
            <w:tcW w:w="3983" w:type="pct"/>
          </w:tcPr>
          <w:p w14:paraId="17185825" w14:textId="75671927"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dairy foods other than those included in Categories 1D or 3D. This may include all cheeses with a calcium content ≤ 320mg/100g, yoghurt and other fermented milk products. Category 2D may include cheese and yoghurt alternatives derived from legumes providing the cheeses meet the criterion for 2D foods for calcium content.</w:t>
            </w:r>
          </w:p>
        </w:tc>
      </w:tr>
      <w:tr w:rsidR="004F7D86" w:rsidRPr="00CC1ADD" w14:paraId="62013AA6" w14:textId="77777777" w:rsidTr="004F7D86">
        <w:tc>
          <w:tcPr>
            <w:tcW w:w="1017" w:type="pct"/>
          </w:tcPr>
          <w:p w14:paraId="684D903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3 </w:t>
            </w:r>
          </w:p>
        </w:tc>
        <w:tc>
          <w:tcPr>
            <w:tcW w:w="3983" w:type="pct"/>
          </w:tcPr>
          <w:p w14:paraId="02A2CC27" w14:textId="0F3CE2CF"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ategory that covers oils and spreads, defined as follows in the Code:</w:t>
            </w:r>
          </w:p>
          <w:p w14:paraId="3A7EA7CB" w14:textId="77777777" w:rsidR="004F7D86" w:rsidRPr="00CC1ADD" w:rsidRDefault="004F7D86" w:rsidP="00901C53">
            <w:pPr>
              <w:pStyle w:val="FSBullet"/>
              <w:numPr>
                <w:ilvl w:val="0"/>
                <w:numId w:val="30"/>
              </w:numPr>
              <w:spacing w:before="0" w:after="0"/>
              <w:ind w:left="357" w:hanging="357"/>
              <w:rPr>
                <w:rFonts w:asciiTheme="minorHAnsi" w:eastAsiaTheme="minorHAnsi" w:hAnsiTheme="minorHAnsi" w:cstheme="minorHAnsi"/>
                <w:sz w:val="20"/>
                <w:szCs w:val="20"/>
                <w:lang w:val="en-AU"/>
              </w:rPr>
            </w:pPr>
            <w:r w:rsidRPr="00CC1ADD">
              <w:rPr>
                <w:rFonts w:asciiTheme="minorHAnsi" w:eastAsiaTheme="minorHAnsi" w:hAnsiTheme="minorHAnsi" w:cstheme="minorHAnsi"/>
                <w:sz w:val="20"/>
                <w:szCs w:val="20"/>
                <w:lang w:val="en-AU"/>
              </w:rPr>
              <w:t xml:space="preserve">edible oil as defined in Standard 2.4.1  </w:t>
            </w:r>
          </w:p>
          <w:p w14:paraId="27F7F65C" w14:textId="77777777" w:rsidR="004F7D86" w:rsidRPr="00CC1ADD" w:rsidRDefault="004F7D86" w:rsidP="00901C53">
            <w:pPr>
              <w:pStyle w:val="FSBullet"/>
              <w:numPr>
                <w:ilvl w:val="0"/>
                <w:numId w:val="30"/>
              </w:numPr>
              <w:spacing w:before="0" w:after="0"/>
              <w:ind w:left="357" w:hanging="357"/>
              <w:rPr>
                <w:rFonts w:asciiTheme="minorHAnsi" w:eastAsiaTheme="minorHAnsi" w:hAnsiTheme="minorHAnsi" w:cstheme="minorHAnsi"/>
                <w:sz w:val="20"/>
                <w:szCs w:val="20"/>
                <w:lang w:val="en-AU"/>
              </w:rPr>
            </w:pPr>
            <w:r w:rsidRPr="00CC1ADD">
              <w:rPr>
                <w:rFonts w:asciiTheme="minorHAnsi" w:eastAsiaTheme="minorHAnsi" w:hAnsiTheme="minorHAnsi" w:cstheme="minorHAnsi"/>
                <w:sz w:val="20"/>
                <w:szCs w:val="20"/>
                <w:lang w:val="en-AU"/>
              </w:rPr>
              <w:t xml:space="preserve">edible oil spreads as defined in Standard 2.4.2 </w:t>
            </w:r>
          </w:p>
          <w:p w14:paraId="6EB2E935" w14:textId="77777777" w:rsidR="004F7D86" w:rsidRPr="00CC1ADD" w:rsidRDefault="004F7D86" w:rsidP="00901C53">
            <w:pPr>
              <w:pStyle w:val="FSBullet"/>
              <w:numPr>
                <w:ilvl w:val="0"/>
                <w:numId w:val="30"/>
              </w:numPr>
              <w:spacing w:before="0" w:after="0"/>
              <w:ind w:left="357" w:hanging="357"/>
              <w:rPr>
                <w:rFonts w:asciiTheme="minorHAnsi" w:eastAsiaTheme="minorHAnsi" w:hAnsiTheme="minorHAnsi" w:cstheme="minorHAnsi"/>
                <w:sz w:val="20"/>
                <w:szCs w:val="20"/>
                <w:lang w:val="en-AU"/>
              </w:rPr>
            </w:pPr>
            <w:r w:rsidRPr="00CC1ADD">
              <w:rPr>
                <w:rFonts w:asciiTheme="minorHAnsi" w:eastAsiaTheme="minorHAnsi" w:hAnsiTheme="minorHAnsi" w:cstheme="minorHAnsi"/>
                <w:sz w:val="20"/>
                <w:szCs w:val="20"/>
                <w:lang w:val="en-AU"/>
              </w:rPr>
              <w:t xml:space="preserve">margarine as defined in Standard 2.4.2 </w:t>
            </w:r>
          </w:p>
          <w:p w14:paraId="60A98286" w14:textId="77777777" w:rsidR="004F7D86" w:rsidRPr="00CC1ADD" w:rsidRDefault="004F7D86" w:rsidP="00901C53">
            <w:pPr>
              <w:pStyle w:val="FSBullet"/>
              <w:numPr>
                <w:ilvl w:val="0"/>
                <w:numId w:val="30"/>
              </w:numPr>
              <w:spacing w:before="0" w:after="0"/>
              <w:ind w:left="357" w:hanging="357"/>
              <w:rPr>
                <w:rFonts w:asciiTheme="minorHAnsi" w:hAnsiTheme="minorHAnsi" w:cstheme="minorHAnsi"/>
                <w:sz w:val="20"/>
                <w:szCs w:val="20"/>
                <w:lang w:val="en-AU"/>
              </w:rPr>
            </w:pPr>
            <w:r w:rsidRPr="00CC1ADD">
              <w:rPr>
                <w:rFonts w:asciiTheme="minorHAnsi" w:hAnsiTheme="minorHAnsi" w:cstheme="minorHAnsi"/>
                <w:sz w:val="20"/>
                <w:szCs w:val="20"/>
                <w:lang w:val="en-AU"/>
              </w:rPr>
              <w:t xml:space="preserve">butter as defined in </w:t>
            </w:r>
            <w:r w:rsidRPr="00CC1ADD">
              <w:rPr>
                <w:rFonts w:asciiTheme="minorHAnsi" w:eastAsiaTheme="minorHAnsi" w:hAnsiTheme="minorHAnsi" w:cstheme="minorHAnsi"/>
                <w:sz w:val="20"/>
                <w:szCs w:val="20"/>
                <w:lang w:val="en-AU" w:bidi="ar-SA"/>
              </w:rPr>
              <w:t>Standard</w:t>
            </w:r>
            <w:r w:rsidRPr="00CC1ADD">
              <w:rPr>
                <w:rFonts w:asciiTheme="minorHAnsi" w:hAnsiTheme="minorHAnsi" w:cstheme="minorHAnsi"/>
                <w:sz w:val="20"/>
                <w:szCs w:val="20"/>
                <w:lang w:val="en-AU"/>
              </w:rPr>
              <w:t xml:space="preserve"> 2.5.5</w:t>
            </w:r>
          </w:p>
        </w:tc>
      </w:tr>
      <w:tr w:rsidR="004F7D86" w:rsidRPr="00CC1ADD" w14:paraId="679DBF44" w14:textId="77777777" w:rsidTr="004F7D86">
        <w:tc>
          <w:tcPr>
            <w:tcW w:w="1017" w:type="pct"/>
          </w:tcPr>
          <w:p w14:paraId="6433E8B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Category 3D </w:t>
            </w:r>
          </w:p>
        </w:tc>
        <w:tc>
          <w:tcPr>
            <w:tcW w:w="3983" w:type="pct"/>
          </w:tcPr>
          <w:p w14:paraId="3672A7D7" w14:textId="354FA611" w:rsidR="004F7D86" w:rsidRPr="00CC1ADD" w:rsidRDefault="004F7D86" w:rsidP="005A3631">
            <w:pPr>
              <w:pStyle w:val="mpctabletext"/>
              <w:spacing w:before="60" w:after="60"/>
              <w:rPr>
                <w:rFonts w:cstheme="minorHAnsi"/>
                <w:color w:val="000000" w:themeColor="text1"/>
                <w:szCs w:val="20"/>
              </w:rPr>
            </w:pPr>
            <w:r w:rsidRPr="00CC1ADD">
              <w:rPr>
                <w:rFonts w:cstheme="minorHAnsi"/>
                <w:color w:val="000000" w:themeColor="text1"/>
                <w:szCs w:val="20"/>
              </w:rPr>
              <w:t xml:space="preserve">HSR </w:t>
            </w:r>
            <w:r w:rsidR="00153CBD">
              <w:rPr>
                <w:rFonts w:cstheme="minorHAnsi"/>
                <w:color w:val="000000" w:themeColor="text1"/>
                <w:szCs w:val="20"/>
              </w:rPr>
              <w:t>c</w:t>
            </w:r>
            <w:r w:rsidRPr="00CC1ADD">
              <w:rPr>
                <w:rFonts w:cstheme="minorHAnsi"/>
                <w:color w:val="000000" w:themeColor="text1"/>
                <w:szCs w:val="20"/>
              </w:rPr>
              <w:t xml:space="preserve">ategory that covers cheese and processed cheese as defined in </w:t>
            </w:r>
            <w:r w:rsidR="00BF476F" w:rsidRPr="00CC1ADD">
              <w:rPr>
                <w:rFonts w:cstheme="minorHAnsi"/>
                <w:color w:val="000000" w:themeColor="text1"/>
                <w:szCs w:val="20"/>
              </w:rPr>
              <w:t xml:space="preserve">the Code </w:t>
            </w:r>
            <w:r w:rsidRPr="00CC1ADD">
              <w:rPr>
                <w:rFonts w:cstheme="minorHAnsi"/>
                <w:color w:val="000000" w:themeColor="text1"/>
                <w:szCs w:val="20"/>
              </w:rPr>
              <w:t>Standard 2.5.4 (with calcium content &gt;320mg/100g). Category 3D may include cheese alternatives derived from legumes providing they meet the criterion for 3D foods for calcium content.</w:t>
            </w:r>
          </w:p>
        </w:tc>
      </w:tr>
      <w:tr w:rsidR="004F7D86" w:rsidRPr="00CC1ADD" w14:paraId="43DB02B5" w14:textId="77777777" w:rsidTr="004F7D86">
        <w:tc>
          <w:tcPr>
            <w:tcW w:w="1017" w:type="pct"/>
          </w:tcPr>
          <w:p w14:paraId="29BF7D94"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Codex Alimentarius Commission</w:t>
            </w:r>
          </w:p>
          <w:p w14:paraId="3241637E" w14:textId="77777777" w:rsidR="004F7D86" w:rsidRPr="00CC1ADD" w:rsidRDefault="004F7D86">
            <w:pPr>
              <w:pStyle w:val="mpctabletext"/>
              <w:spacing w:before="60" w:after="60"/>
              <w:rPr>
                <w:rFonts w:cstheme="minorHAnsi"/>
                <w:b/>
                <w:color w:val="000000" w:themeColor="text1"/>
                <w:szCs w:val="20"/>
              </w:rPr>
            </w:pPr>
            <w:r w:rsidRPr="00CC1ADD">
              <w:rPr>
                <w:rFonts w:cstheme="minorHAnsi"/>
                <w:b/>
                <w:color w:val="000000" w:themeColor="text1"/>
                <w:szCs w:val="20"/>
              </w:rPr>
              <w:t>(Codex)</w:t>
            </w:r>
          </w:p>
        </w:tc>
        <w:tc>
          <w:tcPr>
            <w:tcW w:w="3983" w:type="pct"/>
          </w:tcPr>
          <w:p w14:paraId="1192B29E" w14:textId="77777777" w:rsidR="004F7D86" w:rsidRPr="00CC1ADD" w:rsidRDefault="004F7D86">
            <w:pPr>
              <w:rPr>
                <w:rFonts w:cstheme="minorHAnsi"/>
                <w:color w:val="000000" w:themeColor="text1"/>
                <w:sz w:val="20"/>
                <w:szCs w:val="20"/>
              </w:rPr>
            </w:pPr>
            <w:r w:rsidRPr="00CC1ADD">
              <w:rPr>
                <w:rFonts w:cstheme="minorHAnsi"/>
                <w:color w:val="000000" w:themeColor="text1"/>
                <w:sz w:val="20"/>
                <w:szCs w:val="20"/>
              </w:rPr>
              <w:t>The international food standards setting body established by the </w:t>
            </w:r>
            <w:hyperlink r:id="rId151" w:tgtFrame="_blank" w:history="1">
              <w:r w:rsidRPr="00CC1ADD">
                <w:rPr>
                  <w:rFonts w:cstheme="minorHAnsi"/>
                  <w:color w:val="000000" w:themeColor="text1"/>
                  <w:sz w:val="20"/>
                  <w:szCs w:val="20"/>
                </w:rPr>
                <w:t>United Nation’s Food and Agriculture Organization</w:t>
              </w:r>
            </w:hyperlink>
            <w:r w:rsidRPr="00CC1ADD">
              <w:rPr>
                <w:rFonts w:cstheme="minorHAnsi"/>
                <w:color w:val="000000" w:themeColor="text1"/>
                <w:sz w:val="20"/>
                <w:szCs w:val="20"/>
              </w:rPr>
              <w:t> and the </w:t>
            </w:r>
            <w:hyperlink r:id="rId152" w:tgtFrame="_blank" w:history="1">
              <w:r w:rsidRPr="00CC1ADD">
                <w:rPr>
                  <w:rFonts w:cstheme="minorHAnsi"/>
                  <w:color w:val="000000" w:themeColor="text1"/>
                  <w:sz w:val="20"/>
                  <w:szCs w:val="20"/>
                </w:rPr>
                <w:t>World Health Organization</w:t>
              </w:r>
            </w:hyperlink>
            <w:r w:rsidRPr="00CC1ADD">
              <w:rPr>
                <w:rFonts w:cstheme="minorHAnsi"/>
                <w:color w:val="000000" w:themeColor="text1"/>
                <w:sz w:val="20"/>
                <w:szCs w:val="20"/>
              </w:rPr>
              <w:t>. Codex develops international food standards, guidelines and codes of practice for an international food code that contributes to the safety, quality and fairness of food trade.</w:t>
            </w:r>
          </w:p>
        </w:tc>
      </w:tr>
      <w:tr w:rsidR="004F7D86" w:rsidRPr="00CC1ADD" w14:paraId="59154BDF" w14:textId="77777777" w:rsidTr="004F7D86">
        <w:tc>
          <w:tcPr>
            <w:tcW w:w="1017" w:type="pct"/>
          </w:tcPr>
          <w:p w14:paraId="4403B32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Component</w:t>
            </w:r>
          </w:p>
        </w:tc>
        <w:tc>
          <w:tcPr>
            <w:tcW w:w="3983" w:type="pct"/>
          </w:tcPr>
          <w:p w14:paraId="5CFC60AA"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context of the HSR System, components are the nutrients, ingredients and other parameters used to determine a product’s HSR, including the energy, saturated fat, total sugars, sodium, protein, fibre and FVNL content.</w:t>
            </w:r>
          </w:p>
        </w:tc>
      </w:tr>
      <w:tr w:rsidR="004F7D86" w:rsidRPr="00CC1ADD" w14:paraId="0397474A" w14:textId="77777777" w:rsidTr="004F7D86">
        <w:tc>
          <w:tcPr>
            <w:tcW w:w="1017" w:type="pct"/>
          </w:tcPr>
          <w:p w14:paraId="210C9C5B"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Dietary Guidelines</w:t>
            </w:r>
          </w:p>
        </w:tc>
        <w:tc>
          <w:tcPr>
            <w:tcW w:w="3983" w:type="pct"/>
          </w:tcPr>
          <w:p w14:paraId="7BD70993"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Collectively refers to the ADG and the NZEAG. </w:t>
            </w:r>
          </w:p>
        </w:tc>
      </w:tr>
      <w:tr w:rsidR="00B46AC1" w:rsidRPr="00CC1ADD" w14:paraId="6AE6D60E" w14:textId="77777777" w:rsidTr="004F7D86">
        <w:tc>
          <w:tcPr>
            <w:tcW w:w="1017" w:type="pct"/>
          </w:tcPr>
          <w:p w14:paraId="4837806B" w14:textId="1FDC85DF" w:rsidR="00B46AC1" w:rsidRPr="00CC1ADD" w:rsidRDefault="00B46AC1" w:rsidP="005A3631">
            <w:pPr>
              <w:pStyle w:val="mpctabletext"/>
              <w:spacing w:before="60" w:after="60"/>
              <w:rPr>
                <w:rFonts w:cstheme="minorHAnsi"/>
                <w:b/>
                <w:color w:val="000000" w:themeColor="text1"/>
                <w:szCs w:val="20"/>
              </w:rPr>
            </w:pPr>
            <w:r>
              <w:rPr>
                <w:rFonts w:cstheme="minorHAnsi"/>
                <w:b/>
                <w:color w:val="000000" w:themeColor="text1"/>
                <w:szCs w:val="20"/>
              </w:rPr>
              <w:t>Daily Intake Guide (DIG)</w:t>
            </w:r>
          </w:p>
        </w:tc>
        <w:tc>
          <w:tcPr>
            <w:tcW w:w="3983" w:type="pct"/>
          </w:tcPr>
          <w:p w14:paraId="1446603E" w14:textId="534DD713" w:rsidR="00B46AC1" w:rsidRPr="00CC1ADD" w:rsidRDefault="00B46AC1">
            <w:pPr>
              <w:pStyle w:val="mpctabletext"/>
              <w:spacing w:before="60" w:after="60"/>
              <w:rPr>
                <w:rFonts w:cstheme="minorHAnsi"/>
                <w:color w:val="000000" w:themeColor="text1"/>
                <w:szCs w:val="20"/>
              </w:rPr>
            </w:pPr>
            <w:r>
              <w:rPr>
                <w:rFonts w:cstheme="minorHAnsi"/>
                <w:color w:val="000000" w:themeColor="text1"/>
                <w:szCs w:val="20"/>
              </w:rPr>
              <w:t>An industry-led FoPL system. The D</w:t>
            </w:r>
            <w:r w:rsidRPr="00B46AC1">
              <w:rPr>
                <w:rFonts w:cstheme="minorHAnsi"/>
                <w:color w:val="000000" w:themeColor="text1"/>
                <w:szCs w:val="20"/>
              </w:rPr>
              <w:t xml:space="preserve">IG is presented to consumers in a thumbnail format showing the amount per serve for energy and </w:t>
            </w:r>
            <w:r>
              <w:rPr>
                <w:rFonts w:cstheme="minorHAnsi"/>
                <w:color w:val="000000" w:themeColor="text1"/>
                <w:szCs w:val="20"/>
              </w:rPr>
              <w:t>up to six</w:t>
            </w:r>
            <w:r w:rsidRPr="00B46AC1">
              <w:rPr>
                <w:rFonts w:cstheme="minorHAnsi"/>
                <w:color w:val="000000" w:themeColor="text1"/>
                <w:szCs w:val="20"/>
              </w:rPr>
              <w:t xml:space="preserve"> core nutrients </w:t>
            </w:r>
            <w:r>
              <w:rPr>
                <w:rFonts w:cstheme="minorHAnsi"/>
                <w:color w:val="000000" w:themeColor="text1"/>
                <w:szCs w:val="20"/>
              </w:rPr>
              <w:t xml:space="preserve">– </w:t>
            </w:r>
            <w:r w:rsidRPr="00B46AC1">
              <w:rPr>
                <w:rFonts w:cstheme="minorHAnsi"/>
                <w:color w:val="000000" w:themeColor="text1"/>
                <w:szCs w:val="20"/>
              </w:rPr>
              <w:t>fat, saturated fat, sugars, sodium, protein and carbohydrate respectively.</w:t>
            </w:r>
          </w:p>
        </w:tc>
      </w:tr>
      <w:tr w:rsidR="004F7D86" w:rsidRPr="00CC1ADD" w14:paraId="1991943C" w14:textId="77777777" w:rsidTr="004F7D86">
        <w:tc>
          <w:tcPr>
            <w:tcW w:w="1017" w:type="pct"/>
          </w:tcPr>
          <w:p w14:paraId="5D969129" w14:textId="77777777" w:rsidR="004F7D86" w:rsidRPr="00CC1ADD" w:rsidRDefault="004F7D86" w:rsidP="005A3631">
            <w:pPr>
              <w:pStyle w:val="mpctabletext"/>
              <w:spacing w:before="60" w:after="60"/>
              <w:rPr>
                <w:rFonts w:cstheme="minorHAnsi"/>
                <w:b/>
                <w:szCs w:val="20"/>
              </w:rPr>
            </w:pPr>
            <w:r w:rsidRPr="00CC1ADD">
              <w:rPr>
                <w:rFonts w:cstheme="minorHAnsi"/>
                <w:b/>
                <w:color w:val="000000" w:themeColor="text1"/>
                <w:szCs w:val="20"/>
              </w:rPr>
              <w:t>Discretionary foods</w:t>
            </w:r>
          </w:p>
        </w:tc>
        <w:tc>
          <w:tcPr>
            <w:tcW w:w="3983" w:type="pct"/>
          </w:tcPr>
          <w:p w14:paraId="744BC355" w14:textId="165DFC3F"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Discretionary foods and drinks are those not necessary to provide the nutrients the body needs. Many of these are high in saturated fats, sugars, salt and/or alcohol. They can be included in the diet occasionally in small amounts by those who are physically active but are not a necessary part of the diet. This includes cakes, biscuits, confection</w:t>
            </w:r>
            <w:r w:rsidR="00343F09">
              <w:rPr>
                <w:rFonts w:cstheme="minorHAnsi"/>
                <w:color w:val="000000" w:themeColor="text1"/>
                <w:szCs w:val="20"/>
              </w:rPr>
              <w:t>e</w:t>
            </w:r>
            <w:r w:rsidRPr="00CC1ADD">
              <w:rPr>
                <w:rFonts w:cstheme="minorHAnsi"/>
                <w:color w:val="000000" w:themeColor="text1"/>
                <w:szCs w:val="20"/>
              </w:rPr>
              <w:t>ry, jellies, ice confections, dairy desserts, salty snacks and sugar-sweetened beverages.</w:t>
            </w:r>
          </w:p>
        </w:tc>
      </w:tr>
      <w:tr w:rsidR="004F7D86" w:rsidRPr="00CC1ADD" w14:paraId="0FE39250" w14:textId="77777777" w:rsidTr="004F7D86">
        <w:tc>
          <w:tcPr>
            <w:tcW w:w="1017" w:type="pct"/>
          </w:tcPr>
          <w:p w14:paraId="00F07B1F"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Energy icon</w:t>
            </w:r>
          </w:p>
        </w:tc>
        <w:tc>
          <w:tcPr>
            <w:tcW w:w="3983" w:type="pct"/>
          </w:tcPr>
          <w:p w14:paraId="24B00604"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An </w:t>
            </w:r>
            <w:r w:rsidRPr="007B4E8A">
              <w:rPr>
                <w:rFonts w:cstheme="minorHAnsi"/>
                <w:color w:val="000000" w:themeColor="text1"/>
                <w:szCs w:val="20"/>
              </w:rPr>
              <w:t>optional graphic in the HSR System</w:t>
            </w:r>
            <w:r w:rsidRPr="00CC1ADD">
              <w:rPr>
                <w:rFonts w:cstheme="minorHAnsi"/>
                <w:color w:val="000000" w:themeColor="text1"/>
                <w:szCs w:val="20"/>
              </w:rPr>
              <w:t xml:space="preserve"> that can be used with or without the HSR stars (e.g. for small pack sizes and some confectionery and beverage products). </w:t>
            </w:r>
          </w:p>
        </w:tc>
      </w:tr>
      <w:tr w:rsidR="004F7D86" w:rsidRPr="00CC1ADD" w14:paraId="1289FF42" w14:textId="77777777" w:rsidTr="004F7D86">
        <w:tc>
          <w:tcPr>
            <w:tcW w:w="1017" w:type="pct"/>
          </w:tcPr>
          <w:p w14:paraId="2870B14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European Food Safety Authority (EFSA)</w:t>
            </w:r>
          </w:p>
        </w:tc>
        <w:tc>
          <w:tcPr>
            <w:tcW w:w="3983" w:type="pct"/>
          </w:tcPr>
          <w:p w14:paraId="7C0CCFBA" w14:textId="765D859C" w:rsidR="004F7D86" w:rsidRPr="00CC1ADD" w:rsidRDefault="004F7D86">
            <w:pPr>
              <w:rPr>
                <w:rFonts w:cstheme="minorHAnsi"/>
                <w:color w:val="000000" w:themeColor="text1"/>
                <w:sz w:val="20"/>
                <w:szCs w:val="20"/>
              </w:rPr>
            </w:pPr>
            <w:r w:rsidRPr="00CC1ADD">
              <w:rPr>
                <w:rFonts w:cstheme="minorHAnsi"/>
                <w:color w:val="000000" w:themeColor="text1"/>
                <w:sz w:val="20"/>
                <w:szCs w:val="20"/>
              </w:rPr>
              <w:t>The agency of the European Union that provides independent scientific advice and communicates on existing and emerging risks associated with the food chain.</w:t>
            </w:r>
          </w:p>
        </w:tc>
      </w:tr>
      <w:tr w:rsidR="004F7D86" w:rsidRPr="00CC1ADD" w14:paraId="5CFE4B7B" w14:textId="77777777" w:rsidTr="004F7D86">
        <w:tc>
          <w:tcPr>
            <w:tcW w:w="1017" w:type="pct"/>
          </w:tcPr>
          <w:p w14:paraId="53123967"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Fibre points (F points)</w:t>
            </w:r>
          </w:p>
        </w:tc>
        <w:tc>
          <w:tcPr>
            <w:tcW w:w="3983" w:type="pct"/>
          </w:tcPr>
          <w:p w14:paraId="7D31079F"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HSR Category 2 and 3 products score points for the proportion of fibre present. Category 1 products cannot score F points.</w:t>
            </w:r>
          </w:p>
        </w:tc>
      </w:tr>
      <w:tr w:rsidR="004F7D86" w:rsidRPr="00CC1ADD" w14:paraId="4FB00398" w14:textId="77777777" w:rsidTr="004F7D86">
        <w:tc>
          <w:tcPr>
            <w:tcW w:w="1017" w:type="pct"/>
          </w:tcPr>
          <w:p w14:paraId="22A29D1B"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Five/Four Food Group (FFG) foods</w:t>
            </w:r>
          </w:p>
        </w:tc>
        <w:tc>
          <w:tcPr>
            <w:tcW w:w="3983" w:type="pct"/>
          </w:tcPr>
          <w:p w14:paraId="5E1B3F3E" w14:textId="77777777" w:rsidR="004F7D86" w:rsidRDefault="004F7D86">
            <w:pPr>
              <w:pStyle w:val="mpctabletext"/>
              <w:spacing w:before="60" w:after="60"/>
              <w:rPr>
                <w:rFonts w:cstheme="minorHAnsi"/>
                <w:color w:val="000000" w:themeColor="text1"/>
                <w:szCs w:val="20"/>
              </w:rPr>
            </w:pPr>
            <w:r w:rsidRPr="00CC1ADD">
              <w:rPr>
                <w:rFonts w:cstheme="minorHAnsi"/>
                <w:color w:val="000000" w:themeColor="text1"/>
                <w:szCs w:val="20"/>
              </w:rPr>
              <w:t>FFG foods (also known as ‘core’ foods in Australia) are described by Dietary Guidelines as the basis of a healthy diet. This includes fruit and vegetables, grain foods (mostly wholegrain or high fibre varieties), dairy foods such as milk, cheese and yogurt (mostly reduced fat), legumes, nuts, seeds, lean meats, eggs, tofu, etc.</w:t>
            </w:r>
          </w:p>
          <w:p w14:paraId="5371CC1B" w14:textId="12C149C0" w:rsidR="00DE336D" w:rsidRPr="00CC1ADD" w:rsidRDefault="00DE336D">
            <w:pPr>
              <w:pStyle w:val="mpctabletext"/>
              <w:spacing w:before="60" w:after="60"/>
              <w:rPr>
                <w:rFonts w:cstheme="minorHAnsi"/>
                <w:color w:val="000000" w:themeColor="text1"/>
                <w:szCs w:val="20"/>
              </w:rPr>
            </w:pPr>
            <w:r>
              <w:rPr>
                <w:rFonts w:cstheme="minorHAnsi"/>
                <w:color w:val="000000" w:themeColor="text1"/>
                <w:szCs w:val="20"/>
              </w:rPr>
              <w:t>There are four food groups described in the NZEAG (fruit and vegetables, grain, meats, dairy) and five in the ADG (fruit, vegetables, grain, meats, dairy) and the ADG separate fruits and vegetables into separate groups.</w:t>
            </w:r>
          </w:p>
        </w:tc>
      </w:tr>
      <w:tr w:rsidR="004F7D86" w:rsidRPr="00CC1ADD" w14:paraId="33453491" w14:textId="77777777" w:rsidTr="004F7D86">
        <w:tc>
          <w:tcPr>
            <w:tcW w:w="1017" w:type="pct"/>
          </w:tcPr>
          <w:p w14:paraId="03BA2F4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 Regulation Standing Committee</w:t>
            </w:r>
          </w:p>
          <w:p w14:paraId="18B3957A" w14:textId="77777777" w:rsidR="004F7D86" w:rsidRPr="00CC1ADD" w:rsidRDefault="004F7D86">
            <w:pPr>
              <w:pStyle w:val="mpctabletext"/>
              <w:spacing w:before="60" w:after="60"/>
              <w:rPr>
                <w:rFonts w:cstheme="minorHAnsi"/>
                <w:b/>
                <w:color w:val="000000" w:themeColor="text1"/>
                <w:szCs w:val="20"/>
              </w:rPr>
            </w:pPr>
            <w:r w:rsidRPr="00CC1ADD">
              <w:rPr>
                <w:rFonts w:cstheme="minorHAnsi"/>
                <w:b/>
                <w:color w:val="000000" w:themeColor="text1"/>
                <w:szCs w:val="20"/>
              </w:rPr>
              <w:t>(FRSC)</w:t>
            </w:r>
          </w:p>
        </w:tc>
        <w:tc>
          <w:tcPr>
            <w:tcW w:w="3983" w:type="pct"/>
          </w:tcPr>
          <w:p w14:paraId="3C7A1A06" w14:textId="77777777" w:rsidR="004F7D86" w:rsidRPr="00CC1ADD" w:rsidRDefault="004F7D86">
            <w:pPr>
              <w:rPr>
                <w:rStyle w:val="Hyperlink"/>
                <w:rFonts w:cstheme="minorHAnsi"/>
                <w:sz w:val="20"/>
                <w:szCs w:val="20"/>
              </w:rPr>
            </w:pPr>
            <w:r w:rsidRPr="00CC1ADD">
              <w:rPr>
                <w:rFonts w:cstheme="minorHAnsi"/>
                <w:color w:val="000000" w:themeColor="text1"/>
                <w:sz w:val="20"/>
                <w:szCs w:val="20"/>
              </w:rPr>
              <w:t>Sub-committee of the Australia and New Zealand Ministerial Forum on Food Regulation (the Forum). The FRSC is responsible for coordinating policy advice to the Forum and ensuring a nationally consistent approach to the implementation and enforcement of food standards and its membership consists of senior Australian, State and Territory and New Zealand government officials.</w:t>
            </w:r>
          </w:p>
        </w:tc>
      </w:tr>
      <w:tr w:rsidR="004F7D86" w:rsidRPr="00CC1ADD" w14:paraId="4BDCC498" w14:textId="77777777" w:rsidTr="004F7D86">
        <w:tc>
          <w:tcPr>
            <w:tcW w:w="1017" w:type="pct"/>
          </w:tcPr>
          <w:p w14:paraId="00FE7718"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 Standards Australia New Zealand (FSANZ)</w:t>
            </w:r>
          </w:p>
        </w:tc>
        <w:tc>
          <w:tcPr>
            <w:tcW w:w="3983" w:type="pct"/>
          </w:tcPr>
          <w:p w14:paraId="3D2B9415" w14:textId="77777777" w:rsidR="004F7D86" w:rsidRPr="00CC1ADD" w:rsidRDefault="004F7D86">
            <w:pPr>
              <w:pStyle w:val="mpctabletext"/>
              <w:spacing w:before="60" w:after="60"/>
              <w:rPr>
                <w:rFonts w:cstheme="minorHAnsi"/>
                <w:color w:val="000000" w:themeColor="text1"/>
                <w:szCs w:val="20"/>
              </w:rPr>
            </w:pPr>
            <w:hyperlink r:id="rId153" w:history="1">
              <w:r w:rsidRPr="00CC1ADD">
                <w:rPr>
                  <w:rStyle w:val="Hyperlink"/>
                  <w:rFonts w:cstheme="minorHAnsi"/>
                  <w:szCs w:val="20"/>
                </w:rPr>
                <w:t>FSANZ</w:t>
              </w:r>
            </w:hyperlink>
            <w:r w:rsidRPr="00CC1ADD">
              <w:rPr>
                <w:rFonts w:cstheme="minorHAnsi"/>
                <w:color w:val="000000" w:themeColor="text1"/>
                <w:szCs w:val="20"/>
              </w:rPr>
              <w:t xml:space="preserve"> is a statutory authority in the Australian Government Health portfolio which develops and administers the Code.</w:t>
            </w:r>
          </w:p>
        </w:tc>
      </w:tr>
      <w:tr w:rsidR="004F7D86" w:rsidRPr="00CC1ADD" w14:paraId="1FA8C956" w14:textId="77777777" w:rsidTr="004F7D86">
        <w:tc>
          <w:tcPr>
            <w:tcW w:w="1017" w:type="pct"/>
          </w:tcPr>
          <w:p w14:paraId="6F6ECDCA"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FoodSwitch</w:t>
            </w:r>
          </w:p>
        </w:tc>
        <w:tc>
          <w:tcPr>
            <w:tcW w:w="3983" w:type="pct"/>
          </w:tcPr>
          <w:p w14:paraId="08D99EAB" w14:textId="77777777" w:rsidR="004F7D86" w:rsidRPr="00CC1ADD" w:rsidRDefault="004F7D86">
            <w:pPr>
              <w:pStyle w:val="mpctabletext"/>
              <w:spacing w:before="60" w:after="60"/>
              <w:rPr>
                <w:rStyle w:val="Hyperlink"/>
                <w:rFonts w:cstheme="minorHAnsi"/>
                <w:szCs w:val="20"/>
              </w:rPr>
            </w:pPr>
            <w:r w:rsidRPr="00CC1ADD">
              <w:rPr>
                <w:rFonts w:cstheme="minorHAnsi"/>
                <w:color w:val="000000" w:themeColor="text1"/>
                <w:szCs w:val="20"/>
              </w:rPr>
              <w:t xml:space="preserve">An initiative of the George Institute for Global Health, </w:t>
            </w:r>
            <w:hyperlink r:id="rId154" w:anchor="/home" w:history="1">
              <w:r w:rsidRPr="00CC1ADD">
                <w:rPr>
                  <w:rStyle w:val="Hyperlink"/>
                  <w:rFonts w:cstheme="minorHAnsi"/>
                  <w:szCs w:val="20"/>
                </w:rPr>
                <w:t>FoodSwitch</w:t>
              </w:r>
            </w:hyperlink>
            <w:r w:rsidRPr="00CC1ADD">
              <w:rPr>
                <w:rFonts w:cstheme="minorHAnsi"/>
                <w:color w:val="000000" w:themeColor="text1"/>
                <w:szCs w:val="20"/>
              </w:rPr>
              <w:t xml:space="preserve"> is a smartphone application that allows barcodes of packaged foods to be scanned using the camera on the phone and provides the consumer with information about the product’s nutritional make-up, and a list of alternative, healthier choices.</w:t>
            </w:r>
          </w:p>
        </w:tc>
      </w:tr>
      <w:tr w:rsidR="004F7D86" w:rsidRPr="00CC1ADD" w14:paraId="1F2D2E2C" w14:textId="77777777" w:rsidTr="004F7D86">
        <w:tc>
          <w:tcPr>
            <w:tcW w:w="1017" w:type="pct"/>
          </w:tcPr>
          <w:p w14:paraId="2940991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FoodTrack</w:t>
            </w:r>
          </w:p>
        </w:tc>
        <w:tc>
          <w:tcPr>
            <w:tcW w:w="3983" w:type="pct"/>
          </w:tcPr>
          <w:p w14:paraId="2E3E180B" w14:textId="77777777" w:rsidR="004F7D86" w:rsidRPr="00CC1ADD" w:rsidRDefault="004F7D86">
            <w:pPr>
              <w:rPr>
                <w:rStyle w:val="Hyperlink"/>
                <w:rFonts w:cstheme="minorHAnsi"/>
                <w:color w:val="000000" w:themeColor="text1"/>
                <w:sz w:val="20"/>
                <w:szCs w:val="20"/>
              </w:rPr>
            </w:pPr>
            <w:r w:rsidRPr="00CC1ADD">
              <w:rPr>
                <w:rFonts w:cstheme="minorHAnsi"/>
                <w:color w:val="000000" w:themeColor="text1"/>
                <w:sz w:val="20"/>
                <w:szCs w:val="20"/>
              </w:rPr>
              <w:t xml:space="preserve">A food and nutrient database that contains product data from fresh and packaged foods in major Australian supermarkets such as product descriptors, nutrition information panels, ingredient lists, front-of-pack labels, images of the product and other relevant information. </w:t>
            </w:r>
            <w:hyperlink r:id="rId155" w:history="1">
              <w:r w:rsidRPr="00CC1ADD">
                <w:rPr>
                  <w:rStyle w:val="Hyperlink"/>
                  <w:rFonts w:cstheme="minorHAnsi"/>
                  <w:sz w:val="20"/>
                  <w:szCs w:val="20"/>
                </w:rPr>
                <w:t>FoodTrack</w:t>
              </w:r>
            </w:hyperlink>
            <w:r w:rsidRPr="00CC1ADD">
              <w:rPr>
                <w:rFonts w:cstheme="minorHAnsi"/>
                <w:color w:val="000000" w:themeColor="text1"/>
                <w:sz w:val="20"/>
                <w:szCs w:val="20"/>
              </w:rPr>
              <w:t xml:space="preserve"> was developed by the Heart Foundation in conjunction with the CSIRO.</w:t>
            </w:r>
          </w:p>
        </w:tc>
      </w:tr>
      <w:tr w:rsidR="004F7D86" w:rsidRPr="00CC1ADD" w14:paraId="299C18A0" w14:textId="77777777" w:rsidTr="004F7D86">
        <w:tc>
          <w:tcPr>
            <w:tcW w:w="1017" w:type="pct"/>
          </w:tcPr>
          <w:p w14:paraId="23510F19"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Front-of-Pack Labelling (FoPL)</w:t>
            </w:r>
          </w:p>
        </w:tc>
        <w:tc>
          <w:tcPr>
            <w:tcW w:w="3983" w:type="pct"/>
          </w:tcPr>
          <w:p w14:paraId="77BD060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The concept of putting simplified nutritional information on the front of food or beverage product packages, either numerically or graphically.</w:t>
            </w:r>
          </w:p>
        </w:tc>
      </w:tr>
      <w:tr w:rsidR="004F7D86" w:rsidRPr="00CC1ADD" w14:paraId="679AF21C" w14:textId="77777777" w:rsidTr="004F7D86">
        <w:tc>
          <w:tcPr>
            <w:tcW w:w="1017" w:type="pct"/>
          </w:tcPr>
          <w:p w14:paraId="646977E2"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Fruit, vegetable, nut, legume (FVNL) content</w:t>
            </w:r>
          </w:p>
        </w:tc>
        <w:tc>
          <w:tcPr>
            <w:tcW w:w="3983" w:type="pct"/>
          </w:tcPr>
          <w:p w14:paraId="3D28F710" w14:textId="4D678DF4"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Fruit, vegetable, nut, legume content as defined in </w:t>
            </w:r>
            <w:r w:rsidR="00BF476F" w:rsidRPr="00CC1ADD">
              <w:rPr>
                <w:rFonts w:cstheme="minorHAnsi"/>
                <w:color w:val="000000" w:themeColor="text1"/>
                <w:szCs w:val="20"/>
              </w:rPr>
              <w:t xml:space="preserve">the Code </w:t>
            </w:r>
            <w:r w:rsidRPr="00CC1ADD">
              <w:rPr>
                <w:rFonts w:cstheme="minorHAnsi"/>
                <w:color w:val="000000" w:themeColor="text1"/>
                <w:szCs w:val="20"/>
              </w:rPr>
              <w:t>Schedule 5. This term is used in both the HSR System and the NPSC.</w:t>
            </w:r>
          </w:p>
        </w:tc>
      </w:tr>
      <w:tr w:rsidR="004F7D86" w:rsidRPr="00CC1ADD" w14:paraId="63AFE1BF" w14:textId="77777777" w:rsidTr="004F7D86">
        <w:tc>
          <w:tcPr>
            <w:tcW w:w="1017" w:type="pct"/>
          </w:tcPr>
          <w:p w14:paraId="3E46F91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FVNL points (V points)</w:t>
            </w:r>
          </w:p>
        </w:tc>
        <w:tc>
          <w:tcPr>
            <w:tcW w:w="3983" w:type="pct"/>
          </w:tcPr>
          <w:p w14:paraId="43CE7D76" w14:textId="77777777" w:rsidR="004F7D86" w:rsidRPr="00CC1ADD" w:rsidRDefault="004F7D86">
            <w:pPr>
              <w:pStyle w:val="mpctabletext"/>
              <w:spacing w:before="60" w:after="60"/>
              <w:rPr>
                <w:rFonts w:cstheme="minorHAnsi"/>
                <w:color w:val="000000" w:themeColor="text1"/>
                <w:szCs w:val="20"/>
              </w:rPr>
            </w:pPr>
            <w:r w:rsidRPr="00CC1ADD">
              <w:rPr>
                <w:rFonts w:cstheme="minorHAnsi"/>
                <w:szCs w:val="20"/>
              </w:rPr>
              <w:t>In the NPSC and the HSR System, products score V points for the proportion of their ingredients comprising of FVNL (fruits, vegetables, nuts and legumes including coconut, spices, herbs, fungi, seeds and algae). Note that V points have been expanded in the HSR Calculator compared to the table in the NPSC.</w:t>
            </w:r>
          </w:p>
        </w:tc>
      </w:tr>
      <w:tr w:rsidR="004F7D86" w:rsidRPr="00CC1ADD" w14:paraId="3322A0F2" w14:textId="77777777" w:rsidTr="004F7D86">
        <w:tc>
          <w:tcPr>
            <w:tcW w:w="1017" w:type="pct"/>
          </w:tcPr>
          <w:p w14:paraId="6D7439F8" w14:textId="77777777" w:rsidR="004F7D86" w:rsidRPr="00CC1ADD" w:rsidRDefault="004F7D86" w:rsidP="005A3631">
            <w:pPr>
              <w:pStyle w:val="mpctabletext"/>
              <w:spacing w:before="60" w:after="60"/>
              <w:rPr>
                <w:rFonts w:cstheme="minorHAnsi"/>
                <w:b/>
                <w:szCs w:val="20"/>
              </w:rPr>
            </w:pPr>
            <w:r w:rsidRPr="00CC1ADD">
              <w:rPr>
                <w:rFonts w:cstheme="minorHAnsi"/>
                <w:b/>
                <w:color w:val="000000" w:themeColor="text1"/>
                <w:szCs w:val="20"/>
              </w:rPr>
              <w:t>Guide for Industry</w:t>
            </w:r>
          </w:p>
        </w:tc>
        <w:tc>
          <w:tcPr>
            <w:tcW w:w="3983" w:type="pct"/>
          </w:tcPr>
          <w:p w14:paraId="1EE0DA47" w14:textId="77777777" w:rsidR="004F7D86" w:rsidRPr="00CC1ADD" w:rsidRDefault="004F7D86">
            <w:pPr>
              <w:pStyle w:val="mpctabletext"/>
              <w:spacing w:before="60" w:after="60"/>
              <w:rPr>
                <w:rFonts w:cstheme="minorHAnsi"/>
                <w:szCs w:val="20"/>
              </w:rPr>
            </w:pPr>
            <w:r w:rsidRPr="00CC1ADD">
              <w:rPr>
                <w:rFonts w:cstheme="minorHAnsi"/>
                <w:szCs w:val="20"/>
              </w:rPr>
              <w:t xml:space="preserve">The </w:t>
            </w:r>
            <w:hyperlink r:id="rId156" w:history="1">
              <w:r w:rsidRPr="00CC1ADD">
                <w:rPr>
                  <w:rStyle w:val="Hyperlink"/>
                  <w:rFonts w:cstheme="minorHAnsi"/>
                  <w:szCs w:val="20"/>
                </w:rPr>
                <w:t>Guide for Industry</w:t>
              </w:r>
            </w:hyperlink>
            <w:r w:rsidRPr="00CC1ADD">
              <w:rPr>
                <w:rFonts w:cstheme="minorHAnsi"/>
                <w:szCs w:val="20"/>
              </w:rPr>
              <w:t xml:space="preserve"> to the HSR Calculator provides detailed information about how the HSR is calculated, including example calculations. This document contains important information that allows industry to calculate the HSR.</w:t>
            </w:r>
          </w:p>
        </w:tc>
      </w:tr>
      <w:tr w:rsidR="004F7D86" w:rsidRPr="00CC1ADD" w14:paraId="4329D206" w14:textId="77777777" w:rsidTr="004F7D86">
        <w:tc>
          <w:tcPr>
            <w:tcW w:w="1017" w:type="pct"/>
          </w:tcPr>
          <w:p w14:paraId="528544DF"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Health Promotion Agency (HPA)</w:t>
            </w:r>
          </w:p>
        </w:tc>
        <w:tc>
          <w:tcPr>
            <w:tcW w:w="3983" w:type="pct"/>
          </w:tcPr>
          <w:p w14:paraId="5DAFFA7F" w14:textId="77777777" w:rsidR="004F7D86" w:rsidRPr="00CC1ADD" w:rsidRDefault="004F7D86">
            <w:pPr>
              <w:rPr>
                <w:rFonts w:cstheme="minorHAnsi"/>
                <w:color w:val="000000" w:themeColor="text1"/>
                <w:sz w:val="20"/>
                <w:szCs w:val="20"/>
              </w:rPr>
            </w:pPr>
            <w:r w:rsidRPr="00CC1ADD">
              <w:rPr>
                <w:rFonts w:cstheme="minorHAnsi"/>
                <w:sz w:val="20"/>
                <w:szCs w:val="20"/>
              </w:rPr>
              <w:t>The government health promotion organisation in New Zealand responsible for leading and supporting health promotion initiatives, across all sectors that contribute to health and wellbeing.</w:t>
            </w:r>
          </w:p>
        </w:tc>
      </w:tr>
      <w:tr w:rsidR="004F7D86" w:rsidRPr="00CC1ADD" w14:paraId="7430B0CA" w14:textId="77777777" w:rsidTr="004F7D86">
        <w:tc>
          <w:tcPr>
            <w:tcW w:w="1017" w:type="pct"/>
          </w:tcPr>
          <w:p w14:paraId="366AFBA2"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Health Star Rating Advisory Committee (HSRAC)</w:t>
            </w:r>
          </w:p>
        </w:tc>
        <w:tc>
          <w:tcPr>
            <w:tcW w:w="3983" w:type="pct"/>
          </w:tcPr>
          <w:p w14:paraId="41444C52" w14:textId="60A1BDA5"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trans-Tasman body responsible for overseeing the voluntary implementation of the HSR </w:t>
            </w:r>
            <w:r w:rsidR="00BF11EE">
              <w:rPr>
                <w:rFonts w:cstheme="minorHAnsi"/>
                <w:color w:val="000000" w:themeColor="text1"/>
                <w:szCs w:val="20"/>
              </w:rPr>
              <w:t>S</w:t>
            </w:r>
            <w:r w:rsidRPr="00CC1ADD">
              <w:rPr>
                <w:rFonts w:cstheme="minorHAnsi"/>
                <w:color w:val="000000" w:themeColor="text1"/>
                <w:szCs w:val="20"/>
              </w:rPr>
              <w:t xml:space="preserve">ystem, including in particular the monitoring and evaluation component of the </w:t>
            </w:r>
            <w:r w:rsidR="00BF11EE">
              <w:rPr>
                <w:rFonts w:cstheme="minorHAnsi"/>
                <w:color w:val="000000" w:themeColor="text1"/>
                <w:szCs w:val="20"/>
              </w:rPr>
              <w:t>S</w:t>
            </w:r>
            <w:r w:rsidRPr="00CC1ADD">
              <w:rPr>
                <w:rFonts w:cstheme="minorHAnsi"/>
                <w:color w:val="000000" w:themeColor="text1"/>
                <w:szCs w:val="20"/>
              </w:rPr>
              <w:t>ystem in Australia and New Zealand and the social marketing campaign in Australia. HSRAC membership consists of government, industry, public health and consumer representatives.</w:t>
            </w:r>
          </w:p>
        </w:tc>
      </w:tr>
      <w:tr w:rsidR="004F7D86" w:rsidRPr="00CC1ADD" w14:paraId="2183B999" w14:textId="77777777" w:rsidTr="004F7D86">
        <w:tc>
          <w:tcPr>
            <w:tcW w:w="1017" w:type="pct"/>
          </w:tcPr>
          <w:p w14:paraId="0AFB2EC5"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szCs w:val="20"/>
              </w:rPr>
              <w:t>Health Star rating Style Guide</w:t>
            </w:r>
          </w:p>
        </w:tc>
        <w:tc>
          <w:tcPr>
            <w:tcW w:w="3983" w:type="pct"/>
          </w:tcPr>
          <w:p w14:paraId="613DF8EE" w14:textId="77777777" w:rsidR="004F7D86" w:rsidRPr="00CC1ADD" w:rsidRDefault="004F7D86">
            <w:pPr>
              <w:pStyle w:val="mpctabletext"/>
              <w:spacing w:before="60" w:after="60"/>
              <w:rPr>
                <w:rFonts w:cstheme="minorHAnsi"/>
                <w:color w:val="000000" w:themeColor="text1"/>
                <w:szCs w:val="20"/>
              </w:rPr>
            </w:pPr>
            <w:r w:rsidRPr="00CC1ADD">
              <w:rPr>
                <w:rFonts w:cstheme="minorHAnsi"/>
                <w:szCs w:val="20"/>
              </w:rPr>
              <w:t xml:space="preserve">The </w:t>
            </w:r>
            <w:hyperlink r:id="rId157" w:history="1">
              <w:r w:rsidRPr="00CC1ADD">
                <w:rPr>
                  <w:rStyle w:val="Hyperlink"/>
                  <w:rFonts w:cstheme="minorHAnsi"/>
                  <w:szCs w:val="20"/>
                </w:rPr>
                <w:t>HSR Style Guide</w:t>
              </w:r>
            </w:hyperlink>
            <w:r w:rsidRPr="00CC1ADD">
              <w:rPr>
                <w:rFonts w:cstheme="minorHAnsi"/>
                <w:szCs w:val="20"/>
              </w:rPr>
              <w:t xml:space="preserve"> provides guidance for the application of the HSR System on product packaging. </w:t>
            </w:r>
          </w:p>
        </w:tc>
      </w:tr>
      <w:tr w:rsidR="004F7D86" w:rsidRPr="00CC1ADD" w14:paraId="688264B5" w14:textId="77777777" w:rsidTr="004F7D86">
        <w:tc>
          <w:tcPr>
            <w:tcW w:w="1017" w:type="pct"/>
          </w:tcPr>
          <w:p w14:paraId="5573F514"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HSR Calculator</w:t>
            </w:r>
          </w:p>
        </w:tc>
        <w:tc>
          <w:tcPr>
            <w:tcW w:w="3983" w:type="pct"/>
          </w:tcPr>
          <w:p w14:paraId="5C8DD994"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HSR Calculator calculates the HSR for products based on input of their nutrition information. The HSR Calculator considers four components of a food associated with increasing the risk factors of chronic diseases (energy, saturated fat, sodium and total sugars content). Certain ‘positive’ aspects of a food such as FVNL content, and in some instances, fibre and protein content are also considered. Points are allocated based on the nutritional composition of 100g or 100mL of the product, following the units used in the NIP of a packaged product. The points are converted to a star rating (from 0.5 to 5 stars). </w:t>
            </w:r>
          </w:p>
          <w:p w14:paraId="48E0F063" w14:textId="3290F261"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The HSR Calculator is a modified version of the NPSC developed by FSANZ for the regulation of health claims in Australia and New Zealand and prescribed in </w:t>
            </w:r>
            <w:r w:rsidR="00BF476F" w:rsidRPr="00CC1ADD">
              <w:rPr>
                <w:rFonts w:cstheme="minorHAnsi"/>
                <w:color w:val="000000" w:themeColor="text1"/>
                <w:szCs w:val="20"/>
              </w:rPr>
              <w:t xml:space="preserve">the Code </w:t>
            </w:r>
            <w:r w:rsidRPr="00CC1ADD">
              <w:rPr>
                <w:rFonts w:cstheme="minorHAnsi"/>
                <w:color w:val="000000" w:themeColor="text1"/>
                <w:szCs w:val="20"/>
              </w:rPr>
              <w:t>Standard 1.2.7 – Nutrition, Health and Related Claims.</w:t>
            </w:r>
          </w:p>
          <w:p w14:paraId="7872D5D6" w14:textId="009A479C" w:rsidR="004F7D86" w:rsidRPr="00CC1ADD" w:rsidRDefault="004505FF">
            <w:pPr>
              <w:pStyle w:val="mpctabletext"/>
              <w:spacing w:before="60" w:after="60"/>
              <w:rPr>
                <w:rFonts w:cstheme="minorHAnsi"/>
                <w:color w:val="000000" w:themeColor="text1"/>
                <w:szCs w:val="20"/>
              </w:rPr>
            </w:pPr>
            <w:r w:rsidRPr="00CC1ADD">
              <w:rPr>
                <w:rFonts w:cstheme="minorHAnsi"/>
                <w:color w:val="000000" w:themeColor="text1"/>
                <w:szCs w:val="20"/>
              </w:rPr>
              <w:t>Refer</w:t>
            </w:r>
            <w:r w:rsidR="004F7D86" w:rsidRPr="00CC1ADD">
              <w:rPr>
                <w:rFonts w:cstheme="minorHAnsi"/>
                <w:color w:val="000000" w:themeColor="text1"/>
                <w:szCs w:val="20"/>
              </w:rPr>
              <w:t xml:space="preserve"> </w:t>
            </w:r>
            <w:r w:rsidR="004F7D86" w:rsidRPr="00CC1ADD">
              <w:rPr>
                <w:rFonts w:cstheme="minorHAnsi"/>
                <w:color w:val="000000" w:themeColor="text1"/>
                <w:szCs w:val="20"/>
                <w:u w:val="single"/>
              </w:rPr>
              <w:t xml:space="preserve">Appendix </w:t>
            </w:r>
            <w:r w:rsidR="009B0396">
              <w:rPr>
                <w:rFonts w:cstheme="minorHAnsi"/>
                <w:color w:val="000000" w:themeColor="text1"/>
                <w:szCs w:val="20"/>
                <w:u w:val="single"/>
              </w:rPr>
              <w:t>A</w:t>
            </w:r>
            <w:r w:rsidR="004F7D86" w:rsidRPr="00CC1ADD">
              <w:rPr>
                <w:rFonts w:cstheme="minorHAnsi"/>
                <w:color w:val="000000" w:themeColor="text1"/>
                <w:szCs w:val="20"/>
              </w:rPr>
              <w:t xml:space="preserve"> for a more detailed description of the HSR Calculator. </w:t>
            </w:r>
          </w:p>
        </w:tc>
      </w:tr>
      <w:tr w:rsidR="004F7D86" w:rsidRPr="00CC1ADD" w14:paraId="5B9F6DB1" w14:textId="77777777" w:rsidTr="004F7D86">
        <w:tc>
          <w:tcPr>
            <w:tcW w:w="1017" w:type="pct"/>
          </w:tcPr>
          <w:p w14:paraId="6D5E583B" w14:textId="37F553A3"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 xml:space="preserve">HSR </w:t>
            </w:r>
            <w:r w:rsidR="00153CBD">
              <w:rPr>
                <w:rFonts w:cstheme="minorHAnsi"/>
                <w:b/>
                <w:color w:val="000000" w:themeColor="text1"/>
                <w:szCs w:val="20"/>
              </w:rPr>
              <w:t>c</w:t>
            </w:r>
            <w:r w:rsidRPr="00CC1ADD">
              <w:rPr>
                <w:rFonts w:cstheme="minorHAnsi"/>
                <w:b/>
                <w:color w:val="000000" w:themeColor="text1"/>
                <w:szCs w:val="20"/>
              </w:rPr>
              <w:t>ategory</w:t>
            </w:r>
          </w:p>
        </w:tc>
        <w:tc>
          <w:tcPr>
            <w:tcW w:w="3983" w:type="pct"/>
          </w:tcPr>
          <w:p w14:paraId="576BBF86" w14:textId="77777777" w:rsidR="004F7D86" w:rsidRPr="00CC1ADD" w:rsidRDefault="004F7D86" w:rsidP="005A3631">
            <w:pPr>
              <w:rPr>
                <w:rFonts w:cstheme="minorHAnsi"/>
                <w:sz w:val="20"/>
                <w:szCs w:val="20"/>
              </w:rPr>
            </w:pPr>
            <w:r w:rsidRPr="00CC1ADD">
              <w:rPr>
                <w:rFonts w:cstheme="minorHAnsi"/>
                <w:sz w:val="20"/>
                <w:szCs w:val="20"/>
              </w:rPr>
              <w:t>The HSR System is based on six different product categories (1, 1D, 2, 2D, 3 and 3D).</w:t>
            </w:r>
          </w:p>
        </w:tc>
      </w:tr>
      <w:tr w:rsidR="004F7D86" w:rsidRPr="00CC1ADD" w14:paraId="5CAE8770" w14:textId="77777777" w:rsidTr="004F7D86">
        <w:tc>
          <w:tcPr>
            <w:tcW w:w="1017" w:type="pct"/>
          </w:tcPr>
          <w:p w14:paraId="0E3FFC5D" w14:textId="77777777" w:rsidR="004F7D86" w:rsidRPr="00CC1ADD" w:rsidDel="000D01DE"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Ministry for Primary Industries (MPI)</w:t>
            </w:r>
          </w:p>
        </w:tc>
        <w:tc>
          <w:tcPr>
            <w:tcW w:w="3983" w:type="pct"/>
          </w:tcPr>
          <w:p w14:paraId="47C14630" w14:textId="77777777" w:rsidR="004F7D86" w:rsidRPr="00CC1ADD" w:rsidRDefault="004F7D86">
            <w:pPr>
              <w:rPr>
                <w:rFonts w:cstheme="minorHAnsi"/>
                <w:color w:val="000000" w:themeColor="text1"/>
                <w:sz w:val="20"/>
                <w:szCs w:val="20"/>
              </w:rPr>
            </w:pPr>
            <w:r w:rsidRPr="00CC1ADD">
              <w:rPr>
                <w:rFonts w:cstheme="minorHAnsi"/>
                <w:color w:val="000000" w:themeColor="text1"/>
                <w:sz w:val="20"/>
                <w:szCs w:val="20"/>
              </w:rPr>
              <w:t>The Ministry for Primary Industries (MPI) (Māori: Manatū Ahu Matua) is the public service department of New Zealand charged with overseeing, managing and regulating the farming, fishing, food, animal welfare, biosecurity, and forestry sectors of New Zealand's primary industries.</w:t>
            </w:r>
          </w:p>
        </w:tc>
      </w:tr>
      <w:tr w:rsidR="004F7D86" w:rsidRPr="00CC1ADD" w14:paraId="56AFE367" w14:textId="77777777" w:rsidTr="004F7D86">
        <w:tc>
          <w:tcPr>
            <w:tcW w:w="1017" w:type="pct"/>
          </w:tcPr>
          <w:p w14:paraId="2E8EB206" w14:textId="77777777" w:rsidR="004F7D86" w:rsidRPr="00CC1ADD" w:rsidRDefault="004F7D86" w:rsidP="005A3631">
            <w:pPr>
              <w:pStyle w:val="mpctabletext"/>
              <w:spacing w:before="60" w:after="60"/>
              <w:rPr>
                <w:rFonts w:cstheme="minorHAnsi"/>
                <w:b/>
                <w:color w:val="000000" w:themeColor="text1"/>
                <w:szCs w:val="20"/>
              </w:rPr>
            </w:pPr>
            <w:r w:rsidRPr="00CC1ADD" w:rsidDel="000D01DE">
              <w:rPr>
                <w:rFonts w:cstheme="minorHAnsi"/>
                <w:b/>
                <w:color w:val="000000" w:themeColor="text1"/>
                <w:szCs w:val="20"/>
              </w:rPr>
              <w:t>Modifying points</w:t>
            </w:r>
            <w:r w:rsidRPr="00CC1ADD">
              <w:rPr>
                <w:rFonts w:cstheme="minorHAnsi"/>
                <w:b/>
                <w:color w:val="000000" w:themeColor="text1"/>
                <w:szCs w:val="20"/>
              </w:rPr>
              <w:t xml:space="preserve"> </w:t>
            </w:r>
          </w:p>
        </w:tc>
        <w:tc>
          <w:tcPr>
            <w:tcW w:w="3983" w:type="pct"/>
          </w:tcPr>
          <w:p w14:paraId="33505DF5" w14:textId="514649EC"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NPSC, m</w:t>
            </w:r>
            <w:r w:rsidRPr="00CC1ADD" w:rsidDel="000D01DE">
              <w:rPr>
                <w:rFonts w:cstheme="minorHAnsi"/>
                <w:color w:val="000000" w:themeColor="text1"/>
                <w:szCs w:val="20"/>
              </w:rPr>
              <w:t xml:space="preserve">odifying points are calculated as part of the nutrient profiling score. Modifying points are allocated for the </w:t>
            </w:r>
            <w:r w:rsidRPr="00CC1ADD">
              <w:rPr>
                <w:rFonts w:cstheme="minorHAnsi"/>
                <w:color w:val="000000" w:themeColor="text1"/>
                <w:szCs w:val="20"/>
              </w:rPr>
              <w:t>positive components</w:t>
            </w:r>
            <w:r w:rsidRPr="00CC1ADD" w:rsidDel="000D01DE">
              <w:rPr>
                <w:rFonts w:cstheme="minorHAnsi"/>
                <w:color w:val="000000" w:themeColor="text1"/>
                <w:szCs w:val="20"/>
              </w:rPr>
              <w:t xml:space="preserve"> (%FVN</w:t>
            </w:r>
            <w:r w:rsidRPr="00CC1ADD">
              <w:rPr>
                <w:rFonts w:cstheme="minorHAnsi"/>
                <w:color w:val="000000" w:themeColor="text1"/>
                <w:szCs w:val="20"/>
              </w:rPr>
              <w:t>L and, in some instances</w:t>
            </w:r>
            <w:r w:rsidRPr="00CC1ADD" w:rsidDel="000D01DE">
              <w:rPr>
                <w:rFonts w:cstheme="minorHAnsi"/>
                <w:color w:val="000000" w:themeColor="text1"/>
                <w:szCs w:val="20"/>
              </w:rPr>
              <w:t xml:space="preserve">, protein, fibre) present in foods and beverages, in accordance with </w:t>
            </w:r>
            <w:r w:rsidR="00BF476F" w:rsidRPr="00CC1ADD">
              <w:rPr>
                <w:rFonts w:cstheme="minorHAnsi"/>
                <w:color w:val="000000" w:themeColor="text1"/>
                <w:szCs w:val="20"/>
              </w:rPr>
              <w:t>the Code</w:t>
            </w:r>
            <w:r w:rsidR="00BF476F" w:rsidRPr="00CC1ADD" w:rsidDel="000D01DE">
              <w:rPr>
                <w:rFonts w:cstheme="minorHAnsi"/>
                <w:color w:val="000000" w:themeColor="text1"/>
                <w:szCs w:val="20"/>
              </w:rPr>
              <w:t xml:space="preserve"> </w:t>
            </w:r>
            <w:r w:rsidRPr="00CC1ADD" w:rsidDel="000D01DE">
              <w:rPr>
                <w:rFonts w:cstheme="minorHAnsi"/>
                <w:color w:val="000000" w:themeColor="text1"/>
                <w:szCs w:val="20"/>
              </w:rPr>
              <w:t>Schedule 5 of Standard 1.2.7</w:t>
            </w:r>
            <w:r w:rsidRPr="00CC1ADD">
              <w:rPr>
                <w:rFonts w:cstheme="minorHAnsi"/>
                <w:color w:val="000000" w:themeColor="text1"/>
                <w:szCs w:val="20"/>
              </w:rPr>
              <w:t xml:space="preserve">. </w:t>
            </w:r>
          </w:p>
          <w:p w14:paraId="2D314850"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In the HSR Calculator, extended modifying points are allocated to the same positive components, increasing the final HSR for a product.</w:t>
            </w:r>
          </w:p>
        </w:tc>
      </w:tr>
      <w:tr w:rsidR="004F7D86" w:rsidRPr="00CC1ADD" w14:paraId="38BFB3B3" w14:textId="77777777" w:rsidTr="004F7D86">
        <w:tc>
          <w:tcPr>
            <w:tcW w:w="1017" w:type="pct"/>
          </w:tcPr>
          <w:p w14:paraId="34B3C50E"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New Zealand HSR Advisory Group (NZHSRAG)</w:t>
            </w:r>
          </w:p>
        </w:tc>
        <w:tc>
          <w:tcPr>
            <w:tcW w:w="3983" w:type="pct"/>
          </w:tcPr>
          <w:p w14:paraId="6F9B6D5E" w14:textId="77777777" w:rsidR="004F7D86" w:rsidRPr="00CC1ADD" w:rsidRDefault="004F7D86">
            <w:pPr>
              <w:rPr>
                <w:rFonts w:cstheme="minorHAnsi"/>
                <w:sz w:val="20"/>
                <w:szCs w:val="20"/>
              </w:rPr>
            </w:pPr>
            <w:r w:rsidRPr="00CC1ADD">
              <w:rPr>
                <w:rFonts w:cstheme="minorHAnsi"/>
                <w:color w:val="000000" w:themeColor="text1"/>
                <w:sz w:val="20"/>
                <w:szCs w:val="20"/>
              </w:rPr>
              <w:t>A Committee of government, industry, public health and consumer representatives with responsibility for considering implementation of the HSR in New Zealand.</w:t>
            </w:r>
          </w:p>
        </w:tc>
      </w:tr>
      <w:tr w:rsidR="004F7D86" w:rsidRPr="00CC1ADD" w14:paraId="1FA88E03" w14:textId="77777777" w:rsidTr="004F7D86">
        <w:tc>
          <w:tcPr>
            <w:tcW w:w="1017" w:type="pct"/>
          </w:tcPr>
          <w:p w14:paraId="2D5D99F1"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Nutrition Information Panel (NIP)</w:t>
            </w:r>
          </w:p>
        </w:tc>
        <w:tc>
          <w:tcPr>
            <w:tcW w:w="3983" w:type="pct"/>
          </w:tcPr>
          <w:p w14:paraId="7AE78A10" w14:textId="264AF182" w:rsidR="004F7D86" w:rsidRPr="00CC1ADD" w:rsidRDefault="004F7D86">
            <w:pPr>
              <w:rPr>
                <w:rFonts w:cstheme="minorHAnsi"/>
                <w:sz w:val="20"/>
                <w:szCs w:val="20"/>
              </w:rPr>
            </w:pPr>
            <w:r w:rsidRPr="00CC1ADD">
              <w:rPr>
                <w:rFonts w:cstheme="minorHAnsi"/>
                <w:sz w:val="20"/>
                <w:szCs w:val="20"/>
              </w:rPr>
              <w:t xml:space="preserve">Nutrition </w:t>
            </w:r>
            <w:r w:rsidR="00DD78A3" w:rsidRPr="00CC1ADD">
              <w:rPr>
                <w:rFonts w:cstheme="minorHAnsi"/>
                <w:sz w:val="20"/>
                <w:szCs w:val="20"/>
              </w:rPr>
              <w:t>i</w:t>
            </w:r>
            <w:r w:rsidRPr="00CC1ADD">
              <w:rPr>
                <w:rFonts w:cstheme="minorHAnsi"/>
                <w:sz w:val="20"/>
                <w:szCs w:val="20"/>
              </w:rPr>
              <w:t xml:space="preserve">nformation </w:t>
            </w:r>
            <w:r w:rsidR="00DD78A3" w:rsidRPr="00CC1ADD">
              <w:rPr>
                <w:rFonts w:cstheme="minorHAnsi"/>
                <w:sz w:val="20"/>
                <w:szCs w:val="20"/>
              </w:rPr>
              <w:t>r</w:t>
            </w:r>
            <w:r w:rsidRPr="00CC1ADD">
              <w:rPr>
                <w:rFonts w:cstheme="minorHAnsi"/>
                <w:sz w:val="20"/>
                <w:szCs w:val="20"/>
              </w:rPr>
              <w:t xml:space="preserve">equirements in </w:t>
            </w:r>
            <w:r w:rsidR="00BF476F" w:rsidRPr="00CC1ADD">
              <w:rPr>
                <w:rFonts w:cstheme="minorHAnsi"/>
                <w:sz w:val="20"/>
                <w:szCs w:val="20"/>
              </w:rPr>
              <w:t xml:space="preserve">the Code </w:t>
            </w:r>
            <w:r w:rsidRPr="00CC1ADD">
              <w:rPr>
                <w:rFonts w:cstheme="minorHAnsi"/>
                <w:sz w:val="20"/>
                <w:szCs w:val="20"/>
              </w:rPr>
              <w:t xml:space="preserve">Standard 1.2.8 requires nutrition information on most food labels in the form of a </w:t>
            </w:r>
            <w:hyperlink r:id="rId158" w:history="1">
              <w:r w:rsidRPr="00CC1ADD">
                <w:rPr>
                  <w:rStyle w:val="Hyperlink"/>
                  <w:rFonts w:cstheme="minorHAnsi"/>
                  <w:sz w:val="20"/>
                  <w:szCs w:val="20"/>
                </w:rPr>
                <w:t>NIP</w:t>
              </w:r>
            </w:hyperlink>
            <w:r w:rsidRPr="00CC1ADD">
              <w:rPr>
                <w:rFonts w:cstheme="minorHAnsi"/>
                <w:sz w:val="20"/>
                <w:szCs w:val="20"/>
              </w:rPr>
              <w:t xml:space="preserve">. In the NIP, information on the amount of energy, protein, total fat, saturated fat, carbohydrate, total sugars and sodium must be displayed. Manufacturers can elect to sub-label protein, carbohydrates and fats. Total sugars declarations can declare sub groups as specific sugars, such as lactose, if desired. </w:t>
            </w:r>
          </w:p>
        </w:tc>
      </w:tr>
      <w:tr w:rsidR="004F7D86" w:rsidRPr="00CC1ADD" w14:paraId="60267DCA" w14:textId="77777777" w:rsidTr="004F7D86">
        <w:tc>
          <w:tcPr>
            <w:tcW w:w="1017" w:type="pct"/>
          </w:tcPr>
          <w:p w14:paraId="205CC8DB" w14:textId="7777777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Nutrient Profiling Scoring Criterion (NPSC)</w:t>
            </w:r>
          </w:p>
        </w:tc>
        <w:tc>
          <w:tcPr>
            <w:tcW w:w="3983" w:type="pct"/>
          </w:tcPr>
          <w:p w14:paraId="22924324" w14:textId="78A0B71B" w:rsidR="004F7D86" w:rsidRPr="00CC1ADD" w:rsidRDefault="004F7D86">
            <w:pPr>
              <w:rPr>
                <w:rFonts w:cstheme="minorHAnsi"/>
                <w:sz w:val="20"/>
                <w:szCs w:val="20"/>
              </w:rPr>
            </w:pPr>
            <w:r w:rsidRPr="00CC1ADD">
              <w:rPr>
                <w:rFonts w:cstheme="minorHAnsi"/>
                <w:sz w:val="20"/>
                <w:szCs w:val="20"/>
              </w:rPr>
              <w:t xml:space="preserve">The </w:t>
            </w:r>
            <w:hyperlink r:id="rId159" w:history="1">
              <w:r w:rsidRPr="00CC1ADD">
                <w:rPr>
                  <w:rStyle w:val="Hyperlink"/>
                  <w:rFonts w:cstheme="minorHAnsi"/>
                  <w:sz w:val="20"/>
                  <w:szCs w:val="20"/>
                </w:rPr>
                <w:t>NPSC</w:t>
              </w:r>
            </w:hyperlink>
            <w:r w:rsidRPr="00CC1ADD">
              <w:rPr>
                <w:rFonts w:cstheme="minorHAnsi"/>
                <w:sz w:val="20"/>
                <w:szCs w:val="20"/>
              </w:rPr>
              <w:t xml:space="preserve"> is a nutrient profiling system referred to in </w:t>
            </w:r>
            <w:r w:rsidR="00BF476F">
              <w:rPr>
                <w:rFonts w:cstheme="minorHAnsi"/>
                <w:sz w:val="20"/>
                <w:szCs w:val="20"/>
              </w:rPr>
              <w:t>t</w:t>
            </w:r>
            <w:r w:rsidR="00BF476F" w:rsidRPr="00CC1ADD">
              <w:rPr>
                <w:rFonts w:cstheme="minorHAnsi"/>
                <w:sz w:val="20"/>
                <w:szCs w:val="20"/>
              </w:rPr>
              <w:t xml:space="preserve">he Code </w:t>
            </w:r>
            <w:r w:rsidRPr="00CC1ADD">
              <w:rPr>
                <w:rFonts w:cstheme="minorHAnsi"/>
                <w:sz w:val="20"/>
                <w:szCs w:val="20"/>
              </w:rPr>
              <w:t>Standard 1.2.7 and detailed in Schedule 5. The NPSC is used in Australia and New Zealand to determine whether a food is suitable to make a health claim, based on its nutrient profile. Only foods that meet a certain score will be allowed to have health claims made about them. The HSR algorithm is based on the NPSC with some modifications to better meet the needs of a scale rather than binary application.</w:t>
            </w:r>
          </w:p>
        </w:tc>
      </w:tr>
      <w:tr w:rsidR="004F7D86" w:rsidRPr="00CC1ADD" w14:paraId="0AB75BBE" w14:textId="77777777" w:rsidTr="004F7D86">
        <w:tc>
          <w:tcPr>
            <w:tcW w:w="1017" w:type="pct"/>
          </w:tcPr>
          <w:p w14:paraId="3FB493B0" w14:textId="4ED9A3C1"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w:t>
            </w:r>
            <w:r w:rsidR="002862B6">
              <w:rPr>
                <w:rFonts w:cstheme="minorHAnsi"/>
                <w:b/>
                <w:color w:val="000000" w:themeColor="text1"/>
                <w:szCs w:val="20"/>
              </w:rPr>
              <w:t>-</w:t>
            </w:r>
            <w:r w:rsidRPr="00CC1ADD">
              <w:rPr>
                <w:rFonts w:cstheme="minorHAnsi"/>
                <w:b/>
                <w:color w:val="000000" w:themeColor="text1"/>
                <w:szCs w:val="20"/>
              </w:rPr>
              <w:t>Score</w:t>
            </w:r>
          </w:p>
        </w:tc>
        <w:tc>
          <w:tcPr>
            <w:tcW w:w="3983" w:type="pct"/>
          </w:tcPr>
          <w:p w14:paraId="4AC1DFE6" w14:textId="5EB23BDF" w:rsidR="004F7D86" w:rsidRPr="00CC1ADD" w:rsidRDefault="004F7D86">
            <w:pPr>
              <w:rPr>
                <w:rFonts w:cstheme="minorHAnsi"/>
                <w:sz w:val="20"/>
                <w:szCs w:val="20"/>
              </w:rPr>
            </w:pPr>
            <w:r w:rsidRPr="00CC1ADD">
              <w:rPr>
                <w:rFonts w:cstheme="minorHAnsi"/>
                <w:sz w:val="20"/>
                <w:szCs w:val="20"/>
              </w:rPr>
              <w:t>A voluntary front-of-pack labelling scheme adopted in France in 2017, based on a five-letter and five-colour visual that summarises food nutrition information. The Nutri</w:t>
            </w:r>
            <w:r w:rsidR="002862B6">
              <w:rPr>
                <w:rFonts w:cstheme="minorHAnsi"/>
                <w:sz w:val="20"/>
                <w:szCs w:val="20"/>
              </w:rPr>
              <w:t>-</w:t>
            </w:r>
            <w:r w:rsidRPr="00CC1ADD">
              <w:rPr>
                <w:rFonts w:cstheme="minorHAnsi"/>
                <w:sz w:val="20"/>
                <w:szCs w:val="20"/>
              </w:rPr>
              <w:t>Score gives a rating to any food (except single-ingredient foods and water) going from a dark green A (best) to a red E (worst), by weighing the prevalence of positive and negative nutrients.</w:t>
            </w:r>
          </w:p>
        </w:tc>
      </w:tr>
      <w:tr w:rsidR="004F7D86" w:rsidRPr="00CC1ADD" w14:paraId="63A74A51" w14:textId="77777777" w:rsidTr="004F7D86">
        <w:tc>
          <w:tcPr>
            <w:tcW w:w="1017" w:type="pct"/>
          </w:tcPr>
          <w:p w14:paraId="37472BB1" w14:textId="44F50447" w:rsidR="004F7D86" w:rsidRPr="00CC1ADD" w:rsidRDefault="004F7D86" w:rsidP="005A3631">
            <w:pPr>
              <w:pStyle w:val="mpctabletext"/>
              <w:spacing w:before="60" w:after="60"/>
              <w:rPr>
                <w:rFonts w:cstheme="minorHAnsi"/>
                <w:b/>
                <w:color w:val="000000" w:themeColor="text1"/>
                <w:szCs w:val="20"/>
              </w:rPr>
            </w:pPr>
            <w:r w:rsidRPr="00CC1ADD">
              <w:rPr>
                <w:rFonts w:cstheme="minorHAnsi"/>
                <w:b/>
                <w:color w:val="000000" w:themeColor="text1"/>
                <w:szCs w:val="20"/>
              </w:rPr>
              <w:t>Nutri</w:t>
            </w:r>
            <w:r w:rsidR="00F37134">
              <w:rPr>
                <w:rFonts w:cstheme="minorHAnsi"/>
                <w:b/>
                <w:color w:val="000000" w:themeColor="text1"/>
                <w:szCs w:val="20"/>
              </w:rPr>
              <w:t>t</w:t>
            </w:r>
            <w:r w:rsidRPr="00CC1ADD">
              <w:rPr>
                <w:rFonts w:cstheme="minorHAnsi"/>
                <w:b/>
                <w:color w:val="000000" w:themeColor="text1"/>
                <w:szCs w:val="20"/>
              </w:rPr>
              <w:t>rack</w:t>
            </w:r>
          </w:p>
        </w:tc>
        <w:tc>
          <w:tcPr>
            <w:tcW w:w="3983" w:type="pct"/>
          </w:tcPr>
          <w:p w14:paraId="54267D71" w14:textId="73D7824A" w:rsidR="004F7D86" w:rsidRPr="00CC1ADD" w:rsidRDefault="004F7D86">
            <w:pPr>
              <w:rPr>
                <w:rFonts w:cstheme="minorHAnsi"/>
                <w:sz w:val="20"/>
                <w:szCs w:val="20"/>
              </w:rPr>
            </w:pPr>
            <w:r w:rsidRPr="00CC1ADD">
              <w:rPr>
                <w:rFonts w:cstheme="minorHAnsi"/>
                <w:sz w:val="20"/>
                <w:szCs w:val="20"/>
              </w:rPr>
              <w:t>Developed in 2011, Nutri</w:t>
            </w:r>
            <w:r w:rsidR="00F37134">
              <w:rPr>
                <w:rFonts w:cstheme="minorHAnsi"/>
                <w:sz w:val="20"/>
                <w:szCs w:val="20"/>
              </w:rPr>
              <w:t>t</w:t>
            </w:r>
            <w:r w:rsidRPr="00CC1ADD">
              <w:rPr>
                <w:rFonts w:cstheme="minorHAnsi"/>
                <w:sz w:val="20"/>
                <w:szCs w:val="20"/>
              </w:rPr>
              <w:t>rack is a database comprising information on the nutrient composition of processed foods on sale at New Zealand supermarkets and major fast food restaurants.</w:t>
            </w:r>
          </w:p>
        </w:tc>
      </w:tr>
      <w:tr w:rsidR="004F7D86" w:rsidRPr="00CC1ADD" w14:paraId="69857727" w14:textId="77777777" w:rsidTr="004F7D86">
        <w:tc>
          <w:tcPr>
            <w:tcW w:w="1017" w:type="pct"/>
          </w:tcPr>
          <w:p w14:paraId="23DADF57" w14:textId="77777777" w:rsidR="004F7D86" w:rsidRPr="00CC1ADD" w:rsidRDefault="004F7D86" w:rsidP="005A3631">
            <w:pPr>
              <w:rPr>
                <w:rFonts w:cstheme="minorHAnsi"/>
                <w:b/>
                <w:sz w:val="20"/>
                <w:szCs w:val="20"/>
              </w:rPr>
            </w:pPr>
            <w:r w:rsidRPr="00CC1ADD">
              <w:rPr>
                <w:rFonts w:cstheme="minorHAnsi"/>
                <w:b/>
                <w:sz w:val="20"/>
                <w:szCs w:val="20"/>
              </w:rPr>
              <w:t>New Zealand Eating and Activity Guidelines 2015 (NZEAG)</w:t>
            </w:r>
          </w:p>
        </w:tc>
        <w:tc>
          <w:tcPr>
            <w:tcW w:w="3983" w:type="pct"/>
          </w:tcPr>
          <w:p w14:paraId="1EB6E53F" w14:textId="77777777" w:rsidR="004F7D86" w:rsidRPr="00CC1ADD" w:rsidRDefault="004F7D86">
            <w:pPr>
              <w:rPr>
                <w:rFonts w:cstheme="minorHAnsi"/>
                <w:sz w:val="20"/>
                <w:szCs w:val="20"/>
              </w:rPr>
            </w:pPr>
            <w:r w:rsidRPr="00CC1ADD">
              <w:rPr>
                <w:rFonts w:cstheme="minorHAnsi"/>
                <w:sz w:val="20"/>
                <w:szCs w:val="20"/>
              </w:rPr>
              <w:t xml:space="preserve">The </w:t>
            </w:r>
            <w:hyperlink r:id="rId160" w:history="1">
              <w:r w:rsidRPr="00CC1ADD">
                <w:rPr>
                  <w:rStyle w:val="Hyperlink"/>
                  <w:rFonts w:cstheme="minorHAnsi"/>
                  <w:sz w:val="20"/>
                  <w:szCs w:val="20"/>
                </w:rPr>
                <w:t>NZEAG</w:t>
              </w:r>
            </w:hyperlink>
            <w:r w:rsidRPr="00CC1ADD">
              <w:rPr>
                <w:rFonts w:cstheme="minorHAnsi"/>
                <w:sz w:val="20"/>
                <w:szCs w:val="20"/>
              </w:rPr>
              <w:t xml:space="preserve"> provide evidence-based population health advice on healthy eating and being physically active. The document is written for health practitioners and others who provide advice on nutrition and physical activity for New Zealand adults. </w:t>
            </w:r>
          </w:p>
        </w:tc>
      </w:tr>
      <w:tr w:rsidR="004F7D86" w:rsidRPr="00CC1ADD" w14:paraId="1790D9DE" w14:textId="77777777" w:rsidTr="004F7D86">
        <w:tc>
          <w:tcPr>
            <w:tcW w:w="1017" w:type="pct"/>
          </w:tcPr>
          <w:p w14:paraId="40390822" w14:textId="77777777" w:rsidR="004F7D86" w:rsidRPr="00CC1ADD" w:rsidRDefault="004F7D86" w:rsidP="005A3631">
            <w:pPr>
              <w:rPr>
                <w:rFonts w:cstheme="minorHAnsi"/>
                <w:b/>
                <w:sz w:val="20"/>
                <w:szCs w:val="20"/>
              </w:rPr>
            </w:pPr>
            <w:r w:rsidRPr="00CC1ADD">
              <w:rPr>
                <w:rFonts w:cstheme="minorHAnsi"/>
                <w:b/>
                <w:sz w:val="20"/>
                <w:szCs w:val="20"/>
              </w:rPr>
              <w:t>Protein points (P points)</w:t>
            </w:r>
          </w:p>
        </w:tc>
        <w:tc>
          <w:tcPr>
            <w:tcW w:w="3983" w:type="pct"/>
          </w:tcPr>
          <w:p w14:paraId="66F9C895" w14:textId="77777777" w:rsidR="004F7D86" w:rsidRPr="00CC1ADD" w:rsidRDefault="004F7D86">
            <w:pPr>
              <w:rPr>
                <w:rFonts w:cstheme="minorHAnsi"/>
                <w:sz w:val="20"/>
                <w:szCs w:val="20"/>
              </w:rPr>
            </w:pPr>
            <w:r w:rsidRPr="00CC1ADD">
              <w:rPr>
                <w:rFonts w:cstheme="minorHAnsi"/>
                <w:sz w:val="20"/>
                <w:szCs w:val="20"/>
              </w:rPr>
              <w:t>In the HSR System, food products score P points for the amount of protein present in the food. Protein points contribute to modifying points and can be scored if a food product scores less than 13 baseline points in the HSR Calculator. A food product that scores more than or equal to 13 baseline points can only score protein points if the food scores 5 or more V points in the HSR Calculator.</w:t>
            </w:r>
          </w:p>
        </w:tc>
      </w:tr>
      <w:tr w:rsidR="004F7D86" w:rsidRPr="00CC1ADD" w14:paraId="7755855A" w14:textId="77777777" w:rsidTr="004F7D86">
        <w:tc>
          <w:tcPr>
            <w:tcW w:w="1017" w:type="pct"/>
          </w:tcPr>
          <w:p w14:paraId="2B02D60B" w14:textId="77777777" w:rsidR="004F7D86" w:rsidRPr="00CC1ADD" w:rsidRDefault="004F7D86" w:rsidP="005A3631">
            <w:pPr>
              <w:rPr>
                <w:rFonts w:cstheme="minorHAnsi"/>
                <w:b/>
                <w:sz w:val="20"/>
                <w:szCs w:val="20"/>
              </w:rPr>
            </w:pPr>
            <w:r w:rsidRPr="00CC1ADD">
              <w:rPr>
                <w:rFonts w:cstheme="minorHAnsi"/>
                <w:b/>
                <w:sz w:val="20"/>
                <w:szCs w:val="20"/>
              </w:rPr>
              <w:t>Rescaling</w:t>
            </w:r>
          </w:p>
        </w:tc>
        <w:tc>
          <w:tcPr>
            <w:tcW w:w="3983" w:type="pct"/>
          </w:tcPr>
          <w:p w14:paraId="26DA26E9" w14:textId="69AD7249"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Current scaling of each HSR category is based on the outputs produced by the HSR Calculator using the database used to develop and test the HSR System</w:t>
            </w:r>
            <w:r w:rsidR="00A50B66">
              <w:rPr>
                <w:rFonts w:cstheme="minorHAnsi"/>
                <w:color w:val="000000" w:themeColor="text1"/>
                <w:szCs w:val="20"/>
              </w:rPr>
              <w:t xml:space="preserve"> (the TAG database)</w:t>
            </w:r>
            <w:r w:rsidRPr="00CC1ADD">
              <w:rPr>
                <w:rFonts w:cstheme="minorHAnsi"/>
                <w:color w:val="000000" w:themeColor="text1"/>
                <w:szCs w:val="20"/>
              </w:rPr>
              <w:t>. The intention of scaling is to distribute products within each category across the range of HSRs available (i.e. from 0.5-5.0), thereby providing greater differentiation between rankings.</w:t>
            </w:r>
          </w:p>
          <w:p w14:paraId="1A1373FE" w14:textId="77777777" w:rsidR="004F7D86" w:rsidRPr="00CC1ADD" w:rsidRDefault="004F7D86">
            <w:pPr>
              <w:pStyle w:val="mpctabletext"/>
              <w:spacing w:before="60" w:after="60"/>
              <w:rPr>
                <w:rFonts w:cstheme="minorHAnsi"/>
                <w:color w:val="000000" w:themeColor="text1"/>
                <w:szCs w:val="20"/>
              </w:rPr>
            </w:pPr>
            <w:r w:rsidRPr="00CC1ADD">
              <w:rPr>
                <w:rFonts w:cstheme="minorHAnsi"/>
                <w:color w:val="000000" w:themeColor="text1"/>
                <w:szCs w:val="20"/>
              </w:rPr>
              <w:t xml:space="preserve">HSR categories could be rescaled to redistribute products according to their relative nutrient content if a new distribution of products displays less differentiation. </w:t>
            </w:r>
          </w:p>
        </w:tc>
      </w:tr>
      <w:tr w:rsidR="004F7D86" w:rsidRPr="00CC1ADD" w14:paraId="6E0E227D" w14:textId="77777777" w:rsidTr="004F7D86">
        <w:tc>
          <w:tcPr>
            <w:tcW w:w="1017" w:type="pct"/>
          </w:tcPr>
          <w:p w14:paraId="26E9C2BC" w14:textId="77777777" w:rsidR="004F7D86" w:rsidRPr="00CC1ADD" w:rsidRDefault="004F7D86" w:rsidP="005A3631">
            <w:pPr>
              <w:rPr>
                <w:rFonts w:cstheme="minorHAnsi"/>
                <w:b/>
                <w:sz w:val="20"/>
                <w:szCs w:val="20"/>
              </w:rPr>
            </w:pPr>
            <w:r w:rsidRPr="00CC1ADD">
              <w:rPr>
                <w:rFonts w:cstheme="minorHAnsi"/>
                <w:b/>
                <w:sz w:val="20"/>
                <w:szCs w:val="20"/>
              </w:rPr>
              <w:t>Social Marketing Advisory Group (SMAG)</w:t>
            </w:r>
          </w:p>
        </w:tc>
        <w:tc>
          <w:tcPr>
            <w:tcW w:w="3983" w:type="pct"/>
          </w:tcPr>
          <w:p w14:paraId="70E075A5" w14:textId="5024C47F" w:rsidR="004F7D86" w:rsidRPr="00CC1ADD" w:rsidRDefault="004F7D86">
            <w:pPr>
              <w:rPr>
                <w:rFonts w:cstheme="minorHAnsi"/>
                <w:color w:val="000000" w:themeColor="text1"/>
                <w:sz w:val="20"/>
                <w:szCs w:val="20"/>
              </w:rPr>
            </w:pPr>
            <w:r w:rsidRPr="00CC1ADD">
              <w:rPr>
                <w:rFonts w:cstheme="minorHAnsi"/>
                <w:color w:val="000000" w:themeColor="text1"/>
                <w:sz w:val="20"/>
                <w:szCs w:val="20"/>
              </w:rPr>
              <w:t xml:space="preserve">An advisory group that provides advice on communications on the HSR System, including campaigns and social marketing. </w:t>
            </w:r>
            <w:r w:rsidR="0086701F" w:rsidRPr="00CC1ADD">
              <w:rPr>
                <w:rFonts w:cstheme="minorHAnsi"/>
                <w:color w:val="000000" w:themeColor="text1"/>
                <w:sz w:val="20"/>
                <w:szCs w:val="20"/>
              </w:rPr>
              <w:t>C</w:t>
            </w:r>
            <w:r w:rsidRPr="00CC1ADD">
              <w:rPr>
                <w:rFonts w:cstheme="minorHAnsi"/>
                <w:color w:val="000000" w:themeColor="text1"/>
                <w:sz w:val="20"/>
                <w:szCs w:val="20"/>
              </w:rPr>
              <w:t xml:space="preserve">onsists of representatives from </w:t>
            </w:r>
            <w:r w:rsidR="0086701F" w:rsidRPr="00CC1ADD">
              <w:rPr>
                <w:rFonts w:cstheme="minorHAnsi"/>
                <w:color w:val="000000" w:themeColor="text1"/>
                <w:sz w:val="20"/>
                <w:szCs w:val="20"/>
              </w:rPr>
              <w:t xml:space="preserve">government, </w:t>
            </w:r>
            <w:r w:rsidRPr="00CC1ADD">
              <w:rPr>
                <w:rFonts w:cstheme="minorHAnsi"/>
                <w:color w:val="000000" w:themeColor="text1"/>
                <w:sz w:val="20"/>
                <w:szCs w:val="20"/>
              </w:rPr>
              <w:t>the food industry, public health and consumer representatives with expertise in social marketing.</w:t>
            </w:r>
          </w:p>
        </w:tc>
      </w:tr>
      <w:tr w:rsidR="004F7D86" w:rsidRPr="00CC1ADD" w14:paraId="35A4EC44" w14:textId="77777777" w:rsidTr="004F7D86">
        <w:tc>
          <w:tcPr>
            <w:tcW w:w="1017" w:type="pct"/>
          </w:tcPr>
          <w:p w14:paraId="2F4E16D0" w14:textId="77777777" w:rsidR="004F7D86" w:rsidRPr="00CC1ADD" w:rsidRDefault="004F7D86" w:rsidP="005A3631">
            <w:pPr>
              <w:rPr>
                <w:rFonts w:cstheme="minorHAnsi"/>
                <w:b/>
                <w:sz w:val="20"/>
                <w:szCs w:val="20"/>
              </w:rPr>
            </w:pPr>
            <w:r w:rsidRPr="00CC1ADD">
              <w:rPr>
                <w:rFonts w:cstheme="minorHAnsi"/>
                <w:b/>
                <w:sz w:val="20"/>
                <w:szCs w:val="20"/>
              </w:rPr>
              <w:t>Technical Advisory Group (TAG)</w:t>
            </w:r>
          </w:p>
        </w:tc>
        <w:tc>
          <w:tcPr>
            <w:tcW w:w="3983" w:type="pct"/>
          </w:tcPr>
          <w:p w14:paraId="61CDF7B6" w14:textId="236AACAD" w:rsidR="004F7D86" w:rsidRPr="00CC1ADD" w:rsidRDefault="004F7D86">
            <w:pPr>
              <w:rPr>
                <w:rFonts w:cstheme="minorHAnsi"/>
                <w:sz w:val="20"/>
                <w:szCs w:val="20"/>
              </w:rPr>
            </w:pPr>
            <w:r w:rsidRPr="00CC1ADD">
              <w:rPr>
                <w:rFonts w:cstheme="minorHAnsi"/>
                <w:sz w:val="20"/>
                <w:szCs w:val="20"/>
              </w:rPr>
              <w:t xml:space="preserve">The </w:t>
            </w:r>
            <w:hyperlink r:id="rId161" w:history="1">
              <w:r w:rsidRPr="00CC1ADD">
                <w:rPr>
                  <w:rStyle w:val="Hyperlink"/>
                  <w:rFonts w:cstheme="minorHAnsi"/>
                  <w:sz w:val="20"/>
                  <w:szCs w:val="20"/>
                </w:rPr>
                <w:t>TAG</w:t>
              </w:r>
            </w:hyperlink>
            <w:r w:rsidRPr="00CC1ADD">
              <w:rPr>
                <w:rFonts w:cstheme="minorHAnsi"/>
                <w:sz w:val="20"/>
                <w:szCs w:val="20"/>
              </w:rPr>
              <w:t xml:space="preserve"> </w:t>
            </w:r>
            <w:r w:rsidR="00DE336D">
              <w:rPr>
                <w:rFonts w:cstheme="minorHAnsi"/>
                <w:sz w:val="20"/>
                <w:szCs w:val="20"/>
              </w:rPr>
              <w:t>consisted</w:t>
            </w:r>
            <w:r w:rsidRPr="00CC1ADD">
              <w:rPr>
                <w:rFonts w:cstheme="minorHAnsi"/>
                <w:sz w:val="20"/>
                <w:szCs w:val="20"/>
              </w:rPr>
              <w:t xml:space="preserve"> of a tripartite (government, food industry, public health) group of experts with relevant technical skills. The TAG</w:t>
            </w:r>
            <w:r w:rsidR="00DE336D">
              <w:rPr>
                <w:rFonts w:cstheme="minorHAnsi"/>
                <w:sz w:val="20"/>
                <w:szCs w:val="20"/>
              </w:rPr>
              <w:t xml:space="preserve"> provided technical advice to the HSRAC regarding the HSR Calculator (mainly to inform the Review) and has now been disbanded.</w:t>
            </w:r>
          </w:p>
        </w:tc>
      </w:tr>
      <w:tr w:rsidR="004F7D86" w:rsidRPr="00CC1ADD" w14:paraId="1B40493A" w14:textId="77777777" w:rsidTr="004F7D86">
        <w:tc>
          <w:tcPr>
            <w:tcW w:w="1017" w:type="pct"/>
          </w:tcPr>
          <w:p w14:paraId="1308BCCE" w14:textId="77777777" w:rsidR="004F7D86" w:rsidRPr="00CC1ADD" w:rsidRDefault="004F7D86" w:rsidP="005A3631">
            <w:pPr>
              <w:rPr>
                <w:rFonts w:cstheme="minorHAnsi"/>
                <w:b/>
                <w:sz w:val="20"/>
                <w:szCs w:val="20"/>
              </w:rPr>
            </w:pPr>
            <w:r w:rsidRPr="00CC1ADD">
              <w:rPr>
                <w:rFonts w:cstheme="minorHAnsi"/>
                <w:b/>
                <w:sz w:val="20"/>
                <w:szCs w:val="20"/>
              </w:rPr>
              <w:t>UK Nutrient Profiling Model (NPM)</w:t>
            </w:r>
          </w:p>
        </w:tc>
        <w:tc>
          <w:tcPr>
            <w:tcW w:w="3983" w:type="pct"/>
          </w:tcPr>
          <w:p w14:paraId="513FE4FB" w14:textId="3580DCAD" w:rsidR="004F7D86" w:rsidRPr="00CC1ADD" w:rsidRDefault="004F7D86">
            <w:pPr>
              <w:rPr>
                <w:rFonts w:cstheme="minorHAnsi"/>
                <w:sz w:val="20"/>
                <w:szCs w:val="20"/>
              </w:rPr>
            </w:pPr>
            <w:r w:rsidRPr="00CC1ADD">
              <w:rPr>
                <w:rFonts w:cstheme="minorHAnsi"/>
                <w:sz w:val="20"/>
                <w:szCs w:val="20"/>
              </w:rPr>
              <w:t xml:space="preserve">A tool developed in 2004 by the Food Standards Agency in the United Kingdom </w:t>
            </w:r>
            <w:r w:rsidR="000D64E2">
              <w:rPr>
                <w:rFonts w:cstheme="minorHAnsi"/>
                <w:sz w:val="20"/>
                <w:szCs w:val="20"/>
              </w:rPr>
              <w:t xml:space="preserve">as a tool to enable the Office of Communications (Ofcom), the UK broadcast regular </w:t>
            </w:r>
            <w:r w:rsidRPr="00CC1ADD">
              <w:rPr>
                <w:rFonts w:cstheme="minorHAnsi"/>
                <w:sz w:val="20"/>
                <w:szCs w:val="20"/>
              </w:rPr>
              <w:t>to identify the ‘less healthy’ food and drinks subject to restrictions during children’s television programming.</w:t>
            </w:r>
          </w:p>
        </w:tc>
      </w:tr>
      <w:tr w:rsidR="004F7D86" w:rsidRPr="00CC1ADD" w14:paraId="67D5DDD9" w14:textId="77777777" w:rsidTr="004F7D86">
        <w:tc>
          <w:tcPr>
            <w:tcW w:w="1017" w:type="pct"/>
          </w:tcPr>
          <w:p w14:paraId="0C45F9F5" w14:textId="77777777" w:rsidR="004F7D86" w:rsidRPr="00CC1ADD" w:rsidRDefault="004F7D86" w:rsidP="005A3631">
            <w:pPr>
              <w:rPr>
                <w:rFonts w:cstheme="minorHAnsi"/>
                <w:b/>
                <w:sz w:val="20"/>
                <w:szCs w:val="20"/>
              </w:rPr>
            </w:pPr>
            <w:r w:rsidRPr="00CC1ADD">
              <w:rPr>
                <w:rFonts w:cstheme="minorHAnsi"/>
                <w:b/>
                <w:sz w:val="20"/>
                <w:szCs w:val="20"/>
              </w:rPr>
              <w:t>World Health Organization (WHO)</w:t>
            </w:r>
          </w:p>
        </w:tc>
        <w:tc>
          <w:tcPr>
            <w:tcW w:w="3983" w:type="pct"/>
          </w:tcPr>
          <w:p w14:paraId="7392F535" w14:textId="77777777" w:rsidR="004F7D86" w:rsidRPr="00CC1ADD" w:rsidRDefault="004F7D86">
            <w:pPr>
              <w:rPr>
                <w:rFonts w:cstheme="minorHAnsi"/>
                <w:sz w:val="20"/>
                <w:szCs w:val="20"/>
              </w:rPr>
            </w:pPr>
            <w:r w:rsidRPr="00CC1ADD">
              <w:rPr>
                <w:rFonts w:cstheme="minorHAnsi"/>
                <w:sz w:val="20"/>
                <w:szCs w:val="20"/>
              </w:rPr>
              <w:t>WHO is the directing and coordinating authority on international health within the United Nations’ system.</w:t>
            </w:r>
          </w:p>
        </w:tc>
      </w:tr>
    </w:tbl>
    <w:p w14:paraId="12ACC7BE" w14:textId="77777777" w:rsidR="004F7D86" w:rsidRPr="00CC1ADD" w:rsidRDefault="004F7D86" w:rsidP="005A3631">
      <w:pPr>
        <w:tabs>
          <w:tab w:val="left" w:pos="2960"/>
        </w:tabs>
      </w:pPr>
    </w:p>
    <w:p w14:paraId="64F1E09E" w14:textId="749C058A" w:rsidR="004F7D86" w:rsidRPr="00CC1ADD" w:rsidRDefault="004F7D86" w:rsidP="0017608D">
      <w:pPr>
        <w:pStyle w:val="mpcNormal"/>
        <w:keepNext w:val="0"/>
        <w:sectPr w:rsidR="004F7D86" w:rsidRPr="00CC1ADD" w:rsidSect="00B36208">
          <w:pgSz w:w="11900" w:h="16840"/>
          <w:pgMar w:top="1304" w:right="1077" w:bottom="1304" w:left="1077" w:header="709" w:footer="709" w:gutter="0"/>
          <w:cols w:space="708"/>
          <w:docGrid w:linePitch="360"/>
        </w:sectPr>
      </w:pPr>
    </w:p>
    <w:p w14:paraId="561B4711" w14:textId="58ED495B" w:rsidR="00C52B5B" w:rsidRPr="001D028A" w:rsidRDefault="00DB42F9" w:rsidP="00C52B5B">
      <w:pPr>
        <w:pStyle w:val="mpcheading1"/>
        <w:rPr>
          <w:rFonts w:cstheme="minorHAnsi"/>
          <w:sz w:val="20"/>
          <w:szCs w:val="20"/>
        </w:rPr>
      </w:pPr>
      <w:bookmarkStart w:id="205" w:name="Bibliography"/>
      <w:bookmarkStart w:id="206" w:name="_Toc9955097"/>
      <w:bookmarkEnd w:id="205"/>
      <w:r w:rsidRPr="00CC1ADD">
        <w:t>Bibliography</w:t>
      </w:r>
      <w:bookmarkEnd w:id="206"/>
    </w:p>
    <w:p w14:paraId="6F8247DE"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Technical Advisory Group technical papers, October 2018</w:t>
      </w:r>
    </w:p>
    <w:p w14:paraId="740BF0AD" w14:textId="77777777" w:rsidR="00C52B5B" w:rsidRPr="001D028A" w:rsidRDefault="00C52B5B" w:rsidP="00C52B5B">
      <w:pPr>
        <w:pStyle w:val="mpcNormal"/>
        <w:keepNext w:val="0"/>
        <w:rPr>
          <w:sz w:val="20"/>
          <w:szCs w:val="20"/>
        </w:rPr>
      </w:pPr>
    </w:p>
    <w:p w14:paraId="091D25BF"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Alignment of the HSR system with the Australian and New Zealand Dietary Guidelines: Analysis of alignment and identification of outliers</w:t>
      </w:r>
    </w:p>
    <w:p w14:paraId="3E3DBE78"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Calcium</w:t>
      </w:r>
    </w:p>
    <w:p w14:paraId="61C0D044"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Confectionery</w:t>
      </w:r>
    </w:p>
    <w:p w14:paraId="3D02B644"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Fats, oils and oil-based spreads</w:t>
      </w:r>
    </w:p>
    <w:p w14:paraId="2C172852"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Fibre</w:t>
      </w:r>
    </w:p>
    <w:p w14:paraId="0F728E8F"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Fruit, vegetable, nut and legume content</w:t>
      </w:r>
    </w:p>
    <w:p w14:paraId="38D3C357"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Glossary</w:t>
      </w:r>
    </w:p>
    <w:p w14:paraId="2EF9ADB5"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History and development of the HSR algorithm</w:t>
      </w:r>
    </w:p>
    <w:p w14:paraId="3B89CF12"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Ice confection, jelly and frozen milk products</w:t>
      </w:r>
    </w:p>
    <w:p w14:paraId="30D9C8F8"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Non-dairy beverages</w:t>
      </w:r>
    </w:p>
    <w:p w14:paraId="2DFFAD5C"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Protein</w:t>
      </w:r>
    </w:p>
    <w:p w14:paraId="44AA5F0A"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Salty snacks and hot potato products</w:t>
      </w:r>
    </w:p>
    <w:p w14:paraId="570CDA73"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Saturated fat</w:t>
      </w:r>
    </w:p>
    <w:p w14:paraId="2325431F"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Snack bars</w:t>
      </w:r>
    </w:p>
    <w:p w14:paraId="678CD1D4"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Sodium</w:t>
      </w:r>
    </w:p>
    <w:p w14:paraId="205A9C7E"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Sugars (added and total)</w:t>
      </w:r>
    </w:p>
    <w:p w14:paraId="4F324585"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Unprocessed fruits and vegetables</w:t>
      </w:r>
    </w:p>
    <w:p w14:paraId="56A1DE8D" w14:textId="77777777" w:rsidR="00C52B5B" w:rsidRPr="001D028A" w:rsidRDefault="00C52B5B" w:rsidP="00901C53">
      <w:pPr>
        <w:pStyle w:val="mpcNormal"/>
        <w:keepNext w:val="0"/>
        <w:numPr>
          <w:ilvl w:val="0"/>
          <w:numId w:val="32"/>
        </w:numPr>
        <w:rPr>
          <w:sz w:val="20"/>
          <w:szCs w:val="20"/>
          <w:lang w:val="en-GB"/>
        </w:rPr>
      </w:pPr>
      <w:r w:rsidRPr="001D028A">
        <w:rPr>
          <w:sz w:val="20"/>
          <w:szCs w:val="20"/>
          <w:lang w:val="en-GB"/>
        </w:rPr>
        <w:t>Wholegrain</w:t>
      </w:r>
    </w:p>
    <w:p w14:paraId="1AE39BE5" w14:textId="77777777" w:rsidR="00C52B5B" w:rsidRPr="001D028A" w:rsidRDefault="00C52B5B" w:rsidP="00C52B5B">
      <w:pPr>
        <w:pStyle w:val="mpcNormal"/>
        <w:keepNext w:val="0"/>
        <w:rPr>
          <w:sz w:val="20"/>
          <w:szCs w:val="20"/>
          <w:lang w:val="en-GB"/>
        </w:rPr>
      </w:pPr>
    </w:p>
    <w:p w14:paraId="28E05D69" w14:textId="77777777" w:rsidR="00C52B5B" w:rsidRPr="001D028A" w:rsidRDefault="00C52B5B" w:rsidP="00C52B5B">
      <w:pPr>
        <w:pStyle w:val="mpcNormal"/>
        <w:keepNext w:val="0"/>
        <w:rPr>
          <w:sz w:val="20"/>
          <w:szCs w:val="20"/>
          <w:lang w:val="en-GB"/>
        </w:rPr>
      </w:pPr>
      <w:r w:rsidRPr="001D028A">
        <w:rPr>
          <w:sz w:val="20"/>
          <w:szCs w:val="20"/>
          <w:lang w:val="en-GB"/>
        </w:rPr>
        <w:t>Additional modelling and data provided by the TAG as requested.</w:t>
      </w:r>
    </w:p>
    <w:p w14:paraId="426C47FB" w14:textId="77777777" w:rsidR="00C52B5B" w:rsidRPr="001D028A" w:rsidRDefault="00C52B5B" w:rsidP="00C52B5B">
      <w:pPr>
        <w:pStyle w:val="mpcNormal"/>
        <w:keepNext w:val="0"/>
        <w:rPr>
          <w:sz w:val="20"/>
          <w:szCs w:val="20"/>
        </w:rPr>
      </w:pPr>
    </w:p>
    <w:p w14:paraId="4F1242EC"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National data and statistics</w:t>
      </w:r>
    </w:p>
    <w:p w14:paraId="0A9E304E" w14:textId="77777777" w:rsidR="00C52B5B" w:rsidRPr="001D028A" w:rsidRDefault="00C52B5B" w:rsidP="00C52B5B">
      <w:pPr>
        <w:pStyle w:val="mpcNormal"/>
        <w:keepNext w:val="0"/>
        <w:rPr>
          <w:sz w:val="20"/>
          <w:szCs w:val="20"/>
        </w:rPr>
      </w:pPr>
    </w:p>
    <w:p w14:paraId="71AFC845" w14:textId="77777777" w:rsidR="00C52B5B" w:rsidRPr="001D028A" w:rsidRDefault="00C52B5B" w:rsidP="003272AE">
      <w:pPr>
        <w:pStyle w:val="FootnoteText"/>
      </w:pPr>
      <w:r w:rsidRPr="001D028A">
        <w:t xml:space="preserve">Australian Bureau of Statistics, </w:t>
      </w:r>
      <w:r w:rsidRPr="001D028A">
        <w:rPr>
          <w:i/>
        </w:rPr>
        <w:t>Australian Health Survey 2011-12.</w:t>
      </w:r>
    </w:p>
    <w:p w14:paraId="7FA2F826" w14:textId="77777777" w:rsidR="00C52B5B" w:rsidRPr="001D028A" w:rsidRDefault="00C52B5B" w:rsidP="00C52B5B">
      <w:pPr>
        <w:pStyle w:val="NoSpacing"/>
        <w:rPr>
          <w:rFonts w:cstheme="minorHAnsi"/>
          <w:sz w:val="20"/>
          <w:szCs w:val="20"/>
          <w:lang w:val="en-GB"/>
        </w:rPr>
      </w:pPr>
    </w:p>
    <w:p w14:paraId="2A16B80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cstheme="minorHAnsi"/>
          <w:i/>
          <w:iCs/>
          <w:sz w:val="20"/>
          <w:szCs w:val="20"/>
          <w:lang w:val="en-GB"/>
        </w:rPr>
        <w:t>Australian Health Survey: Consumption of Added Sugars</w:t>
      </w:r>
      <w:r w:rsidRPr="001D028A">
        <w:rPr>
          <w:rFonts w:cstheme="minorHAnsi"/>
          <w:sz w:val="20"/>
          <w:szCs w:val="20"/>
          <w:lang w:val="en-GB"/>
        </w:rPr>
        <w:t>, 2011-12.</w:t>
      </w:r>
    </w:p>
    <w:p w14:paraId="449E9F83" w14:textId="77777777" w:rsidR="00C52B5B" w:rsidRPr="001D028A" w:rsidRDefault="00C52B5B" w:rsidP="003272AE">
      <w:pPr>
        <w:pStyle w:val="FootnoteText"/>
      </w:pPr>
    </w:p>
    <w:p w14:paraId="145A3C8F"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cstheme="minorHAnsi"/>
          <w:i/>
          <w:iCs/>
          <w:sz w:val="20"/>
          <w:szCs w:val="20"/>
          <w:lang w:val="en-GB"/>
        </w:rPr>
        <w:t>Australian Health Survey: Consumption of food groups from the Australian Dietary Guidelines Australia 2011-12.</w:t>
      </w:r>
    </w:p>
    <w:p w14:paraId="64D1F6DD" w14:textId="77777777" w:rsidR="00C52B5B" w:rsidRPr="001D028A" w:rsidRDefault="00C52B5B" w:rsidP="00C52B5B">
      <w:pPr>
        <w:pStyle w:val="NoSpacing"/>
        <w:rPr>
          <w:rFonts w:cstheme="minorHAnsi"/>
          <w:sz w:val="20"/>
          <w:szCs w:val="20"/>
          <w:lang w:val="en-GB"/>
        </w:rPr>
      </w:pPr>
    </w:p>
    <w:p w14:paraId="65F86FF9"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Australian Bureau of Statistics, </w:t>
      </w:r>
      <w:r w:rsidRPr="001D028A">
        <w:rPr>
          <w:rFonts w:cstheme="minorHAnsi"/>
          <w:i/>
          <w:sz w:val="20"/>
          <w:szCs w:val="20"/>
          <w:lang w:val="en-GB"/>
        </w:rPr>
        <w:t>National Health Survey: First Results, 2014-15.</w:t>
      </w:r>
    </w:p>
    <w:p w14:paraId="06EC8EAF" w14:textId="77777777" w:rsidR="00C52B5B" w:rsidRPr="001D028A" w:rsidRDefault="00C52B5B" w:rsidP="00C52B5B">
      <w:pPr>
        <w:pStyle w:val="NoSpacing"/>
        <w:rPr>
          <w:rFonts w:cstheme="minorHAnsi"/>
          <w:i/>
          <w:sz w:val="20"/>
          <w:szCs w:val="20"/>
          <w:lang w:val="en-GB"/>
        </w:rPr>
      </w:pPr>
    </w:p>
    <w:p w14:paraId="3C2A804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eastAsia="Times New Roman" w:cstheme="minorHAnsi"/>
          <w:bCs/>
          <w:i/>
          <w:color w:val="000000"/>
          <w:sz w:val="20"/>
          <w:szCs w:val="20"/>
          <w:shd w:val="clear" w:color="auto" w:fill="FFFFFF"/>
        </w:rPr>
        <w:t>National Health Survey: First Results, 2017-18, Fruit and vegetable consumption</w:t>
      </w:r>
    </w:p>
    <w:p w14:paraId="4588002E" w14:textId="77777777" w:rsidR="00C52B5B" w:rsidRPr="001D028A" w:rsidRDefault="00C52B5B" w:rsidP="00C52B5B">
      <w:pPr>
        <w:pStyle w:val="NoSpacing"/>
        <w:rPr>
          <w:rFonts w:cstheme="minorHAnsi"/>
          <w:sz w:val="20"/>
          <w:szCs w:val="20"/>
          <w:lang w:val="en-GB"/>
        </w:rPr>
      </w:pPr>
    </w:p>
    <w:p w14:paraId="0D7BBD21"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Australian Bureau of Statistics</w:t>
      </w:r>
      <w:r w:rsidRPr="001D028A">
        <w:rPr>
          <w:rFonts w:cstheme="minorHAnsi"/>
          <w:sz w:val="20"/>
          <w:szCs w:val="20"/>
        </w:rPr>
        <w:t xml:space="preserve">, </w:t>
      </w:r>
      <w:r w:rsidRPr="001D028A">
        <w:rPr>
          <w:rFonts w:cstheme="minorHAnsi"/>
          <w:i/>
          <w:sz w:val="20"/>
          <w:szCs w:val="20"/>
        </w:rPr>
        <w:t>Australian Health Survey: Users' Guide, 2011-13, Discretionary Foods.</w:t>
      </w:r>
    </w:p>
    <w:p w14:paraId="5F135B5A" w14:textId="77777777" w:rsidR="00C52B5B" w:rsidRPr="001D028A" w:rsidRDefault="00C52B5B" w:rsidP="00C52B5B">
      <w:pPr>
        <w:pStyle w:val="NoSpacing"/>
        <w:rPr>
          <w:rFonts w:cstheme="minorHAnsi"/>
          <w:b/>
          <w:bCs/>
          <w:sz w:val="20"/>
          <w:szCs w:val="20"/>
          <w:u w:val="single"/>
          <w:lang w:val="en-GB"/>
        </w:rPr>
      </w:pPr>
    </w:p>
    <w:p w14:paraId="04A466A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Bureau of Statistics, </w:t>
      </w:r>
      <w:r w:rsidRPr="001D028A">
        <w:rPr>
          <w:rFonts w:cstheme="minorHAnsi"/>
          <w:i/>
          <w:iCs/>
          <w:sz w:val="20"/>
          <w:szCs w:val="20"/>
          <w:lang w:val="en-GB"/>
        </w:rPr>
        <w:t>Australian Health Survey: Usual Nutrient Intakes</w:t>
      </w:r>
      <w:r w:rsidRPr="001D028A">
        <w:rPr>
          <w:rFonts w:cstheme="minorHAnsi"/>
          <w:i/>
          <w:sz w:val="20"/>
          <w:szCs w:val="20"/>
          <w:lang w:val="en-GB"/>
        </w:rPr>
        <w:t>, 2011-12</w:t>
      </w:r>
      <w:r w:rsidRPr="001D028A">
        <w:rPr>
          <w:rFonts w:cstheme="minorHAnsi"/>
          <w:sz w:val="20"/>
          <w:szCs w:val="20"/>
          <w:lang w:val="en-GB"/>
        </w:rPr>
        <w:t>.</w:t>
      </w:r>
    </w:p>
    <w:p w14:paraId="32032881" w14:textId="77777777" w:rsidR="00C52B5B" w:rsidRPr="001D028A" w:rsidRDefault="00C52B5B" w:rsidP="003272AE">
      <w:pPr>
        <w:pStyle w:val="FootnoteText"/>
      </w:pPr>
    </w:p>
    <w:p w14:paraId="3E359ECD"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Ministry of Health, </w:t>
      </w:r>
      <w:r w:rsidRPr="001D028A">
        <w:rPr>
          <w:rFonts w:cstheme="minorHAnsi"/>
          <w:i/>
          <w:sz w:val="20"/>
          <w:szCs w:val="20"/>
        </w:rPr>
        <w:t>A Focus on Nutrition: Key Findings of the 2008/09 New Zealand Adult Nutrition Survey.</w:t>
      </w:r>
    </w:p>
    <w:p w14:paraId="2A19F252" w14:textId="77777777" w:rsidR="00C52B5B" w:rsidRPr="001D028A" w:rsidRDefault="00C52B5B" w:rsidP="00C52B5B">
      <w:pPr>
        <w:pStyle w:val="NoSpacing"/>
        <w:rPr>
          <w:rFonts w:cstheme="minorHAnsi"/>
          <w:b/>
          <w:bCs/>
          <w:sz w:val="20"/>
          <w:szCs w:val="20"/>
          <w:u w:val="single"/>
          <w:lang w:val="en-GB"/>
        </w:rPr>
      </w:pPr>
    </w:p>
    <w:p w14:paraId="4071F115"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Dietary Guidelines</w:t>
      </w:r>
    </w:p>
    <w:p w14:paraId="6E3A7C6E" w14:textId="77777777" w:rsidR="00C52B5B" w:rsidRPr="001D028A" w:rsidRDefault="00C52B5B" w:rsidP="00C52B5B">
      <w:pPr>
        <w:pStyle w:val="mpcNormal"/>
        <w:keepNext w:val="0"/>
        <w:rPr>
          <w:sz w:val="20"/>
          <w:szCs w:val="20"/>
        </w:rPr>
      </w:pPr>
    </w:p>
    <w:p w14:paraId="54C484F1" w14:textId="77777777" w:rsidR="00C52B5B" w:rsidRPr="001D028A" w:rsidRDefault="00C52B5B" w:rsidP="00C52B5B">
      <w:pPr>
        <w:rPr>
          <w:rFonts w:cstheme="minorHAnsi"/>
          <w:sz w:val="20"/>
          <w:szCs w:val="20"/>
        </w:rPr>
      </w:pPr>
      <w:r w:rsidRPr="001D028A">
        <w:rPr>
          <w:rFonts w:cstheme="minorHAnsi"/>
          <w:sz w:val="20"/>
          <w:szCs w:val="20"/>
        </w:rPr>
        <w:t xml:space="preserve">Ministry of Health New Zealand, </w:t>
      </w:r>
      <w:hyperlink r:id="rId162" w:history="1">
        <w:r w:rsidRPr="001D028A">
          <w:rPr>
            <w:rStyle w:val="Hyperlink"/>
            <w:rFonts w:cstheme="minorHAnsi"/>
            <w:i/>
            <w:iCs/>
            <w:sz w:val="20"/>
            <w:szCs w:val="20"/>
          </w:rPr>
          <w:t>Eating and Activity Guidelines for New Zealand Adults</w:t>
        </w:r>
      </w:hyperlink>
    </w:p>
    <w:p w14:paraId="122CEA7E" w14:textId="77777777" w:rsidR="00C52B5B" w:rsidRPr="001D028A" w:rsidRDefault="00C52B5B" w:rsidP="00C52B5B">
      <w:pPr>
        <w:pStyle w:val="mpcNormal"/>
        <w:keepNext w:val="0"/>
        <w:rPr>
          <w:sz w:val="20"/>
          <w:szCs w:val="20"/>
        </w:rPr>
      </w:pPr>
    </w:p>
    <w:p w14:paraId="602CAE8D" w14:textId="77777777" w:rsidR="00C52B5B" w:rsidRPr="001D028A" w:rsidRDefault="00C52B5B" w:rsidP="003272AE">
      <w:pPr>
        <w:pStyle w:val="FootnoteText"/>
      </w:pPr>
      <w:r w:rsidRPr="001D028A">
        <w:t xml:space="preserve">National Health and Medical Research Council 2013, </w:t>
      </w:r>
      <w:hyperlink r:id="rId163" w:history="1">
        <w:r w:rsidRPr="001D028A">
          <w:rPr>
            <w:rStyle w:val="Hyperlink"/>
            <w:rFonts w:cstheme="minorHAnsi"/>
            <w:i/>
          </w:rPr>
          <w:t>Australian Dietary Guidelines – Providing the scientific evidence for healthier Australian diets</w:t>
        </w:r>
      </w:hyperlink>
      <w:r w:rsidRPr="001D028A">
        <w:t>, Canberra.</w:t>
      </w:r>
    </w:p>
    <w:p w14:paraId="2D313BB4" w14:textId="77777777" w:rsidR="00C52B5B" w:rsidRPr="001D028A" w:rsidRDefault="00C52B5B" w:rsidP="003272AE">
      <w:pPr>
        <w:pStyle w:val="FootnoteText"/>
      </w:pPr>
    </w:p>
    <w:p w14:paraId="54CC321E"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World Health Organization 2015, </w:t>
      </w:r>
      <w:hyperlink r:id="rId164" w:history="1">
        <w:r w:rsidRPr="001D028A">
          <w:rPr>
            <w:rStyle w:val="Hyperlink"/>
            <w:rFonts w:cstheme="minorHAnsi"/>
            <w:i/>
            <w:iCs/>
            <w:sz w:val="20"/>
            <w:szCs w:val="20"/>
          </w:rPr>
          <w:t>Guideline: Sugars intake for adults and children</w:t>
        </w:r>
      </w:hyperlink>
      <w:r w:rsidRPr="001D028A">
        <w:rPr>
          <w:rFonts w:cstheme="minorHAnsi"/>
          <w:sz w:val="20"/>
          <w:szCs w:val="20"/>
        </w:rPr>
        <w:t>, Geneva.</w:t>
      </w:r>
    </w:p>
    <w:p w14:paraId="38AB9EE9" w14:textId="77777777" w:rsidR="00C52B5B" w:rsidRPr="001D028A" w:rsidRDefault="00C52B5B" w:rsidP="00C52B5B">
      <w:pPr>
        <w:pStyle w:val="mpcNormal"/>
        <w:keepNext w:val="0"/>
        <w:rPr>
          <w:sz w:val="20"/>
          <w:szCs w:val="20"/>
        </w:rPr>
      </w:pPr>
    </w:p>
    <w:p w14:paraId="2AFC2DB5" w14:textId="77777777" w:rsidR="00C52B5B" w:rsidRPr="001D028A" w:rsidRDefault="00C52B5B" w:rsidP="00C52B5B">
      <w:pPr>
        <w:pStyle w:val="mpcheading4"/>
        <w:rPr>
          <w:rFonts w:cstheme="minorHAnsi"/>
          <w:sz w:val="20"/>
          <w:szCs w:val="20"/>
        </w:rPr>
      </w:pPr>
      <w:r w:rsidRPr="001D028A">
        <w:rPr>
          <w:rFonts w:cstheme="minorHAnsi"/>
          <w:sz w:val="20"/>
          <w:szCs w:val="20"/>
        </w:rPr>
        <w:t xml:space="preserve">Monitoring and evaluation </w:t>
      </w:r>
    </w:p>
    <w:p w14:paraId="27724329" w14:textId="77777777" w:rsidR="00C52B5B" w:rsidRPr="001D028A" w:rsidRDefault="00C52B5B" w:rsidP="00C52B5B">
      <w:pPr>
        <w:pStyle w:val="NoSpacing"/>
        <w:keepNext/>
        <w:rPr>
          <w:rFonts w:cstheme="minorHAnsi"/>
          <w:sz w:val="20"/>
          <w:szCs w:val="20"/>
          <w:lang w:val="en-GB"/>
        </w:rPr>
      </w:pPr>
    </w:p>
    <w:p w14:paraId="65873D88" w14:textId="77777777" w:rsidR="00C52B5B" w:rsidRPr="001D028A" w:rsidRDefault="00C52B5B" w:rsidP="00C52B5B">
      <w:pPr>
        <w:pStyle w:val="NoSpacing"/>
        <w:keepNext/>
        <w:rPr>
          <w:rFonts w:cstheme="minorHAnsi"/>
          <w:sz w:val="20"/>
          <w:szCs w:val="20"/>
          <w:lang w:val="en-GB"/>
        </w:rPr>
      </w:pPr>
      <w:r w:rsidRPr="001D028A">
        <w:rPr>
          <w:rFonts w:cstheme="minorHAnsi"/>
          <w:sz w:val="20"/>
          <w:szCs w:val="20"/>
        </w:rPr>
        <w:t xml:space="preserve">Brown, G 2017, </w:t>
      </w:r>
      <w:r w:rsidRPr="001D028A">
        <w:rPr>
          <w:rFonts w:cstheme="minorHAnsi"/>
          <w:i/>
          <w:sz w:val="20"/>
          <w:szCs w:val="20"/>
        </w:rPr>
        <w:t>Health Star Rating System: Campaign Evaluation Report June 2017,</w:t>
      </w:r>
      <w:r w:rsidRPr="001D028A">
        <w:rPr>
          <w:rFonts w:cstheme="minorHAnsi"/>
          <w:sz w:val="20"/>
          <w:szCs w:val="20"/>
        </w:rPr>
        <w:t xml:space="preserve"> Pollinate Research, NSW.</w:t>
      </w:r>
    </w:p>
    <w:p w14:paraId="105068BF" w14:textId="77777777" w:rsidR="00C52B5B" w:rsidRPr="001D028A" w:rsidRDefault="00C52B5B" w:rsidP="00C52B5B">
      <w:pPr>
        <w:pStyle w:val="NoSpacing"/>
        <w:keepNext/>
        <w:rPr>
          <w:rFonts w:cstheme="minorHAnsi"/>
          <w:sz w:val="20"/>
          <w:szCs w:val="20"/>
          <w:lang w:val="en-GB"/>
        </w:rPr>
      </w:pPr>
    </w:p>
    <w:p w14:paraId="77CF0ECC" w14:textId="77777777" w:rsidR="00C52B5B" w:rsidRPr="001D028A" w:rsidRDefault="00C52B5B" w:rsidP="00C52B5B">
      <w:pPr>
        <w:pStyle w:val="NoSpacing"/>
        <w:keepNext/>
        <w:rPr>
          <w:rFonts w:cstheme="minorHAnsi"/>
          <w:sz w:val="20"/>
          <w:szCs w:val="20"/>
          <w:lang w:val="en-GB"/>
        </w:rPr>
      </w:pPr>
      <w:r w:rsidRPr="001D028A">
        <w:rPr>
          <w:rFonts w:cstheme="minorHAnsi"/>
          <w:sz w:val="20"/>
          <w:szCs w:val="20"/>
          <w:lang w:val="en-GB"/>
        </w:rPr>
        <w:t xml:space="preserve">Colmar Brunton 2016, </w:t>
      </w:r>
      <w:r w:rsidRPr="001D028A">
        <w:rPr>
          <w:rFonts w:cstheme="minorHAnsi"/>
          <w:i/>
          <w:sz w:val="20"/>
          <w:szCs w:val="20"/>
          <w:lang w:val="en-GB"/>
        </w:rPr>
        <w:t xml:space="preserve">Health Star Rating Monitoring and Evaluation, </w:t>
      </w:r>
      <w:r w:rsidRPr="001D028A">
        <w:rPr>
          <w:rFonts w:cstheme="minorHAnsi"/>
          <w:sz w:val="20"/>
          <w:szCs w:val="20"/>
          <w:lang w:val="en-GB"/>
        </w:rPr>
        <w:t>Health Promotion Agency, Wellington.</w:t>
      </w:r>
    </w:p>
    <w:p w14:paraId="5D7796C7" w14:textId="77777777" w:rsidR="00C52B5B" w:rsidRPr="001D028A" w:rsidRDefault="00C52B5B" w:rsidP="00C52B5B">
      <w:pPr>
        <w:pStyle w:val="NoSpacing"/>
        <w:rPr>
          <w:rFonts w:cstheme="minorHAnsi"/>
          <w:sz w:val="20"/>
          <w:szCs w:val="20"/>
          <w:lang w:val="en-GB"/>
        </w:rPr>
      </w:pPr>
    </w:p>
    <w:p w14:paraId="4FE03512"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Colmar Brunton 2016</w:t>
      </w:r>
      <w:r w:rsidRPr="001D028A">
        <w:rPr>
          <w:rFonts w:cstheme="minorHAnsi"/>
          <w:i/>
          <w:sz w:val="20"/>
          <w:szCs w:val="20"/>
          <w:lang w:val="en-GB"/>
        </w:rPr>
        <w:t>, Health Star Rating Monitoring and Evaluation Year One Follow-up Research Report</w:t>
      </w:r>
      <w:r w:rsidRPr="001D028A">
        <w:rPr>
          <w:rFonts w:cstheme="minorHAnsi"/>
          <w:sz w:val="20"/>
          <w:szCs w:val="20"/>
          <w:lang w:val="en-GB"/>
        </w:rPr>
        <w:t>, Health Promotion Agency, Wellington.</w:t>
      </w:r>
    </w:p>
    <w:p w14:paraId="6760D924" w14:textId="77777777" w:rsidR="00C52B5B" w:rsidRPr="001D028A" w:rsidRDefault="00C52B5B" w:rsidP="003272AE">
      <w:pPr>
        <w:pStyle w:val="FootnoteText"/>
      </w:pPr>
    </w:p>
    <w:p w14:paraId="09771F9C" w14:textId="77777777" w:rsidR="00C52B5B" w:rsidRPr="001D028A" w:rsidRDefault="00C52B5B" w:rsidP="003272AE">
      <w:pPr>
        <w:pStyle w:val="FootnoteText"/>
      </w:pPr>
      <w:r w:rsidRPr="001D028A">
        <w:t>Colmar Brunton 2018, 2018 Health Star Rating monitoring and evaluation: Year 2 follow-up research report, Health Promotion Agency, Wellington.</w:t>
      </w:r>
    </w:p>
    <w:p w14:paraId="3A045BDE" w14:textId="77777777" w:rsidR="00C52B5B" w:rsidRPr="001D028A" w:rsidRDefault="00C52B5B" w:rsidP="00C52B5B">
      <w:pPr>
        <w:pStyle w:val="NoSpacing"/>
        <w:rPr>
          <w:rFonts w:cstheme="minorHAnsi"/>
          <w:iCs/>
          <w:sz w:val="20"/>
          <w:szCs w:val="20"/>
          <w:lang w:val="en-GB"/>
        </w:rPr>
      </w:pPr>
    </w:p>
    <w:p w14:paraId="54453654" w14:textId="77777777" w:rsidR="00C52B5B" w:rsidRPr="001D028A" w:rsidRDefault="00C52B5B" w:rsidP="00C52B5B">
      <w:pPr>
        <w:pStyle w:val="NoSpacing"/>
        <w:rPr>
          <w:rFonts w:cstheme="minorHAnsi"/>
          <w:i/>
          <w:sz w:val="20"/>
          <w:szCs w:val="20"/>
          <w:lang w:val="en-GB"/>
        </w:rPr>
      </w:pPr>
      <w:r w:rsidRPr="001D028A">
        <w:rPr>
          <w:rFonts w:cstheme="minorHAnsi"/>
          <w:iCs/>
          <w:sz w:val="20"/>
          <w:szCs w:val="20"/>
          <w:lang w:val="en-GB"/>
        </w:rPr>
        <w:t xml:space="preserve">Health Star Rating Advisory Committee 2017, </w:t>
      </w:r>
      <w:r w:rsidRPr="001D028A">
        <w:rPr>
          <w:rFonts w:cstheme="minorHAnsi"/>
          <w:i/>
          <w:iCs/>
          <w:sz w:val="20"/>
          <w:szCs w:val="20"/>
          <w:lang w:val="en-GB"/>
        </w:rPr>
        <w:t>Two year progress review report on the implementation of the Health Star Rating system</w:t>
      </w:r>
      <w:r w:rsidRPr="001D028A">
        <w:rPr>
          <w:rFonts w:cstheme="minorHAnsi"/>
          <w:sz w:val="20"/>
          <w:szCs w:val="20"/>
          <w:lang w:val="en-GB"/>
        </w:rPr>
        <w:t xml:space="preserve"> </w:t>
      </w:r>
      <w:r w:rsidRPr="001D028A">
        <w:rPr>
          <w:rFonts w:cstheme="minorHAnsi"/>
          <w:i/>
          <w:sz w:val="20"/>
          <w:szCs w:val="20"/>
          <w:lang w:val="en-GB"/>
        </w:rPr>
        <w:t>June 2014 – June 2016.</w:t>
      </w:r>
    </w:p>
    <w:p w14:paraId="7E4216D1" w14:textId="77777777" w:rsidR="00C52B5B" w:rsidRPr="001D028A" w:rsidRDefault="00C52B5B" w:rsidP="003272AE">
      <w:pPr>
        <w:pStyle w:val="FootnoteText"/>
      </w:pPr>
    </w:p>
    <w:p w14:paraId="48725C1E"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Ministry for Primary Industries 2017, </w:t>
      </w:r>
      <w:r w:rsidRPr="001D028A">
        <w:rPr>
          <w:rFonts w:cstheme="minorHAnsi"/>
          <w:i/>
          <w:sz w:val="20"/>
          <w:szCs w:val="20"/>
          <w:lang w:val="en-GB"/>
        </w:rPr>
        <w:t>Health Star Rating – Monitoring implementation at Year Two</w:t>
      </w:r>
      <w:r w:rsidRPr="001D028A">
        <w:rPr>
          <w:rFonts w:cstheme="minorHAnsi"/>
          <w:sz w:val="20"/>
          <w:szCs w:val="20"/>
          <w:lang w:val="en-GB"/>
        </w:rPr>
        <w:t>, New Zealand Government.</w:t>
      </w:r>
    </w:p>
    <w:p w14:paraId="6644BF0A" w14:textId="77777777" w:rsidR="00C52B5B" w:rsidRPr="001D028A" w:rsidRDefault="00C52B5B" w:rsidP="00C52B5B">
      <w:pPr>
        <w:pStyle w:val="NoSpacing"/>
        <w:rPr>
          <w:rFonts w:cstheme="minorHAnsi"/>
          <w:sz w:val="20"/>
          <w:szCs w:val="20"/>
          <w:lang w:val="en-GB"/>
        </w:rPr>
      </w:pPr>
    </w:p>
    <w:p w14:paraId="7661E228"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Ministry for Primary Industries 2016</w:t>
      </w:r>
      <w:r w:rsidRPr="001D028A">
        <w:rPr>
          <w:rFonts w:cstheme="minorHAnsi"/>
          <w:i/>
          <w:sz w:val="20"/>
          <w:szCs w:val="20"/>
          <w:lang w:val="en-GB"/>
        </w:rPr>
        <w:t>, Industry uptake of the Health Star Rating system</w:t>
      </w:r>
      <w:r w:rsidRPr="001D028A">
        <w:rPr>
          <w:rFonts w:cstheme="minorHAnsi"/>
          <w:sz w:val="20"/>
          <w:szCs w:val="20"/>
          <w:lang w:val="en-GB"/>
        </w:rPr>
        <w:t>, New Zealand Government.</w:t>
      </w:r>
    </w:p>
    <w:p w14:paraId="242E1E94" w14:textId="77777777" w:rsidR="00C52B5B" w:rsidRPr="001D028A" w:rsidRDefault="00C52B5B" w:rsidP="00C52B5B">
      <w:pPr>
        <w:pStyle w:val="NoSpacing"/>
        <w:rPr>
          <w:rFonts w:cstheme="minorHAnsi"/>
          <w:sz w:val="20"/>
          <w:szCs w:val="20"/>
          <w:lang w:val="en-GB"/>
        </w:rPr>
      </w:pPr>
    </w:p>
    <w:p w14:paraId="1857EBF5"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Ministry for Primary Industries 2013, </w:t>
      </w:r>
      <w:r w:rsidRPr="001D028A">
        <w:rPr>
          <w:rFonts w:cstheme="minorHAnsi"/>
          <w:i/>
          <w:sz w:val="20"/>
          <w:szCs w:val="20"/>
          <w:lang w:val="en-GB"/>
        </w:rPr>
        <w:t xml:space="preserve">Research report: The ability of New Zealand consumers to use the Health Star Rating System, </w:t>
      </w:r>
      <w:r w:rsidRPr="001D028A">
        <w:rPr>
          <w:rFonts w:cstheme="minorHAnsi"/>
          <w:sz w:val="20"/>
          <w:szCs w:val="20"/>
          <w:lang w:val="en-GB"/>
        </w:rPr>
        <w:t>New Zealand Government.</w:t>
      </w:r>
    </w:p>
    <w:p w14:paraId="0003E7D4" w14:textId="77777777" w:rsidR="00C52B5B" w:rsidRPr="001D028A" w:rsidRDefault="00C52B5B" w:rsidP="003272AE">
      <w:pPr>
        <w:pStyle w:val="FootnoteText"/>
      </w:pPr>
    </w:p>
    <w:p w14:paraId="30E170FB"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National Heart Foundation 2016, </w:t>
      </w:r>
      <w:r w:rsidRPr="001D028A">
        <w:rPr>
          <w:rFonts w:cstheme="minorHAnsi"/>
          <w:i/>
          <w:iCs/>
          <w:sz w:val="20"/>
          <w:szCs w:val="20"/>
          <w:lang w:val="en-GB"/>
        </w:rPr>
        <w:t xml:space="preserve">Health Star Rating System - Program Logic Model, </w:t>
      </w:r>
      <w:r w:rsidRPr="001D028A">
        <w:rPr>
          <w:rFonts w:cstheme="minorHAnsi"/>
          <w:iCs/>
          <w:sz w:val="20"/>
          <w:szCs w:val="20"/>
          <w:lang w:val="en-GB"/>
        </w:rPr>
        <w:t>version 3.</w:t>
      </w:r>
    </w:p>
    <w:p w14:paraId="53B8132B" w14:textId="77777777" w:rsidR="00C52B5B" w:rsidRPr="001D028A" w:rsidRDefault="00C52B5B" w:rsidP="003272AE">
      <w:pPr>
        <w:pStyle w:val="FootnoteText"/>
      </w:pPr>
    </w:p>
    <w:p w14:paraId="57C432F2" w14:textId="77777777" w:rsidR="00C52B5B" w:rsidRPr="001D028A" w:rsidRDefault="00C52B5B" w:rsidP="00C52B5B">
      <w:pPr>
        <w:pStyle w:val="NoSpacing"/>
        <w:rPr>
          <w:rFonts w:cstheme="minorHAnsi"/>
          <w:iCs/>
          <w:sz w:val="20"/>
          <w:szCs w:val="20"/>
          <w:lang w:val="en-GB"/>
        </w:rPr>
      </w:pPr>
      <w:r w:rsidRPr="001D028A">
        <w:rPr>
          <w:rFonts w:cstheme="minorHAnsi"/>
          <w:iCs/>
          <w:sz w:val="20"/>
          <w:szCs w:val="20"/>
          <w:lang w:val="en-GB"/>
        </w:rPr>
        <w:t xml:space="preserve">National Heart Foundation, </w:t>
      </w:r>
      <w:r w:rsidRPr="001D028A">
        <w:rPr>
          <w:rFonts w:cstheme="minorHAnsi"/>
          <w:i/>
          <w:sz w:val="20"/>
          <w:szCs w:val="20"/>
          <w:lang w:val="en-GB"/>
        </w:rPr>
        <w:t>Program Logic Framework for the Monitoring and Evaluation of the Health-Star Rating (HSR) System.</w:t>
      </w:r>
    </w:p>
    <w:p w14:paraId="1CE359AA" w14:textId="77777777" w:rsidR="00C52B5B" w:rsidRPr="001D028A" w:rsidRDefault="00C52B5B" w:rsidP="003272AE">
      <w:pPr>
        <w:pStyle w:val="FootnoteText"/>
      </w:pPr>
    </w:p>
    <w:p w14:paraId="58F389E0" w14:textId="77777777" w:rsidR="00C52B5B" w:rsidRPr="001D028A" w:rsidRDefault="00C52B5B" w:rsidP="003272AE">
      <w:pPr>
        <w:pStyle w:val="FootnoteText"/>
      </w:pPr>
      <w:r w:rsidRPr="001D028A">
        <w:t xml:space="preserve">National Heart Foundation, April 2018, </w:t>
      </w:r>
      <w:r w:rsidRPr="001D028A">
        <w:rPr>
          <w:i/>
        </w:rPr>
        <w:t>Report for Wave 7 of additional (point-in-time) update monitoring of the Health Star Rating (HSR) System</w:t>
      </w:r>
      <w:r w:rsidRPr="001D028A">
        <w:t>, in Australia. February-March 2018, prepared for the Department of Health.</w:t>
      </w:r>
    </w:p>
    <w:p w14:paraId="11FD3C48" w14:textId="77777777" w:rsidR="00C52B5B" w:rsidRPr="001D028A" w:rsidRDefault="00C52B5B" w:rsidP="00C52B5B">
      <w:pPr>
        <w:pStyle w:val="mpcNormal"/>
        <w:keepNext w:val="0"/>
        <w:rPr>
          <w:sz w:val="20"/>
          <w:szCs w:val="20"/>
        </w:rPr>
      </w:pPr>
    </w:p>
    <w:p w14:paraId="3AFE4AD5" w14:textId="77777777" w:rsidR="00C52B5B" w:rsidRPr="001D028A" w:rsidRDefault="00C52B5B" w:rsidP="003272AE">
      <w:pPr>
        <w:pStyle w:val="FootnoteText"/>
      </w:pPr>
      <w:r w:rsidRPr="001D028A">
        <w:t>National Heart Foundation, April 2018, Report on the monitoring of the implementation of the Health Star Rating system: Area of Enquiry 2 – Consumer awareness and ability to use the Health Star Rating system correctly, prepared for the Department of Health.</w:t>
      </w:r>
    </w:p>
    <w:p w14:paraId="48899B74" w14:textId="77777777" w:rsidR="00C52B5B" w:rsidRPr="001D028A" w:rsidRDefault="00C52B5B" w:rsidP="003272AE">
      <w:pPr>
        <w:pStyle w:val="FootnoteText"/>
      </w:pPr>
    </w:p>
    <w:p w14:paraId="621D9551" w14:textId="77777777" w:rsidR="00C52B5B" w:rsidRPr="001D028A" w:rsidRDefault="00C52B5B" w:rsidP="003272AE">
      <w:pPr>
        <w:pStyle w:val="FootnoteText"/>
      </w:pPr>
      <w:r w:rsidRPr="001D028A">
        <w:t>National Heart Foundation, August 2017, Report on the monitoring of the implementation of the Health Star Rating system: Area of Enquiry 2 – Consumer awareness and ability to use the Health Star Rating system correctly, prepared for the Department of Health.</w:t>
      </w:r>
    </w:p>
    <w:p w14:paraId="23F63F03" w14:textId="77777777" w:rsidR="00C52B5B" w:rsidRPr="001D028A" w:rsidRDefault="00C52B5B" w:rsidP="003272AE">
      <w:pPr>
        <w:pStyle w:val="FootnoteText"/>
      </w:pPr>
    </w:p>
    <w:p w14:paraId="38DC0FDC" w14:textId="77777777" w:rsidR="00C52B5B" w:rsidRPr="001D028A" w:rsidRDefault="00C52B5B" w:rsidP="003272AE">
      <w:pPr>
        <w:pStyle w:val="FootnoteText"/>
      </w:pPr>
      <w:r w:rsidRPr="001D028A">
        <w:t>National Heart Foundation, August 2018, Report on the monitoring of the implementation of the Health Star Rating system: Area of Enquiry 2 – Consumer awareness and ability to use the Health Star Rating system correctly, prepared for the Department of Health.</w:t>
      </w:r>
    </w:p>
    <w:p w14:paraId="6D59467B" w14:textId="77777777" w:rsidR="00C52B5B" w:rsidRPr="001D028A" w:rsidRDefault="00C52B5B" w:rsidP="00C52B5B">
      <w:pPr>
        <w:pStyle w:val="NoSpacing"/>
        <w:rPr>
          <w:rFonts w:cstheme="minorHAnsi"/>
          <w:iCs/>
          <w:sz w:val="20"/>
          <w:szCs w:val="20"/>
          <w:lang w:val="en-GB"/>
        </w:rPr>
      </w:pPr>
    </w:p>
    <w:p w14:paraId="14F1DB8A"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National Heart Foundation 2016, </w:t>
      </w:r>
      <w:r w:rsidRPr="001D028A">
        <w:rPr>
          <w:rFonts w:cstheme="minorHAnsi"/>
          <w:i/>
          <w:sz w:val="20"/>
          <w:szCs w:val="20"/>
          <w:lang w:val="en-GB"/>
        </w:rPr>
        <w:t xml:space="preserve">Progress Report on monitoring the Implementation of the Health Star Rating system – Area of Enquiry 2: consumer awareness and ability to use the HSR system correctly, </w:t>
      </w:r>
      <w:r w:rsidRPr="001D028A">
        <w:rPr>
          <w:rFonts w:cstheme="minorHAnsi"/>
          <w:sz w:val="20"/>
          <w:szCs w:val="20"/>
        </w:rPr>
        <w:t>prepared for the Department of Health.</w:t>
      </w:r>
    </w:p>
    <w:p w14:paraId="1D80048B" w14:textId="77777777" w:rsidR="00C52B5B" w:rsidRPr="001D028A" w:rsidRDefault="00C52B5B" w:rsidP="00C52B5B">
      <w:pPr>
        <w:pStyle w:val="NoSpacing"/>
        <w:rPr>
          <w:rFonts w:cstheme="minorHAnsi"/>
          <w:i/>
          <w:sz w:val="20"/>
          <w:szCs w:val="20"/>
          <w:lang w:val="en-GB"/>
        </w:rPr>
      </w:pPr>
    </w:p>
    <w:p w14:paraId="533AFFF1"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National Heart Foundation 2016, </w:t>
      </w:r>
      <w:r w:rsidRPr="001D028A">
        <w:rPr>
          <w:rFonts w:cstheme="minorHAnsi"/>
          <w:i/>
          <w:iCs/>
          <w:sz w:val="20"/>
          <w:szCs w:val="20"/>
          <w:lang w:val="en-GB"/>
        </w:rPr>
        <w:t xml:space="preserve">Report on the monitoring of the Implementation of the Health Star Rating system – Year 1, </w:t>
      </w:r>
      <w:r w:rsidRPr="001D028A">
        <w:rPr>
          <w:rFonts w:cstheme="minorHAnsi"/>
          <w:sz w:val="20"/>
          <w:szCs w:val="20"/>
        </w:rPr>
        <w:t>prepared for the Department of Health.</w:t>
      </w:r>
    </w:p>
    <w:p w14:paraId="1979AA47" w14:textId="77777777" w:rsidR="00C52B5B" w:rsidRPr="001D028A" w:rsidRDefault="00C52B5B" w:rsidP="00C52B5B">
      <w:pPr>
        <w:pStyle w:val="NoSpacing"/>
        <w:rPr>
          <w:rFonts w:cstheme="minorHAnsi"/>
          <w:sz w:val="20"/>
          <w:szCs w:val="20"/>
          <w:lang w:val="en-GB"/>
        </w:rPr>
      </w:pPr>
    </w:p>
    <w:p w14:paraId="6B86249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National Heart Foundation 2017, </w:t>
      </w:r>
      <w:r w:rsidRPr="001D028A">
        <w:rPr>
          <w:rFonts w:cstheme="minorHAnsi"/>
          <w:i/>
          <w:sz w:val="20"/>
          <w:szCs w:val="20"/>
          <w:lang w:val="en-GB"/>
        </w:rPr>
        <w:t>Report on the monitoring of the implementation of the Health Star Rating system in the first two years of implementation: June 2014 to June 2016</w:t>
      </w:r>
      <w:r w:rsidRPr="001D028A">
        <w:rPr>
          <w:rFonts w:cstheme="minorHAnsi"/>
          <w:sz w:val="20"/>
          <w:szCs w:val="20"/>
          <w:lang w:val="en-GB"/>
        </w:rPr>
        <w:t>, prepared for the Department of Health.</w:t>
      </w:r>
    </w:p>
    <w:p w14:paraId="14364A37" w14:textId="77777777" w:rsidR="00C52B5B" w:rsidRPr="001D028A" w:rsidRDefault="00C52B5B" w:rsidP="00C52B5B">
      <w:pPr>
        <w:pStyle w:val="NoSpacing"/>
        <w:rPr>
          <w:rFonts w:cstheme="minorHAnsi"/>
          <w:sz w:val="20"/>
          <w:szCs w:val="20"/>
          <w:lang w:val="en-GB"/>
        </w:rPr>
      </w:pPr>
    </w:p>
    <w:p w14:paraId="01C9CA9E"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National Heart Foundation 2019, </w:t>
      </w:r>
      <w:r w:rsidRPr="001D028A">
        <w:rPr>
          <w:rFonts w:cstheme="minorHAnsi"/>
          <w:i/>
          <w:sz w:val="20"/>
          <w:szCs w:val="20"/>
        </w:rPr>
        <w:t xml:space="preserve">Report on the monitoring of the implementation of the </w:t>
      </w:r>
      <w:r w:rsidRPr="001D028A">
        <w:rPr>
          <w:rFonts w:cstheme="minorHAnsi"/>
          <w:i/>
          <w:sz w:val="20"/>
          <w:szCs w:val="20"/>
          <w:lang w:val="en-GB"/>
        </w:rPr>
        <w:t xml:space="preserve">Health Star Rating system </w:t>
      </w:r>
      <w:r w:rsidRPr="001D028A">
        <w:rPr>
          <w:rFonts w:cstheme="minorHAnsi"/>
          <w:i/>
          <w:sz w:val="20"/>
          <w:szCs w:val="20"/>
        </w:rPr>
        <w:t>in the first four years of implementation: June 2014 to June 2018</w:t>
      </w:r>
      <w:r w:rsidRPr="001D028A">
        <w:rPr>
          <w:rFonts w:cstheme="minorHAnsi"/>
          <w:sz w:val="20"/>
          <w:szCs w:val="20"/>
          <w:lang w:val="en-GB"/>
        </w:rPr>
        <w:t>, prepared for the Department of Health.</w:t>
      </w:r>
    </w:p>
    <w:p w14:paraId="356ED070" w14:textId="77777777" w:rsidR="00C52B5B" w:rsidRPr="001D028A" w:rsidRDefault="00C52B5B" w:rsidP="00C52B5B">
      <w:pPr>
        <w:pStyle w:val="NoSpacing"/>
        <w:rPr>
          <w:rFonts w:cstheme="minorHAnsi"/>
          <w:sz w:val="20"/>
          <w:szCs w:val="20"/>
          <w:lang w:val="en-GB"/>
        </w:rPr>
      </w:pPr>
    </w:p>
    <w:p w14:paraId="773F25A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New Zealand Food Safety 2018, </w:t>
      </w:r>
      <w:r w:rsidRPr="001D028A">
        <w:rPr>
          <w:rFonts w:cstheme="minorHAnsi"/>
          <w:i/>
          <w:sz w:val="20"/>
          <w:szCs w:val="20"/>
          <w:lang w:val="en-GB"/>
        </w:rPr>
        <w:t xml:space="preserve">Health Star Rating – Monitoring implementation for the Five Year Review, </w:t>
      </w:r>
      <w:r w:rsidRPr="001D028A">
        <w:rPr>
          <w:rFonts w:cstheme="minorHAnsi"/>
          <w:sz w:val="20"/>
          <w:szCs w:val="20"/>
          <w:lang w:val="en-GB"/>
        </w:rPr>
        <w:t xml:space="preserve">New Zealand Ministry for Primary Industries. </w:t>
      </w:r>
    </w:p>
    <w:p w14:paraId="4C93E3F6" w14:textId="77777777" w:rsidR="00C52B5B" w:rsidRPr="001D028A" w:rsidRDefault="00C52B5B" w:rsidP="00C52B5B">
      <w:pPr>
        <w:pStyle w:val="NoSpacing"/>
        <w:rPr>
          <w:rFonts w:cstheme="minorHAnsi"/>
          <w:sz w:val="20"/>
          <w:szCs w:val="20"/>
          <w:lang w:val="en-GB"/>
        </w:rPr>
      </w:pPr>
    </w:p>
    <w:p w14:paraId="609D370C"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New Zealand Front of pack labelling Advisory Group 2012, </w:t>
      </w:r>
      <w:r w:rsidRPr="001D028A">
        <w:rPr>
          <w:rFonts w:cstheme="minorHAnsi"/>
          <w:i/>
          <w:sz w:val="20"/>
          <w:szCs w:val="20"/>
          <w:lang w:val="en-GB"/>
        </w:rPr>
        <w:t>Final Report to the Minister for Food Safety.</w:t>
      </w:r>
    </w:p>
    <w:p w14:paraId="0A55A9AB" w14:textId="77777777" w:rsidR="00C52B5B" w:rsidRPr="001D028A" w:rsidRDefault="00C52B5B" w:rsidP="00C52B5B">
      <w:pPr>
        <w:pStyle w:val="NoSpacing"/>
        <w:rPr>
          <w:rFonts w:cstheme="minorHAnsi"/>
          <w:sz w:val="20"/>
          <w:szCs w:val="20"/>
          <w:lang w:val="en-GB"/>
        </w:rPr>
      </w:pPr>
    </w:p>
    <w:p w14:paraId="135AC49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New Zealand Ministry for Primary Industries 2015, </w:t>
      </w:r>
      <w:r w:rsidRPr="001D028A">
        <w:rPr>
          <w:rFonts w:cstheme="minorHAnsi"/>
          <w:i/>
          <w:sz w:val="20"/>
          <w:szCs w:val="20"/>
          <w:lang w:val="en-GB"/>
        </w:rPr>
        <w:t>Health Star Rating (HSR) Industry Kit</w:t>
      </w:r>
      <w:r w:rsidRPr="001D028A">
        <w:rPr>
          <w:rFonts w:cstheme="minorHAnsi"/>
          <w:sz w:val="20"/>
          <w:szCs w:val="20"/>
          <w:lang w:val="en-GB"/>
        </w:rPr>
        <w:t>, New Zealand Government.</w:t>
      </w:r>
    </w:p>
    <w:p w14:paraId="1C348290" w14:textId="77777777" w:rsidR="00C52B5B" w:rsidRPr="001D028A" w:rsidRDefault="00C52B5B" w:rsidP="00C52B5B">
      <w:pPr>
        <w:pStyle w:val="NoSpacing"/>
        <w:rPr>
          <w:rFonts w:cstheme="minorHAnsi"/>
          <w:sz w:val="20"/>
          <w:szCs w:val="20"/>
          <w:lang w:val="en-GB"/>
        </w:rPr>
      </w:pPr>
    </w:p>
    <w:p w14:paraId="2581A08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Parker, G &amp; Frith, R 2015, </w:t>
      </w:r>
      <w:r w:rsidRPr="001D028A">
        <w:rPr>
          <w:rFonts w:cstheme="minorHAnsi"/>
          <w:i/>
          <w:sz w:val="20"/>
          <w:szCs w:val="20"/>
          <w:lang w:val="en-GB"/>
        </w:rPr>
        <w:t>Health Star Rating System: Campaign Evaluation Report</w:t>
      </w:r>
      <w:r w:rsidRPr="001D028A">
        <w:rPr>
          <w:rFonts w:cstheme="minorHAnsi"/>
          <w:sz w:val="20"/>
          <w:szCs w:val="20"/>
          <w:lang w:val="en-GB"/>
        </w:rPr>
        <w:t xml:space="preserve">, </w:t>
      </w:r>
      <w:r w:rsidRPr="001D028A">
        <w:rPr>
          <w:rFonts w:cstheme="minorHAnsi"/>
          <w:sz w:val="20"/>
          <w:szCs w:val="20"/>
        </w:rPr>
        <w:t>prepared by Pollinate Research for the Department of Health</w:t>
      </w:r>
      <w:r w:rsidRPr="001D028A">
        <w:rPr>
          <w:rFonts w:cstheme="minorHAnsi"/>
          <w:sz w:val="20"/>
          <w:szCs w:val="20"/>
          <w:lang w:val="en-GB"/>
        </w:rPr>
        <w:t>, Sydney.</w:t>
      </w:r>
    </w:p>
    <w:p w14:paraId="78F77F07" w14:textId="77777777" w:rsidR="00C52B5B" w:rsidRPr="001D028A" w:rsidRDefault="00C52B5B" w:rsidP="00C52B5B">
      <w:pPr>
        <w:pStyle w:val="NoSpacing"/>
        <w:rPr>
          <w:rFonts w:cstheme="minorHAnsi"/>
          <w:sz w:val="20"/>
          <w:szCs w:val="20"/>
          <w:lang w:val="en-GB"/>
        </w:rPr>
      </w:pPr>
    </w:p>
    <w:p w14:paraId="49D12DA6"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Parker, G, Souvlis, P, Parry-Husbands, H 2015 </w:t>
      </w:r>
      <w:r w:rsidRPr="001D028A">
        <w:rPr>
          <w:rFonts w:cstheme="minorHAnsi"/>
          <w:i/>
          <w:sz w:val="20"/>
          <w:szCs w:val="20"/>
        </w:rPr>
        <w:t>Health Star Rating System: Consumer use and understanding</w:t>
      </w:r>
      <w:r w:rsidRPr="001D028A">
        <w:rPr>
          <w:rFonts w:cstheme="minorHAnsi"/>
          <w:sz w:val="20"/>
          <w:szCs w:val="20"/>
        </w:rPr>
        <w:t>, prepared by Pollinate Research for the Department of Health, Sydney.</w:t>
      </w:r>
    </w:p>
    <w:p w14:paraId="78D107C0" w14:textId="77777777" w:rsidR="00C52B5B" w:rsidRPr="001D028A" w:rsidRDefault="00C52B5B" w:rsidP="00C52B5B">
      <w:pPr>
        <w:pStyle w:val="NoSpacing"/>
        <w:rPr>
          <w:rFonts w:cstheme="minorHAnsi"/>
          <w:sz w:val="20"/>
          <w:szCs w:val="20"/>
          <w:lang w:val="en-GB"/>
        </w:rPr>
      </w:pPr>
    </w:p>
    <w:p w14:paraId="062357C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Parker, G &amp; Frith, R 2016, </w:t>
      </w:r>
      <w:r w:rsidRPr="001D028A">
        <w:rPr>
          <w:rFonts w:cstheme="minorHAnsi"/>
          <w:i/>
          <w:sz w:val="20"/>
          <w:szCs w:val="20"/>
          <w:lang w:val="en-GB"/>
        </w:rPr>
        <w:t>Health Star Rating System: Campaign Evaluation Report</w:t>
      </w:r>
      <w:r w:rsidRPr="001D028A">
        <w:rPr>
          <w:rFonts w:cstheme="minorHAnsi"/>
          <w:sz w:val="20"/>
          <w:szCs w:val="20"/>
          <w:lang w:val="en-GB"/>
        </w:rPr>
        <w:t xml:space="preserve">, </w:t>
      </w:r>
      <w:r w:rsidRPr="001D028A">
        <w:rPr>
          <w:rFonts w:cstheme="minorHAnsi"/>
          <w:sz w:val="20"/>
          <w:szCs w:val="20"/>
        </w:rPr>
        <w:t>prepared by Pollinate Research for the Department of Health</w:t>
      </w:r>
      <w:r w:rsidRPr="001D028A">
        <w:rPr>
          <w:rFonts w:cstheme="minorHAnsi"/>
          <w:sz w:val="20"/>
          <w:szCs w:val="20"/>
          <w:lang w:val="en-GB"/>
        </w:rPr>
        <w:t>, Sydney.</w:t>
      </w:r>
    </w:p>
    <w:p w14:paraId="14EB06B2" w14:textId="77777777" w:rsidR="00C52B5B" w:rsidRPr="001D028A" w:rsidRDefault="00C52B5B" w:rsidP="00C52B5B">
      <w:pPr>
        <w:pStyle w:val="mpcNormal"/>
        <w:keepNext w:val="0"/>
        <w:rPr>
          <w:sz w:val="20"/>
          <w:szCs w:val="20"/>
        </w:rPr>
      </w:pPr>
    </w:p>
    <w:p w14:paraId="176CA43F" w14:textId="77777777" w:rsidR="00C52B5B" w:rsidRPr="001D028A" w:rsidRDefault="00C52B5B" w:rsidP="00C52B5B">
      <w:pPr>
        <w:pStyle w:val="mpcheading4"/>
        <w:keepNext w:val="0"/>
        <w:rPr>
          <w:rFonts w:cstheme="minorHAnsi"/>
          <w:sz w:val="20"/>
          <w:szCs w:val="20"/>
        </w:rPr>
      </w:pPr>
      <w:r w:rsidRPr="001D028A">
        <w:rPr>
          <w:rFonts w:cstheme="minorHAnsi"/>
          <w:sz w:val="20"/>
          <w:szCs w:val="20"/>
        </w:rPr>
        <w:t>Health Star Rating System resources</w:t>
      </w:r>
    </w:p>
    <w:p w14:paraId="3DE5C699" w14:textId="77777777" w:rsidR="00C52B5B" w:rsidRPr="001D028A" w:rsidRDefault="00C52B5B" w:rsidP="00C52B5B">
      <w:pPr>
        <w:pStyle w:val="mpcNormal"/>
        <w:keepNext w:val="0"/>
        <w:rPr>
          <w:sz w:val="20"/>
          <w:szCs w:val="20"/>
        </w:rPr>
      </w:pPr>
    </w:p>
    <w:p w14:paraId="3300C0E3" w14:textId="77777777" w:rsidR="00C52B5B" w:rsidRPr="001D028A" w:rsidRDefault="00C52B5B" w:rsidP="00C52B5B">
      <w:pPr>
        <w:pStyle w:val="mpcNormal"/>
        <w:keepNext w:val="0"/>
        <w:rPr>
          <w:sz w:val="20"/>
          <w:szCs w:val="20"/>
        </w:rPr>
      </w:pPr>
      <w:hyperlink r:id="rId165" w:history="1">
        <w:r w:rsidRPr="001D028A">
          <w:rPr>
            <w:rStyle w:val="Hyperlink"/>
            <w:i/>
            <w:sz w:val="20"/>
            <w:szCs w:val="20"/>
          </w:rPr>
          <w:t>Guide for Industry to the Health Star Rating Calculator (HSRC) version 6</w:t>
        </w:r>
      </w:hyperlink>
      <w:r w:rsidRPr="001D028A">
        <w:rPr>
          <w:sz w:val="20"/>
          <w:szCs w:val="20"/>
        </w:rPr>
        <w:t xml:space="preserve">, February 2018. </w:t>
      </w:r>
    </w:p>
    <w:p w14:paraId="3EF48E1F" w14:textId="77777777" w:rsidR="00C52B5B" w:rsidRPr="001D028A" w:rsidRDefault="00C52B5B" w:rsidP="00C52B5B">
      <w:pPr>
        <w:pStyle w:val="mpcNormal"/>
        <w:keepNext w:val="0"/>
        <w:rPr>
          <w:sz w:val="20"/>
          <w:szCs w:val="20"/>
        </w:rPr>
      </w:pPr>
    </w:p>
    <w:p w14:paraId="46FD03F1" w14:textId="77777777" w:rsidR="00C52B5B" w:rsidRPr="001D028A" w:rsidRDefault="00C52B5B" w:rsidP="00C52B5B">
      <w:pPr>
        <w:pStyle w:val="mpcNormal"/>
        <w:keepNext w:val="0"/>
        <w:rPr>
          <w:sz w:val="20"/>
          <w:szCs w:val="20"/>
        </w:rPr>
      </w:pPr>
      <w:hyperlink r:id="rId166" w:history="1">
        <w:r w:rsidRPr="001D028A">
          <w:rPr>
            <w:rStyle w:val="Hyperlink"/>
            <w:i/>
            <w:sz w:val="20"/>
            <w:szCs w:val="20"/>
          </w:rPr>
          <w:t>Health Star Rating System Style Guide</w:t>
        </w:r>
      </w:hyperlink>
      <w:r w:rsidRPr="001D028A">
        <w:rPr>
          <w:sz w:val="20"/>
          <w:szCs w:val="20"/>
        </w:rPr>
        <w:t>, version 5, December 2017.</w:t>
      </w:r>
    </w:p>
    <w:p w14:paraId="738D15BB" w14:textId="77777777" w:rsidR="00C52B5B" w:rsidRPr="001D028A" w:rsidRDefault="00C52B5B" w:rsidP="00C52B5B">
      <w:pPr>
        <w:pStyle w:val="mpcNormal"/>
        <w:keepNext w:val="0"/>
        <w:rPr>
          <w:sz w:val="20"/>
          <w:szCs w:val="20"/>
        </w:rPr>
      </w:pPr>
    </w:p>
    <w:p w14:paraId="06879754" w14:textId="77777777" w:rsidR="00C52B5B" w:rsidRPr="001D028A" w:rsidRDefault="00C52B5B" w:rsidP="00C52B5B">
      <w:pPr>
        <w:pStyle w:val="NoSpacing"/>
        <w:rPr>
          <w:rFonts w:cstheme="minorHAnsi"/>
          <w:sz w:val="20"/>
          <w:szCs w:val="20"/>
          <w:lang w:val="en-GB"/>
        </w:rPr>
      </w:pPr>
      <w:r w:rsidRPr="001D028A">
        <w:rPr>
          <w:rFonts w:cstheme="minorHAnsi"/>
          <w:i/>
          <w:iCs/>
          <w:sz w:val="20"/>
          <w:szCs w:val="20"/>
          <w:lang w:val="en-GB"/>
        </w:rPr>
        <w:t>The form of the food (‘as prepared’) rules for the Health Star Rating (HSR) system</w:t>
      </w:r>
      <w:r w:rsidRPr="001D028A">
        <w:rPr>
          <w:rFonts w:cstheme="minorHAnsi"/>
          <w:sz w:val="20"/>
          <w:szCs w:val="20"/>
          <w:lang w:val="en-GB"/>
        </w:rPr>
        <w:t>, October 2017, Discussion paper for face to face consultation.</w:t>
      </w:r>
    </w:p>
    <w:p w14:paraId="1AC536AD" w14:textId="77777777" w:rsidR="00C52B5B" w:rsidRPr="001D028A" w:rsidRDefault="00C52B5B" w:rsidP="00C52B5B">
      <w:pPr>
        <w:pStyle w:val="mpcNormal"/>
        <w:keepNext w:val="0"/>
        <w:rPr>
          <w:sz w:val="20"/>
          <w:szCs w:val="20"/>
        </w:rPr>
      </w:pPr>
    </w:p>
    <w:p w14:paraId="1ACF576D" w14:textId="77777777" w:rsidR="00C52B5B" w:rsidRPr="001D028A" w:rsidRDefault="00C52B5B" w:rsidP="00C52B5B">
      <w:pPr>
        <w:pStyle w:val="NoSpacing"/>
        <w:rPr>
          <w:rFonts w:cstheme="minorHAnsi"/>
          <w:b/>
          <w:bCs/>
          <w:sz w:val="20"/>
          <w:szCs w:val="20"/>
          <w:lang w:val="en-GB"/>
        </w:rPr>
      </w:pPr>
      <w:r w:rsidRPr="001D028A">
        <w:rPr>
          <w:rFonts w:cstheme="minorHAnsi"/>
          <w:b/>
          <w:bCs/>
          <w:sz w:val="20"/>
          <w:szCs w:val="20"/>
          <w:lang w:val="en-GB"/>
        </w:rPr>
        <w:t>Journal articles</w:t>
      </w:r>
    </w:p>
    <w:p w14:paraId="1F59BC81" w14:textId="77777777" w:rsidR="00C52B5B" w:rsidRPr="001D028A" w:rsidRDefault="00C52B5B" w:rsidP="00C52B5B">
      <w:pPr>
        <w:pStyle w:val="NoSpacing"/>
        <w:rPr>
          <w:rFonts w:cstheme="minorHAnsi"/>
          <w:sz w:val="20"/>
          <w:szCs w:val="20"/>
          <w:lang w:val="en-GB"/>
        </w:rPr>
      </w:pPr>
    </w:p>
    <w:p w14:paraId="50A1546A"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Arambepola, C, Scarborough, P &amp; Rayner, M 2008 ‘Validating a nutrient profile model’, </w:t>
      </w:r>
      <w:r w:rsidRPr="001D028A">
        <w:rPr>
          <w:rFonts w:eastAsia="Times New Roman" w:cstheme="minorHAnsi"/>
          <w:i/>
          <w:sz w:val="20"/>
          <w:szCs w:val="20"/>
        </w:rPr>
        <w:t>Public Health Nutrition</w:t>
      </w:r>
      <w:r w:rsidRPr="001D028A">
        <w:rPr>
          <w:rFonts w:eastAsia="Times New Roman" w:cstheme="minorHAnsi"/>
          <w:sz w:val="20"/>
          <w:szCs w:val="20"/>
        </w:rPr>
        <w:t>, vol. 11, no. 4, pp.371-378.</w:t>
      </w:r>
    </w:p>
    <w:p w14:paraId="58303F26" w14:textId="77777777" w:rsidR="00C52B5B" w:rsidRPr="001D028A" w:rsidRDefault="00C52B5B" w:rsidP="00C52B5B">
      <w:pPr>
        <w:pStyle w:val="NoSpacing"/>
        <w:rPr>
          <w:rFonts w:cstheme="minorHAnsi"/>
          <w:sz w:val="20"/>
          <w:szCs w:val="20"/>
          <w:lang w:val="en-GB"/>
        </w:rPr>
      </w:pPr>
    </w:p>
    <w:p w14:paraId="4DF36A1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Barclay, A &amp; Brand-Miller, J 2011, ‘The Australian paradox: a substantial decline in sugars intake over the same timeframe that overweight and obesity have increased,</w:t>
      </w:r>
      <w:r w:rsidRPr="001D028A">
        <w:rPr>
          <w:rFonts w:cstheme="minorHAnsi"/>
          <w:i/>
          <w:iCs/>
          <w:sz w:val="20"/>
          <w:szCs w:val="20"/>
          <w:lang w:val="en-GB"/>
        </w:rPr>
        <w:t xml:space="preserve"> Nutrients, </w:t>
      </w:r>
      <w:r w:rsidRPr="001D028A">
        <w:rPr>
          <w:rFonts w:cstheme="minorHAnsi"/>
          <w:iCs/>
          <w:sz w:val="20"/>
          <w:szCs w:val="20"/>
          <w:lang w:val="en-GB"/>
        </w:rPr>
        <w:t xml:space="preserve">vol. </w:t>
      </w:r>
      <w:r w:rsidRPr="001D028A">
        <w:rPr>
          <w:rFonts w:cstheme="minorHAnsi"/>
          <w:sz w:val="20"/>
          <w:szCs w:val="20"/>
          <w:lang w:val="en-GB"/>
        </w:rPr>
        <w:t>3, pp. 491-504.</w:t>
      </w:r>
    </w:p>
    <w:p w14:paraId="0E392981" w14:textId="77777777" w:rsidR="00C52B5B" w:rsidRPr="001D028A" w:rsidRDefault="00C52B5B" w:rsidP="00C52B5B">
      <w:pPr>
        <w:pStyle w:val="NoSpacing"/>
        <w:rPr>
          <w:rFonts w:cstheme="minorHAnsi"/>
          <w:sz w:val="20"/>
          <w:szCs w:val="20"/>
          <w:lang w:val="en-GB"/>
        </w:rPr>
      </w:pPr>
    </w:p>
    <w:p w14:paraId="41FA0218"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Beck, A, Heyman, M, Chao, C &amp; Wojcicki, J 2018, ‘Full fat milk consumption protects against severe childhood obesity in Latinos’, </w:t>
      </w:r>
      <w:r w:rsidRPr="001D028A">
        <w:rPr>
          <w:rFonts w:cstheme="minorHAnsi"/>
          <w:i/>
          <w:iCs/>
          <w:sz w:val="20"/>
          <w:szCs w:val="20"/>
          <w:lang w:val="en-GB"/>
        </w:rPr>
        <w:t xml:space="preserve">Preventive Medicine Reports </w:t>
      </w:r>
      <w:r w:rsidRPr="001D028A">
        <w:rPr>
          <w:rFonts w:cstheme="minorHAnsi"/>
          <w:iCs/>
          <w:sz w:val="20"/>
          <w:szCs w:val="20"/>
          <w:lang w:val="en-GB"/>
        </w:rPr>
        <w:t xml:space="preserve">vol. </w:t>
      </w:r>
      <w:r w:rsidRPr="001D028A">
        <w:rPr>
          <w:rFonts w:cstheme="minorHAnsi"/>
          <w:sz w:val="20"/>
          <w:szCs w:val="20"/>
          <w:lang w:val="en-GB"/>
        </w:rPr>
        <w:t>8, pp. 1-5.</w:t>
      </w:r>
    </w:p>
    <w:p w14:paraId="2F2F3075" w14:textId="77777777" w:rsidR="00C52B5B" w:rsidRPr="001D028A" w:rsidRDefault="00C52B5B" w:rsidP="00C52B5B">
      <w:pPr>
        <w:pStyle w:val="NoSpacing"/>
        <w:rPr>
          <w:rFonts w:cstheme="minorHAnsi"/>
          <w:sz w:val="20"/>
          <w:szCs w:val="20"/>
          <w:lang w:val="en-GB"/>
        </w:rPr>
      </w:pPr>
    </w:p>
    <w:p w14:paraId="4062B4E5"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Brand-Miller, J &amp; Barclay, A 2017, ‘Declining consumption of added sugars and sugar-sweetened beverages in Australia: a challenge for obesity prevention’, </w:t>
      </w:r>
      <w:r w:rsidRPr="001D028A">
        <w:rPr>
          <w:rFonts w:eastAsia="Times New Roman" w:cstheme="minorHAnsi"/>
          <w:i/>
          <w:sz w:val="20"/>
          <w:szCs w:val="20"/>
        </w:rPr>
        <w:t>The American Journal of Clinical Nutrition</w:t>
      </w:r>
      <w:r w:rsidRPr="001D028A">
        <w:rPr>
          <w:rFonts w:eastAsia="Times New Roman" w:cstheme="minorHAnsi"/>
          <w:sz w:val="20"/>
          <w:szCs w:val="20"/>
        </w:rPr>
        <w:t>, vol. 105, no. 4, pp. 854-863.</w:t>
      </w:r>
    </w:p>
    <w:p w14:paraId="25C29E78" w14:textId="77777777" w:rsidR="00C52B5B" w:rsidRPr="001D028A" w:rsidRDefault="00C52B5B" w:rsidP="00C52B5B">
      <w:pPr>
        <w:rPr>
          <w:rFonts w:eastAsia="Times New Roman" w:cstheme="minorHAnsi"/>
          <w:sz w:val="20"/>
          <w:szCs w:val="20"/>
        </w:rPr>
      </w:pPr>
    </w:p>
    <w:p w14:paraId="36461CF0" w14:textId="15109392" w:rsidR="00C52B5B" w:rsidRDefault="00C52B5B" w:rsidP="00C52B5B">
      <w:pPr>
        <w:pStyle w:val="NoSpacing"/>
        <w:rPr>
          <w:rFonts w:cstheme="minorHAnsi"/>
          <w:bCs/>
          <w:sz w:val="20"/>
          <w:szCs w:val="20"/>
          <w:lang w:val="en-GB"/>
        </w:rPr>
      </w:pPr>
      <w:r w:rsidRPr="001D028A">
        <w:rPr>
          <w:rFonts w:cstheme="minorHAnsi"/>
          <w:bCs/>
          <w:sz w:val="20"/>
          <w:szCs w:val="20"/>
          <w:lang w:val="en-GB"/>
        </w:rPr>
        <w:t xml:space="preserve">Brownbill, A, Braunack-Meye, A &amp; Miller, C 2018, ‘Health Star Ratings: What’s on the labels of Australian beverages?’, </w:t>
      </w:r>
      <w:r w:rsidRPr="001D028A">
        <w:rPr>
          <w:rFonts w:cstheme="minorHAnsi"/>
          <w:bCs/>
          <w:i/>
          <w:iCs/>
          <w:sz w:val="20"/>
          <w:szCs w:val="20"/>
          <w:lang w:val="en-GB"/>
        </w:rPr>
        <w:t xml:space="preserve">Health Promotion Journal of Australia, </w:t>
      </w:r>
      <w:r w:rsidRPr="001D028A">
        <w:rPr>
          <w:rFonts w:cstheme="minorHAnsi"/>
          <w:bCs/>
          <w:iCs/>
          <w:sz w:val="20"/>
          <w:szCs w:val="20"/>
          <w:lang w:val="en-GB"/>
        </w:rPr>
        <w:t>vol. 29,</w:t>
      </w:r>
      <w:r w:rsidRPr="001D028A">
        <w:rPr>
          <w:rFonts w:cstheme="minorHAnsi"/>
          <w:bCs/>
          <w:sz w:val="20"/>
          <w:szCs w:val="20"/>
          <w:lang w:val="en-GB"/>
        </w:rPr>
        <w:t xml:space="preserve"> pp. 1-5.</w:t>
      </w:r>
    </w:p>
    <w:p w14:paraId="37FA07BB" w14:textId="77777777" w:rsidR="00612BCF" w:rsidRPr="001D028A" w:rsidRDefault="00612BCF" w:rsidP="00C52B5B">
      <w:pPr>
        <w:pStyle w:val="NoSpacing"/>
        <w:rPr>
          <w:rFonts w:cstheme="minorHAnsi"/>
          <w:bCs/>
          <w:sz w:val="20"/>
          <w:szCs w:val="20"/>
          <w:lang w:val="en-GB"/>
        </w:rPr>
      </w:pPr>
    </w:p>
    <w:p w14:paraId="2C535CD9" w14:textId="77777777" w:rsidR="00612BCF" w:rsidRPr="003D7F31" w:rsidRDefault="00612BCF" w:rsidP="00612BCF">
      <w:pPr>
        <w:rPr>
          <w:rFonts w:cstheme="minorHAnsi"/>
          <w:sz w:val="20"/>
          <w:szCs w:val="20"/>
          <w:lang w:val="en-US"/>
        </w:rPr>
      </w:pPr>
      <w:r w:rsidRPr="003D7F31">
        <w:rPr>
          <w:rFonts w:cstheme="minorHAnsi"/>
          <w:sz w:val="20"/>
          <w:szCs w:val="20"/>
          <w:lang w:val="en-US"/>
        </w:rPr>
        <w:t xml:space="preserve">Brownbill AL, Miller C, Braunack-Mayer A, 2018 ‘Industry use of ‘better-for-you’ features on labels of sugar-containing beverages’, </w:t>
      </w:r>
      <w:r w:rsidRPr="003D7F31">
        <w:rPr>
          <w:rFonts w:cstheme="minorHAnsi"/>
          <w:i/>
          <w:sz w:val="20"/>
          <w:szCs w:val="20"/>
          <w:lang w:val="en-US"/>
        </w:rPr>
        <w:t>Public Health Nutr</w:t>
      </w:r>
      <w:r w:rsidRPr="003D7F31">
        <w:rPr>
          <w:rFonts w:cstheme="minorHAnsi"/>
          <w:sz w:val="20"/>
          <w:szCs w:val="20"/>
          <w:lang w:val="en-US"/>
        </w:rPr>
        <w:t>., vol. 21, no. 18, pp. 3335-43.</w:t>
      </w:r>
    </w:p>
    <w:p w14:paraId="151DADAE" w14:textId="77777777" w:rsidR="00612BCF" w:rsidRPr="003D7F31" w:rsidRDefault="00612BCF" w:rsidP="00612BCF">
      <w:pPr>
        <w:rPr>
          <w:rFonts w:cstheme="minorHAnsi"/>
          <w:sz w:val="20"/>
          <w:szCs w:val="20"/>
          <w:lang w:val="en-US"/>
        </w:rPr>
      </w:pPr>
    </w:p>
    <w:p w14:paraId="2E9CA336" w14:textId="77777777" w:rsidR="00612BCF" w:rsidRPr="003D7F31" w:rsidRDefault="00612BCF" w:rsidP="003272AE">
      <w:pPr>
        <w:pStyle w:val="FootnoteText"/>
        <w:rPr>
          <w:lang w:val="en-US"/>
        </w:rPr>
      </w:pPr>
      <w:r w:rsidRPr="003D7F31">
        <w:rPr>
          <w:lang w:val="en-US"/>
        </w:rPr>
        <w:t xml:space="preserve">Bucher T, Siegrist M. 2015 ‘Children's and parents' health perception of different soft drinks’ </w:t>
      </w:r>
      <w:r w:rsidRPr="003D7F31">
        <w:rPr>
          <w:i/>
          <w:lang w:val="en-US"/>
        </w:rPr>
        <w:t>Br J Nutr</w:t>
      </w:r>
      <w:r w:rsidRPr="003D7F31">
        <w:rPr>
          <w:lang w:val="en-US"/>
        </w:rPr>
        <w:t>., vol. 113, no. 3, pp. 526-35.</w:t>
      </w:r>
    </w:p>
    <w:p w14:paraId="3AD0F7A2" w14:textId="77777777" w:rsidR="00C52B5B" w:rsidRPr="001D028A" w:rsidRDefault="00C52B5B" w:rsidP="00C52B5B">
      <w:pPr>
        <w:pStyle w:val="NoSpacing"/>
        <w:rPr>
          <w:rFonts w:cstheme="minorHAnsi"/>
          <w:b/>
          <w:bCs/>
          <w:sz w:val="20"/>
          <w:szCs w:val="20"/>
          <w:u w:val="single"/>
          <w:lang w:val="en-GB"/>
        </w:rPr>
      </w:pPr>
    </w:p>
    <w:p w14:paraId="7DB8D086" w14:textId="77777777" w:rsidR="00C52B5B" w:rsidRPr="001D028A" w:rsidRDefault="00C52B5B" w:rsidP="00C52B5B">
      <w:pPr>
        <w:pStyle w:val="Default"/>
        <w:rPr>
          <w:rFonts w:asciiTheme="minorHAnsi" w:hAnsiTheme="minorHAnsi" w:cstheme="minorHAnsi"/>
          <w:color w:val="auto"/>
          <w:sz w:val="20"/>
          <w:szCs w:val="20"/>
          <w:lang w:val="en-GB"/>
        </w:rPr>
      </w:pPr>
      <w:r w:rsidRPr="001D028A">
        <w:rPr>
          <w:rFonts w:asciiTheme="minorHAnsi" w:hAnsiTheme="minorHAnsi" w:cstheme="minorHAnsi"/>
          <w:color w:val="auto"/>
          <w:sz w:val="20"/>
          <w:szCs w:val="20"/>
          <w:lang w:val="en-GB"/>
        </w:rPr>
        <w:t xml:space="preserve">Carrad, A, Louie, JCY, Yeatman, HR, Dunford, EK, Neal, BC &amp; Flood, VM 2016 ‘A nutrient profiling assessment of packaged foods using two star-based front-of-pack labels’, </w:t>
      </w:r>
      <w:r w:rsidRPr="001D028A">
        <w:rPr>
          <w:rFonts w:asciiTheme="minorHAnsi" w:hAnsiTheme="minorHAnsi" w:cstheme="minorHAnsi"/>
          <w:i/>
          <w:iCs/>
          <w:color w:val="auto"/>
          <w:sz w:val="20"/>
          <w:szCs w:val="20"/>
          <w:lang w:val="en-GB"/>
        </w:rPr>
        <w:t>Public Health Nutrition</w:t>
      </w:r>
      <w:r w:rsidRPr="001D028A">
        <w:rPr>
          <w:rFonts w:asciiTheme="minorHAnsi" w:hAnsiTheme="minorHAnsi" w:cstheme="minorHAnsi"/>
          <w:color w:val="auto"/>
          <w:sz w:val="20"/>
          <w:szCs w:val="20"/>
          <w:lang w:val="en-GB"/>
        </w:rPr>
        <w:t>, vol. 19, no. 12, pp. 2165-2174.</w:t>
      </w:r>
    </w:p>
    <w:p w14:paraId="36249A3E" w14:textId="77777777" w:rsidR="00C52B5B" w:rsidRPr="001D028A" w:rsidRDefault="00C52B5B" w:rsidP="00C52B5B">
      <w:pPr>
        <w:rPr>
          <w:rFonts w:eastAsia="Times New Roman" w:cstheme="minorHAnsi"/>
          <w:i/>
          <w:sz w:val="20"/>
          <w:szCs w:val="20"/>
        </w:rPr>
      </w:pPr>
    </w:p>
    <w:p w14:paraId="353E1637"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Chantal, J, Blanchet, O, Mejean, C, Fezeu, L,  Touvier, M, Peneau, S, Ducrot, P, Alles, B, Singler, E &amp; Kesse-Guyot, E 2016, ‘Impact of the front-of-pack 5-colour nutrition label (5-CNL) on the nutritional quality of purchases: an experimental study’</w:t>
      </w:r>
      <w:r w:rsidRPr="001D028A">
        <w:rPr>
          <w:rFonts w:eastAsia="Times New Roman" w:cstheme="minorHAnsi"/>
          <w:i/>
          <w:sz w:val="20"/>
          <w:szCs w:val="20"/>
        </w:rPr>
        <w:t xml:space="preserve">, International Journal of Behavioural Nutrition and Physical Activity, </w:t>
      </w:r>
      <w:r w:rsidRPr="001D028A">
        <w:rPr>
          <w:rFonts w:eastAsia="Times New Roman" w:cstheme="minorHAnsi"/>
          <w:sz w:val="20"/>
          <w:szCs w:val="20"/>
        </w:rPr>
        <w:t>vol. 13 no. 101</w:t>
      </w:r>
      <w:r w:rsidRPr="001D028A">
        <w:rPr>
          <w:rFonts w:eastAsia="Times New Roman" w:cstheme="minorHAnsi"/>
          <w:i/>
          <w:sz w:val="20"/>
          <w:szCs w:val="20"/>
        </w:rPr>
        <w:t>.</w:t>
      </w:r>
    </w:p>
    <w:p w14:paraId="29E6FFB8" w14:textId="77777777" w:rsidR="00C52B5B" w:rsidRPr="001D028A" w:rsidRDefault="00C52B5B" w:rsidP="00C52B5B">
      <w:pPr>
        <w:rPr>
          <w:rFonts w:eastAsia="Times New Roman" w:cstheme="minorHAnsi"/>
          <w:i/>
          <w:sz w:val="20"/>
          <w:szCs w:val="20"/>
        </w:rPr>
      </w:pPr>
    </w:p>
    <w:p w14:paraId="1DECF11D"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Chantal, J, Ducrot, P, Peneau, S, Deschamps, V, Mejean, C, Fezeu, L, Touvier, M, Hercberg, S &amp; Kesse-Guyot, E 2015, ‘Discriminating nutritional quality of foods using the 5-Color nutrition label in the French food market: consistency with nutritional recommendations’</w:t>
      </w:r>
      <w:r w:rsidRPr="001D028A">
        <w:rPr>
          <w:rFonts w:eastAsia="Times New Roman" w:cstheme="minorHAnsi"/>
          <w:i/>
          <w:sz w:val="20"/>
          <w:szCs w:val="20"/>
        </w:rPr>
        <w:t>, Nutrition Journal</w:t>
      </w:r>
      <w:r w:rsidRPr="001D028A">
        <w:rPr>
          <w:rFonts w:eastAsia="Times New Roman" w:cstheme="minorHAnsi"/>
          <w:sz w:val="20"/>
          <w:szCs w:val="20"/>
        </w:rPr>
        <w:t>, vol. 14, no. 100, pp. 1-12.</w:t>
      </w:r>
    </w:p>
    <w:p w14:paraId="25EAB303" w14:textId="77777777" w:rsidR="00C52B5B" w:rsidRPr="001D028A" w:rsidRDefault="00C52B5B" w:rsidP="00C52B5B">
      <w:pPr>
        <w:pStyle w:val="NoSpacing"/>
        <w:rPr>
          <w:rFonts w:cstheme="minorHAnsi"/>
          <w:sz w:val="20"/>
          <w:szCs w:val="20"/>
          <w:lang w:val="en-GB"/>
        </w:rPr>
      </w:pPr>
    </w:p>
    <w:p w14:paraId="37E24CE3"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 xml:space="preserve">Chantal, J, Kesse-Guyot, E, Touvier, M, Mejean, C, Fezeu, L &amp; Hercberg, S 2014, ‘Application of the British Food Standards Agency nutrient profiling system in a French food composition database’, </w:t>
      </w:r>
      <w:r w:rsidRPr="001D028A">
        <w:rPr>
          <w:rFonts w:eastAsia="Times New Roman" w:cstheme="minorHAnsi"/>
          <w:i/>
          <w:sz w:val="20"/>
          <w:szCs w:val="20"/>
        </w:rPr>
        <w:t>British Journal of Nutrition</w:t>
      </w:r>
      <w:r w:rsidRPr="001D028A">
        <w:rPr>
          <w:rFonts w:eastAsia="Times New Roman" w:cstheme="minorHAnsi"/>
          <w:sz w:val="20"/>
          <w:szCs w:val="20"/>
        </w:rPr>
        <w:t>, vol. 112, pp. 1699-1705.</w:t>
      </w:r>
    </w:p>
    <w:p w14:paraId="7FAC6F49" w14:textId="77777777" w:rsidR="00C52B5B" w:rsidRPr="001D028A" w:rsidRDefault="00C52B5B" w:rsidP="00C52B5B">
      <w:pPr>
        <w:pStyle w:val="NoSpacing"/>
        <w:rPr>
          <w:rFonts w:cstheme="minorHAnsi"/>
          <w:sz w:val="20"/>
          <w:szCs w:val="20"/>
        </w:rPr>
      </w:pPr>
    </w:p>
    <w:p w14:paraId="15364706"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Chantal, J, Mejean, C, Touvier, M, Peneau, S, Lassale, C, Ducrot, P, Hereberg, S &amp; Kesse-Guyot, E 2016, ‘Validation of the FSA nutrient profiling system dietary index in French adults – findings from SUVIMAX study’, </w:t>
      </w:r>
      <w:r w:rsidRPr="001D028A">
        <w:rPr>
          <w:rFonts w:eastAsia="Times New Roman" w:cstheme="minorHAnsi"/>
          <w:i/>
          <w:sz w:val="20"/>
          <w:szCs w:val="20"/>
        </w:rPr>
        <w:t>European Journal of Nutrition</w:t>
      </w:r>
      <w:r w:rsidRPr="001D028A">
        <w:rPr>
          <w:rFonts w:eastAsia="Times New Roman" w:cstheme="minorHAnsi"/>
          <w:sz w:val="20"/>
          <w:szCs w:val="20"/>
        </w:rPr>
        <w:t>, vol. 55, pp. 1901-1910.</w:t>
      </w:r>
    </w:p>
    <w:p w14:paraId="5E4F5C43" w14:textId="77777777" w:rsidR="00C52B5B" w:rsidRPr="001D028A" w:rsidRDefault="00C52B5B" w:rsidP="00C52B5B">
      <w:pPr>
        <w:rPr>
          <w:rFonts w:eastAsia="Times New Roman" w:cstheme="minorHAnsi"/>
          <w:sz w:val="20"/>
          <w:szCs w:val="20"/>
        </w:rPr>
      </w:pPr>
    </w:p>
    <w:p w14:paraId="25936131"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Chantal, J, Peneau, S, Buscail, C, Gonzalez, R, Touvier, M, Hercberg, S &amp; Kesse-Guyot, E 2017, ‘Perception of different formats of front-of-pack nutrition labels according to sociodemographic, lifestyle and dietary factors in a French population: cross-sectional study among the MutriNet-Sante cohort participants’, </w:t>
      </w:r>
      <w:r w:rsidRPr="001D028A">
        <w:rPr>
          <w:rFonts w:eastAsia="Times New Roman" w:cstheme="minorHAnsi"/>
          <w:i/>
          <w:sz w:val="20"/>
          <w:szCs w:val="20"/>
        </w:rPr>
        <w:t>BMJ Open Access Research</w:t>
      </w:r>
      <w:r w:rsidRPr="001D028A">
        <w:rPr>
          <w:rFonts w:eastAsia="Times New Roman" w:cstheme="minorHAnsi"/>
          <w:sz w:val="20"/>
          <w:szCs w:val="20"/>
        </w:rPr>
        <w:t>, published by group.bmj.com.</w:t>
      </w:r>
    </w:p>
    <w:p w14:paraId="22044907" w14:textId="77777777" w:rsidR="00C52B5B" w:rsidRPr="001D028A" w:rsidRDefault="00C52B5B" w:rsidP="00C52B5B">
      <w:pPr>
        <w:pStyle w:val="NoSpacing"/>
        <w:rPr>
          <w:rFonts w:cstheme="minorHAnsi"/>
          <w:sz w:val="20"/>
          <w:szCs w:val="20"/>
          <w:lang w:val="en-GB"/>
        </w:rPr>
      </w:pPr>
    </w:p>
    <w:p w14:paraId="19725C2D" w14:textId="77777777" w:rsidR="00C52B5B" w:rsidRPr="001D028A" w:rsidRDefault="00C52B5B" w:rsidP="00C52B5B">
      <w:pPr>
        <w:pStyle w:val="NoSpacing"/>
        <w:rPr>
          <w:rFonts w:cstheme="minorHAnsi"/>
          <w:sz w:val="20"/>
          <w:szCs w:val="20"/>
        </w:rPr>
      </w:pPr>
      <w:r w:rsidRPr="001D028A">
        <w:rPr>
          <w:rFonts w:cstheme="minorHAnsi"/>
          <w:sz w:val="20"/>
          <w:szCs w:val="20"/>
        </w:rPr>
        <w:t>Cowburn, G, &amp; Stockley, L 2005 ‘Consumer understanding and use of nutrition labelling: A systematic review’ </w:t>
      </w:r>
      <w:r w:rsidRPr="001D028A">
        <w:rPr>
          <w:rFonts w:cstheme="minorHAnsi"/>
          <w:i/>
          <w:sz w:val="20"/>
          <w:szCs w:val="20"/>
        </w:rPr>
        <w:t>Public Health Nutrition</w:t>
      </w:r>
      <w:r w:rsidRPr="001D028A">
        <w:rPr>
          <w:rFonts w:cstheme="minorHAnsi"/>
          <w:sz w:val="20"/>
          <w:szCs w:val="20"/>
        </w:rPr>
        <w:t>, vol. 8, no.1, pp. 21-28. </w:t>
      </w:r>
    </w:p>
    <w:p w14:paraId="5346DA87" w14:textId="77777777" w:rsidR="00C52B5B" w:rsidRPr="001D028A" w:rsidRDefault="00C52B5B" w:rsidP="00C52B5B">
      <w:pPr>
        <w:pStyle w:val="NoSpacing"/>
        <w:rPr>
          <w:rFonts w:cstheme="minorHAnsi"/>
          <w:sz w:val="20"/>
          <w:szCs w:val="20"/>
          <w:lang w:val="en-GB"/>
        </w:rPr>
      </w:pPr>
    </w:p>
    <w:p w14:paraId="603A3F0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Crino, M, Sacks, G, Dunford, E, Trieu, K, Webster, J, Vandevijvere, S, Swinburn, B, Wu, JY &amp; Neal, B 2018 ‘Measuring the healthiness of the packaged food supply in Australia’, </w:t>
      </w:r>
      <w:r w:rsidRPr="001D028A">
        <w:rPr>
          <w:rFonts w:cstheme="minorHAnsi"/>
          <w:i/>
          <w:iCs/>
          <w:sz w:val="20"/>
          <w:szCs w:val="20"/>
          <w:lang w:val="en-GB"/>
        </w:rPr>
        <w:t>Nutrients</w:t>
      </w:r>
      <w:r w:rsidRPr="001D028A">
        <w:rPr>
          <w:rFonts w:cstheme="minorHAnsi"/>
          <w:sz w:val="20"/>
          <w:szCs w:val="20"/>
          <w:lang w:val="en-GB"/>
        </w:rPr>
        <w:t>, vol. 10, no. 6, p.702.</w:t>
      </w:r>
    </w:p>
    <w:p w14:paraId="35904B5B" w14:textId="77777777" w:rsidR="00C52B5B" w:rsidRPr="001D028A" w:rsidRDefault="00C52B5B" w:rsidP="00C52B5B">
      <w:pPr>
        <w:pStyle w:val="NoSpacing"/>
        <w:rPr>
          <w:rFonts w:cstheme="minorHAnsi"/>
          <w:bCs/>
          <w:sz w:val="20"/>
          <w:szCs w:val="20"/>
          <w:lang w:val="en-GB"/>
        </w:rPr>
      </w:pPr>
    </w:p>
    <w:p w14:paraId="7BA79FCC"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Dhingra, D, Michael, M, Rajput, H &amp; Patil, R 2012, ‘Dietary fibre in foods: a review’, </w:t>
      </w:r>
      <w:r w:rsidRPr="001D028A">
        <w:rPr>
          <w:rFonts w:cstheme="minorHAnsi"/>
          <w:i/>
          <w:iCs/>
          <w:sz w:val="20"/>
          <w:szCs w:val="20"/>
          <w:lang w:val="en-GB"/>
        </w:rPr>
        <w:t>Journal of Food Science Technology</w:t>
      </w:r>
      <w:r w:rsidRPr="001D028A">
        <w:rPr>
          <w:rFonts w:cstheme="minorHAnsi"/>
          <w:sz w:val="20"/>
          <w:szCs w:val="20"/>
          <w:lang w:val="en-GB"/>
        </w:rPr>
        <w:t>, vol. 49 no.3, pp. 255-266.</w:t>
      </w:r>
    </w:p>
    <w:p w14:paraId="68AA48B9" w14:textId="77777777" w:rsidR="00C52B5B" w:rsidRPr="001D028A" w:rsidRDefault="00C52B5B" w:rsidP="00C52B5B">
      <w:pPr>
        <w:pStyle w:val="NoSpacing"/>
        <w:rPr>
          <w:rFonts w:cstheme="minorHAnsi"/>
          <w:sz w:val="20"/>
          <w:szCs w:val="20"/>
          <w:lang w:val="en-GB"/>
        </w:rPr>
      </w:pPr>
    </w:p>
    <w:p w14:paraId="67B4C589" w14:textId="77777777" w:rsidR="00C52B5B" w:rsidRPr="001D028A" w:rsidRDefault="00C52B5B" w:rsidP="00C52B5B">
      <w:pPr>
        <w:autoSpaceDE w:val="0"/>
        <w:autoSpaceDN w:val="0"/>
        <w:adjustRightInd w:val="0"/>
        <w:rPr>
          <w:rFonts w:cstheme="minorHAnsi"/>
          <w:color w:val="000000"/>
          <w:sz w:val="20"/>
          <w:szCs w:val="20"/>
          <w:lang w:val="en-US"/>
        </w:rPr>
      </w:pPr>
      <w:r w:rsidRPr="001D028A">
        <w:rPr>
          <w:rFonts w:cstheme="minorHAnsi"/>
          <w:color w:val="000000"/>
          <w:sz w:val="20"/>
          <w:szCs w:val="20"/>
          <w:lang w:val="en-US"/>
        </w:rPr>
        <w:t xml:space="preserve">Dunford, EK, Huang, L, Peters, SAE, Crino, M, Neal, BC &amp; Ni Mhurchu, C 2018, ‘Evaluation of alignment between the Health Claims Nutrient Profiling Scoring Criterion (NPSC) and the Health Star Rating (HSR) Nutrient Profiling Models’, </w:t>
      </w:r>
      <w:r w:rsidRPr="001D028A">
        <w:rPr>
          <w:rFonts w:cstheme="minorHAnsi"/>
          <w:i/>
          <w:iCs/>
          <w:color w:val="000000"/>
          <w:sz w:val="20"/>
          <w:szCs w:val="20"/>
          <w:lang w:val="en-US"/>
        </w:rPr>
        <w:t>Nutrients</w:t>
      </w:r>
      <w:r w:rsidRPr="001D028A">
        <w:rPr>
          <w:rFonts w:cstheme="minorHAnsi"/>
          <w:color w:val="000000"/>
          <w:sz w:val="20"/>
          <w:szCs w:val="20"/>
          <w:lang w:val="en-US"/>
        </w:rPr>
        <w:t>, vol. 10, no. 8, p. 1065.</w:t>
      </w:r>
    </w:p>
    <w:p w14:paraId="1D0AFAEE" w14:textId="77777777" w:rsidR="00C52B5B" w:rsidRPr="001D028A" w:rsidRDefault="00C52B5B" w:rsidP="00C52B5B">
      <w:pPr>
        <w:autoSpaceDE w:val="0"/>
        <w:autoSpaceDN w:val="0"/>
        <w:adjustRightInd w:val="0"/>
        <w:rPr>
          <w:rFonts w:cstheme="minorHAnsi"/>
          <w:color w:val="000000"/>
          <w:sz w:val="20"/>
          <w:szCs w:val="20"/>
        </w:rPr>
      </w:pPr>
    </w:p>
    <w:p w14:paraId="49492DFD"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Egnell, M, Talati, Z, Hercberg, S, Pettigrew, S &amp; Chantal, J 2018, ‘Objective understanding of front-of-package nutrition labels: an international comparative experimental study across 12 countries’, </w:t>
      </w:r>
      <w:r w:rsidRPr="001D028A">
        <w:rPr>
          <w:rFonts w:cstheme="minorHAnsi"/>
          <w:i/>
          <w:iCs/>
          <w:sz w:val="20"/>
          <w:szCs w:val="20"/>
        </w:rPr>
        <w:t>Nutrients</w:t>
      </w:r>
      <w:r w:rsidRPr="001D028A">
        <w:rPr>
          <w:rFonts w:cstheme="minorHAnsi"/>
          <w:sz w:val="20"/>
          <w:szCs w:val="20"/>
        </w:rPr>
        <w:t xml:space="preserve">, vol. 10, no. 1542. </w:t>
      </w:r>
    </w:p>
    <w:p w14:paraId="464369C7" w14:textId="77777777" w:rsidR="00612BCF" w:rsidRDefault="00612BCF" w:rsidP="00612BCF">
      <w:pPr>
        <w:rPr>
          <w:rFonts w:eastAsia="Times New Roman" w:cstheme="minorHAnsi"/>
          <w:sz w:val="20"/>
          <w:szCs w:val="20"/>
        </w:rPr>
      </w:pPr>
    </w:p>
    <w:p w14:paraId="233DCCCA" w14:textId="77777777" w:rsidR="00612BCF" w:rsidRPr="003D7F31" w:rsidRDefault="00612BCF" w:rsidP="00612BCF">
      <w:pPr>
        <w:autoSpaceDE w:val="0"/>
        <w:autoSpaceDN w:val="0"/>
        <w:adjustRightInd w:val="0"/>
        <w:rPr>
          <w:rFonts w:cstheme="minorHAnsi"/>
          <w:sz w:val="20"/>
          <w:szCs w:val="20"/>
          <w:lang w:val="en-US"/>
        </w:rPr>
      </w:pPr>
      <w:r w:rsidRPr="003D7F31">
        <w:rPr>
          <w:rFonts w:cstheme="minorHAnsi"/>
          <w:sz w:val="20"/>
          <w:szCs w:val="20"/>
          <w:lang w:val="en-US"/>
        </w:rPr>
        <w:t xml:space="preserve">Eli K, Hornell A, Etminan Malek M, Nowicka P. 2017 ‘Water, juice, or soda? Mothers and grandmothers of preschoolers discuss the acceptability and accessibility of beverages’ </w:t>
      </w:r>
      <w:r w:rsidRPr="003D7F31">
        <w:rPr>
          <w:rFonts w:cstheme="minorHAnsi"/>
          <w:i/>
          <w:sz w:val="20"/>
          <w:szCs w:val="20"/>
          <w:lang w:val="en-US"/>
        </w:rPr>
        <w:t>Appetite</w:t>
      </w:r>
      <w:r w:rsidRPr="003D7F31">
        <w:rPr>
          <w:rFonts w:cstheme="minorHAnsi"/>
          <w:sz w:val="20"/>
          <w:szCs w:val="20"/>
          <w:lang w:val="en-US"/>
        </w:rPr>
        <w:t>, vol. 112, pp. 133-42.</w:t>
      </w:r>
    </w:p>
    <w:p w14:paraId="17761F3A" w14:textId="77777777" w:rsidR="00C52B5B" w:rsidRPr="001D028A" w:rsidRDefault="00C52B5B" w:rsidP="00C52B5B">
      <w:pPr>
        <w:pStyle w:val="NoSpacing"/>
        <w:rPr>
          <w:rFonts w:cstheme="minorHAnsi"/>
          <w:sz w:val="20"/>
          <w:szCs w:val="20"/>
        </w:rPr>
      </w:pPr>
    </w:p>
    <w:p w14:paraId="29989F28"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Elia, M &amp; Cummings, J.H 2007, ‘Physiological aspects of energy metabolism and gastrointestinal effects of carbohydrates’, </w:t>
      </w:r>
      <w:r w:rsidRPr="001D028A">
        <w:rPr>
          <w:rFonts w:eastAsia="Times New Roman" w:cstheme="minorHAnsi"/>
          <w:i/>
          <w:iCs/>
          <w:sz w:val="20"/>
          <w:szCs w:val="20"/>
        </w:rPr>
        <w:t>European Journal of Clinical Nutrition</w:t>
      </w:r>
      <w:r w:rsidRPr="001D028A">
        <w:rPr>
          <w:rFonts w:eastAsia="Times New Roman" w:cstheme="minorHAnsi"/>
          <w:sz w:val="20"/>
          <w:szCs w:val="20"/>
        </w:rPr>
        <w:t>, vol. 61 (Suppl 1), S40-S74.</w:t>
      </w:r>
    </w:p>
    <w:p w14:paraId="21413B89" w14:textId="77777777" w:rsidR="00612BCF" w:rsidRPr="001D028A" w:rsidRDefault="00612BCF" w:rsidP="00C52B5B">
      <w:pPr>
        <w:rPr>
          <w:rFonts w:eastAsia="Times New Roman" w:cstheme="minorHAnsi"/>
          <w:sz w:val="20"/>
          <w:szCs w:val="20"/>
        </w:rPr>
      </w:pPr>
    </w:p>
    <w:p w14:paraId="3108220B"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Emrich, T, Qi, Y, Lou, W &amp; L’Abbe, M February 2017, ‘Traffic-light labels could reduce population intakes of calories, total fat, saturated fat, and sodium’, </w:t>
      </w:r>
      <w:r w:rsidRPr="001D028A">
        <w:rPr>
          <w:rFonts w:cstheme="minorHAnsi"/>
          <w:i/>
          <w:sz w:val="20"/>
          <w:szCs w:val="20"/>
        </w:rPr>
        <w:t>PLoS One,</w:t>
      </w:r>
      <w:r w:rsidRPr="001D028A">
        <w:rPr>
          <w:rFonts w:cstheme="minorHAnsi"/>
          <w:sz w:val="20"/>
          <w:szCs w:val="20"/>
        </w:rPr>
        <w:t xml:space="preserve"> vol. 12, no. 2.</w:t>
      </w:r>
    </w:p>
    <w:p w14:paraId="200ECAA0" w14:textId="390BC943" w:rsidR="00C52B5B" w:rsidRDefault="00C52B5B" w:rsidP="00C52B5B">
      <w:pPr>
        <w:pStyle w:val="NoSpacing"/>
        <w:rPr>
          <w:rFonts w:cstheme="minorHAnsi"/>
          <w:sz w:val="20"/>
          <w:szCs w:val="20"/>
          <w:lang w:val="en-GB"/>
        </w:rPr>
      </w:pPr>
    </w:p>
    <w:p w14:paraId="4B0810B9" w14:textId="6A220BDD" w:rsidR="00612BCF" w:rsidRDefault="00612BCF" w:rsidP="00173A82">
      <w:pPr>
        <w:pStyle w:val="mpcbullets2"/>
        <w:numPr>
          <w:ilvl w:val="0"/>
          <w:numId w:val="0"/>
        </w:numPr>
      </w:pPr>
      <w:r w:rsidRPr="003D7F31">
        <w:t>Fardet A, Leenhardt F, Lioger D, et al. 2006 'Parameters controlling the glycaemic response to breads' </w:t>
      </w:r>
      <w:r w:rsidRPr="003D7F31">
        <w:rPr>
          <w:i/>
        </w:rPr>
        <w:t>Nutr Res Rev</w:t>
      </w:r>
      <w:r>
        <w:rPr>
          <w:i/>
        </w:rPr>
        <w:t>.</w:t>
      </w:r>
      <w:r w:rsidRPr="003D7F31">
        <w:t>, vol. 19, pp. 18-25.</w:t>
      </w:r>
    </w:p>
    <w:p w14:paraId="1AF95441" w14:textId="77777777" w:rsidR="00612BCF" w:rsidRPr="003D7F31" w:rsidRDefault="00612BCF" w:rsidP="00173A82">
      <w:pPr>
        <w:pStyle w:val="mpcbullets2"/>
        <w:numPr>
          <w:ilvl w:val="0"/>
          <w:numId w:val="0"/>
        </w:numPr>
      </w:pPr>
    </w:p>
    <w:p w14:paraId="0F765809" w14:textId="77777777" w:rsidR="00612BCF" w:rsidRPr="003D7F31" w:rsidRDefault="00612BCF" w:rsidP="00173A82">
      <w:pPr>
        <w:pStyle w:val="mpcbullets2"/>
        <w:numPr>
          <w:ilvl w:val="0"/>
          <w:numId w:val="0"/>
        </w:numPr>
      </w:pPr>
      <w:r w:rsidRPr="003D7F31">
        <w:t>Fardet, A 2010 'New hypotheses for the health-protective mechanisms of whole-grain cereals: What is beyond fibre?' </w:t>
      </w:r>
      <w:r w:rsidRPr="003D7F31">
        <w:rPr>
          <w:i/>
        </w:rPr>
        <w:t>Nutrition Research Reviews</w:t>
      </w:r>
      <w:r w:rsidRPr="003D7F31">
        <w:t>, vol. 23, no. 1, pp. 65-134. </w:t>
      </w:r>
    </w:p>
    <w:p w14:paraId="1434DCD2" w14:textId="77777777" w:rsidR="00612BCF" w:rsidRPr="001D028A" w:rsidRDefault="00612BCF" w:rsidP="00C52B5B">
      <w:pPr>
        <w:pStyle w:val="NoSpacing"/>
        <w:rPr>
          <w:rFonts w:cstheme="minorHAnsi"/>
          <w:sz w:val="20"/>
          <w:szCs w:val="20"/>
          <w:lang w:val="en-GB"/>
        </w:rPr>
      </w:pPr>
    </w:p>
    <w:p w14:paraId="728032AA" w14:textId="77777777" w:rsidR="00C52B5B" w:rsidRPr="001D028A" w:rsidRDefault="00C52B5B" w:rsidP="00C52B5B">
      <w:pPr>
        <w:pStyle w:val="mpcNormal"/>
        <w:keepNext w:val="0"/>
        <w:rPr>
          <w:sz w:val="20"/>
          <w:szCs w:val="20"/>
          <w:lang w:val="en-GB"/>
        </w:rPr>
      </w:pPr>
      <w:r w:rsidRPr="001D028A">
        <w:rPr>
          <w:sz w:val="20"/>
          <w:szCs w:val="20"/>
          <w:lang w:val="en-GB"/>
        </w:rPr>
        <w:t xml:space="preserve">Fayet-Moore, F, McConnell, A, Tuck, K &amp; Petocz, P 2017, ‘Breakfast and Breakfast Cereal Choice and its impact on nutrient and sugar intakes and anthropometric measures among a nationally representative sample of Australian children and adolescents’, </w:t>
      </w:r>
      <w:r w:rsidRPr="001D028A">
        <w:rPr>
          <w:i/>
          <w:iCs/>
          <w:sz w:val="20"/>
          <w:szCs w:val="20"/>
          <w:lang w:val="en-GB"/>
        </w:rPr>
        <w:t>Nutrients</w:t>
      </w:r>
      <w:r w:rsidRPr="001D028A">
        <w:rPr>
          <w:sz w:val="20"/>
          <w:szCs w:val="20"/>
          <w:lang w:val="en-GB"/>
        </w:rPr>
        <w:t>, vol. 9, no. 1045.</w:t>
      </w:r>
    </w:p>
    <w:p w14:paraId="3B249C18" w14:textId="77777777" w:rsidR="00C52B5B" w:rsidRPr="001D028A" w:rsidRDefault="00C52B5B" w:rsidP="00C52B5B">
      <w:pPr>
        <w:pStyle w:val="NoSpacing"/>
        <w:rPr>
          <w:rFonts w:cstheme="minorHAnsi"/>
          <w:b/>
          <w:bCs/>
          <w:sz w:val="20"/>
          <w:szCs w:val="20"/>
          <w:u w:val="single"/>
          <w:lang w:val="en-GB"/>
        </w:rPr>
      </w:pPr>
    </w:p>
    <w:p w14:paraId="068513C6" w14:textId="77777777" w:rsidR="00C52B5B" w:rsidRPr="001D028A" w:rsidRDefault="00C52B5B" w:rsidP="00C52B5B">
      <w:pPr>
        <w:autoSpaceDE w:val="0"/>
        <w:autoSpaceDN w:val="0"/>
        <w:adjustRightInd w:val="0"/>
        <w:rPr>
          <w:rFonts w:cstheme="minorHAnsi"/>
          <w:sz w:val="20"/>
          <w:szCs w:val="20"/>
          <w:lang w:val="en-GB"/>
        </w:rPr>
      </w:pPr>
      <w:r w:rsidRPr="001D028A">
        <w:rPr>
          <w:rFonts w:cstheme="minorHAnsi"/>
          <w:sz w:val="20"/>
          <w:szCs w:val="20"/>
          <w:lang w:val="en-GB"/>
        </w:rPr>
        <w:t xml:space="preserve">Galea, L.M, Dalton, S.M.C, Beck, E.J, Cashman, C. J &amp; Probst, Y.C 2016, ‘Update of a database for estimation of whole grain content of foods in Australia’, </w:t>
      </w:r>
      <w:r w:rsidRPr="001D028A">
        <w:rPr>
          <w:rFonts w:cstheme="minorHAnsi"/>
          <w:i/>
          <w:iCs/>
          <w:sz w:val="20"/>
          <w:szCs w:val="20"/>
          <w:lang w:val="en-GB"/>
        </w:rPr>
        <w:t>Journal of Food Composition and Analysis,</w:t>
      </w:r>
      <w:r w:rsidRPr="001D028A">
        <w:rPr>
          <w:rFonts w:cstheme="minorHAnsi"/>
          <w:sz w:val="20"/>
          <w:szCs w:val="20"/>
          <w:lang w:val="en-GB"/>
        </w:rPr>
        <w:t xml:space="preserve"> vol. 50, pp. 23-29.</w:t>
      </w:r>
    </w:p>
    <w:p w14:paraId="3A54383F" w14:textId="70E53AB0" w:rsidR="00C52B5B" w:rsidRDefault="00C52B5B" w:rsidP="00C52B5B">
      <w:pPr>
        <w:pStyle w:val="NoSpacing"/>
        <w:rPr>
          <w:rFonts w:cstheme="minorHAnsi"/>
          <w:color w:val="000000"/>
          <w:sz w:val="20"/>
          <w:szCs w:val="20"/>
        </w:rPr>
      </w:pPr>
    </w:p>
    <w:p w14:paraId="74DA32ED" w14:textId="20C546B6" w:rsidR="00612BCF" w:rsidRPr="003D7F31" w:rsidRDefault="00612BCF" w:rsidP="003272AE">
      <w:pPr>
        <w:pStyle w:val="FootnoteText"/>
      </w:pPr>
      <w:r w:rsidRPr="003D7F31">
        <w:t>Granfeldt Y, Hagander B</w:t>
      </w:r>
      <w:r>
        <w:t>,</w:t>
      </w:r>
      <w:r w:rsidRPr="003D7F31">
        <w:t xml:space="preserve"> &amp; Bjorck I</w:t>
      </w:r>
      <w:r>
        <w:t>,</w:t>
      </w:r>
      <w:r w:rsidRPr="003D7F31">
        <w:t xml:space="preserve"> 1995 'Metabolic responses to starch in oat and wheat products. On the importance of food structure, incomplete gelatinization or presence of viscous dietary fibre' </w:t>
      </w:r>
      <w:r w:rsidRPr="003D7F31">
        <w:rPr>
          <w:i/>
        </w:rPr>
        <w:t>Eur J Clin Nutr</w:t>
      </w:r>
      <w:r w:rsidRPr="003D7F31">
        <w:t>., vol. 49, pp. 189-199. </w:t>
      </w:r>
    </w:p>
    <w:p w14:paraId="250967A7" w14:textId="77777777" w:rsidR="00612BCF" w:rsidRPr="001D028A" w:rsidRDefault="00612BCF" w:rsidP="00C52B5B">
      <w:pPr>
        <w:pStyle w:val="NoSpacing"/>
        <w:rPr>
          <w:rFonts w:cstheme="minorHAnsi"/>
          <w:color w:val="000000"/>
          <w:sz w:val="20"/>
          <w:szCs w:val="20"/>
        </w:rPr>
      </w:pPr>
    </w:p>
    <w:p w14:paraId="4BFE8DE5" w14:textId="77777777" w:rsidR="00C52B5B" w:rsidRPr="001D028A" w:rsidRDefault="00C52B5B" w:rsidP="00C52B5B">
      <w:pPr>
        <w:pStyle w:val="NoSpacing"/>
        <w:rPr>
          <w:rFonts w:cstheme="minorHAnsi"/>
          <w:color w:val="000000"/>
          <w:sz w:val="20"/>
          <w:szCs w:val="20"/>
        </w:rPr>
      </w:pPr>
      <w:r w:rsidRPr="001D028A">
        <w:rPr>
          <w:rFonts w:cstheme="minorHAnsi"/>
          <w:color w:val="000000"/>
          <w:sz w:val="20"/>
          <w:szCs w:val="20"/>
        </w:rPr>
        <w:t xml:space="preserve">Grunert, K, Wills, J, Fernandez-Celemin, L 2010 ‘Nutrition knowledge, and use and understanding of nutrition information on food labels among consumers in the UK’, </w:t>
      </w:r>
      <w:r w:rsidRPr="001D028A">
        <w:rPr>
          <w:rFonts w:cstheme="minorHAnsi"/>
          <w:i/>
          <w:iCs/>
          <w:color w:val="000000"/>
          <w:sz w:val="20"/>
          <w:szCs w:val="20"/>
        </w:rPr>
        <w:t>Appetite</w:t>
      </w:r>
      <w:r w:rsidRPr="001D028A">
        <w:rPr>
          <w:rFonts w:cstheme="minorHAnsi"/>
          <w:color w:val="000000"/>
          <w:sz w:val="20"/>
          <w:szCs w:val="20"/>
        </w:rPr>
        <w:t>, vol. 55, no. 2,</w:t>
      </w:r>
      <w:r w:rsidRPr="001D028A">
        <w:rPr>
          <w:rStyle w:val="apple-converted-space"/>
          <w:rFonts w:cstheme="minorHAnsi"/>
          <w:color w:val="000000"/>
          <w:sz w:val="20"/>
          <w:szCs w:val="20"/>
        </w:rPr>
        <w:t> </w:t>
      </w:r>
      <w:r w:rsidRPr="001D028A">
        <w:rPr>
          <w:rFonts w:cstheme="minorHAnsi"/>
          <w:color w:val="000000"/>
          <w:sz w:val="20"/>
          <w:szCs w:val="20"/>
        </w:rPr>
        <w:t>pp. 177-189.</w:t>
      </w:r>
    </w:p>
    <w:p w14:paraId="7F966F31" w14:textId="77777777" w:rsidR="00C52B5B" w:rsidRPr="001D028A" w:rsidRDefault="00C52B5B" w:rsidP="00C52B5B">
      <w:pPr>
        <w:pStyle w:val="NoSpacing"/>
        <w:rPr>
          <w:rFonts w:cstheme="minorHAnsi"/>
          <w:sz w:val="20"/>
          <w:szCs w:val="20"/>
        </w:rPr>
      </w:pPr>
    </w:p>
    <w:p w14:paraId="4934A54F"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Hamlin, R &amp; McNeill, L 2016 ‘Does the Australasian “Health Star Rating” Front of Pack Nutritional Label System Work?’, </w:t>
      </w:r>
      <w:r w:rsidRPr="001D028A">
        <w:rPr>
          <w:rFonts w:cstheme="minorHAnsi"/>
          <w:i/>
          <w:iCs/>
          <w:sz w:val="20"/>
          <w:szCs w:val="20"/>
        </w:rPr>
        <w:t>Nutrients</w:t>
      </w:r>
      <w:r w:rsidRPr="001D028A">
        <w:rPr>
          <w:rFonts w:cstheme="minorHAnsi"/>
          <w:sz w:val="20"/>
          <w:szCs w:val="20"/>
        </w:rPr>
        <w:t>, vol. 8, no. 6.</w:t>
      </w:r>
    </w:p>
    <w:p w14:paraId="03B6A0F1" w14:textId="77777777" w:rsidR="00C52B5B" w:rsidRPr="001D028A" w:rsidRDefault="00C52B5B" w:rsidP="00C52B5B">
      <w:pPr>
        <w:pStyle w:val="NoSpacing"/>
        <w:rPr>
          <w:rFonts w:cstheme="minorHAnsi"/>
          <w:sz w:val="20"/>
          <w:szCs w:val="20"/>
        </w:rPr>
      </w:pPr>
    </w:p>
    <w:p w14:paraId="1048FDD8"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Hamlin, R &amp; McNeill, L 2018 ‘The impact of the Australasian ‘Health Star rating’, front-of-pack nutritional label, on consumer choice: a longitudinal study’, </w:t>
      </w:r>
      <w:r w:rsidRPr="001D028A">
        <w:rPr>
          <w:rFonts w:cstheme="minorHAnsi"/>
          <w:i/>
          <w:iCs/>
          <w:sz w:val="20"/>
          <w:szCs w:val="20"/>
          <w:lang w:val="en-GB"/>
        </w:rPr>
        <w:t>Nutrients</w:t>
      </w:r>
      <w:r w:rsidRPr="001D028A">
        <w:rPr>
          <w:rFonts w:cstheme="minorHAnsi"/>
          <w:sz w:val="20"/>
          <w:szCs w:val="20"/>
          <w:lang w:val="en-GB"/>
        </w:rPr>
        <w:t>, vol. 10, no. 7, p. 906.</w:t>
      </w:r>
    </w:p>
    <w:p w14:paraId="5B3EF519" w14:textId="1A9D29E1" w:rsidR="00C52B5B" w:rsidRDefault="00C52B5B" w:rsidP="00C52B5B">
      <w:pPr>
        <w:pStyle w:val="NoSpacing"/>
        <w:rPr>
          <w:rFonts w:cstheme="minorHAnsi"/>
          <w:sz w:val="20"/>
          <w:szCs w:val="20"/>
          <w:lang w:val="en-GB"/>
        </w:rPr>
      </w:pPr>
    </w:p>
    <w:p w14:paraId="6321F847" w14:textId="77777777" w:rsidR="00612BCF" w:rsidRPr="003D7F31" w:rsidRDefault="00612BCF" w:rsidP="00612BCF">
      <w:pPr>
        <w:autoSpaceDE w:val="0"/>
        <w:autoSpaceDN w:val="0"/>
        <w:adjustRightInd w:val="0"/>
        <w:rPr>
          <w:rFonts w:cstheme="minorHAnsi"/>
          <w:sz w:val="20"/>
          <w:szCs w:val="20"/>
          <w:lang w:val="en-US"/>
        </w:rPr>
      </w:pPr>
      <w:r w:rsidRPr="003D7F31">
        <w:rPr>
          <w:rFonts w:cstheme="minorHAnsi"/>
          <w:sz w:val="20"/>
          <w:szCs w:val="20"/>
          <w:lang w:val="en-US"/>
        </w:rPr>
        <w:t xml:space="preserve">Hattersley L, Irwin M, King L, Allman-Farinelli M. 2009 ‘Determinants and patterns of soft drink consumption in young adults: a qualitative analysis’, </w:t>
      </w:r>
      <w:r w:rsidRPr="003D7F31">
        <w:rPr>
          <w:rFonts w:cstheme="minorHAnsi"/>
          <w:i/>
          <w:sz w:val="20"/>
          <w:szCs w:val="20"/>
          <w:lang w:val="en-US"/>
        </w:rPr>
        <w:t>Public Health Nutr</w:t>
      </w:r>
      <w:r w:rsidRPr="003D7F31">
        <w:rPr>
          <w:rFonts w:cstheme="minorHAnsi"/>
          <w:sz w:val="20"/>
          <w:szCs w:val="20"/>
          <w:lang w:val="en-US"/>
        </w:rPr>
        <w:t>., vol. 12, no. 10, pp. 1816-22.</w:t>
      </w:r>
    </w:p>
    <w:p w14:paraId="3A4F9894" w14:textId="77777777" w:rsidR="00612BCF" w:rsidRPr="001D028A" w:rsidRDefault="00612BCF" w:rsidP="00C52B5B">
      <w:pPr>
        <w:pStyle w:val="NoSpacing"/>
        <w:rPr>
          <w:rFonts w:cstheme="minorHAnsi"/>
          <w:sz w:val="20"/>
          <w:szCs w:val="20"/>
          <w:lang w:val="en-GB"/>
        </w:rPr>
      </w:pPr>
    </w:p>
    <w:p w14:paraId="194DB1AD"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Hawkes, C 2010 ‘Government and voluntary policies on nutrition labelling: a global overview’, in Albert, J (ed) </w:t>
      </w:r>
      <w:r w:rsidRPr="001D028A">
        <w:rPr>
          <w:rFonts w:eastAsia="Times New Roman" w:cstheme="minorHAnsi"/>
          <w:i/>
          <w:sz w:val="20"/>
          <w:szCs w:val="20"/>
        </w:rPr>
        <w:t>Innovations in Food Labelling</w:t>
      </w:r>
      <w:r w:rsidRPr="001D028A">
        <w:rPr>
          <w:rFonts w:eastAsia="Times New Roman" w:cstheme="minorHAnsi"/>
          <w:sz w:val="20"/>
          <w:szCs w:val="20"/>
        </w:rPr>
        <w:t>, a volume in Woodhead Publishing Series on Food Science, Technology and Nutrition.</w:t>
      </w:r>
    </w:p>
    <w:p w14:paraId="54A5FB69" w14:textId="77777777" w:rsidR="00C52B5B" w:rsidRPr="001D028A" w:rsidRDefault="00C52B5B" w:rsidP="00C52B5B">
      <w:pPr>
        <w:pStyle w:val="NoSpacing"/>
        <w:rPr>
          <w:rFonts w:cstheme="minorHAnsi"/>
          <w:sz w:val="20"/>
          <w:szCs w:val="20"/>
        </w:rPr>
      </w:pPr>
    </w:p>
    <w:p w14:paraId="7EAAC28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Hess, J, Latulippe, M, Ayoob, K, Slavin, J, 2012 ‘The confusing world of dietary sugars: Definitions, intakes, food sources and international dietary recommendations’ </w:t>
      </w:r>
      <w:r w:rsidRPr="001D028A">
        <w:rPr>
          <w:rFonts w:cstheme="minorHAnsi"/>
          <w:i/>
          <w:sz w:val="20"/>
          <w:szCs w:val="20"/>
        </w:rPr>
        <w:t>Food Funct</w:t>
      </w:r>
      <w:r w:rsidRPr="001D028A">
        <w:rPr>
          <w:rFonts w:cstheme="minorHAnsi"/>
          <w:sz w:val="20"/>
          <w:szCs w:val="20"/>
        </w:rPr>
        <w:t>., vol 3, pp. 477–486.</w:t>
      </w:r>
    </w:p>
    <w:p w14:paraId="77F4ED7C" w14:textId="77777777" w:rsidR="00C52B5B" w:rsidRPr="001D028A" w:rsidRDefault="00C52B5B" w:rsidP="00C52B5B">
      <w:pPr>
        <w:pStyle w:val="NoSpacing"/>
        <w:rPr>
          <w:rFonts w:cstheme="minorHAnsi"/>
          <w:sz w:val="20"/>
          <w:szCs w:val="20"/>
        </w:rPr>
      </w:pPr>
    </w:p>
    <w:p w14:paraId="0A479C6B"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Hieke, S, Palascha, A, Jola, C, Wills, J, Raats, M 2016 ‘The pack size effect: influence on consumer perceptions of potion sizes’ </w:t>
      </w:r>
      <w:r w:rsidRPr="001D028A">
        <w:rPr>
          <w:rFonts w:cstheme="minorHAnsi"/>
          <w:i/>
          <w:sz w:val="20"/>
          <w:szCs w:val="20"/>
        </w:rPr>
        <w:t>Appetite</w:t>
      </w:r>
      <w:r w:rsidRPr="001D028A">
        <w:rPr>
          <w:rFonts w:cstheme="minorHAnsi"/>
          <w:sz w:val="20"/>
          <w:szCs w:val="20"/>
        </w:rPr>
        <w:t>, vol. 96, pp. 225-238</w:t>
      </w:r>
    </w:p>
    <w:p w14:paraId="78487DC6" w14:textId="77777777" w:rsidR="00C52B5B" w:rsidRPr="001D028A" w:rsidRDefault="00C52B5B" w:rsidP="00C52B5B">
      <w:pPr>
        <w:pStyle w:val="NoSpacing"/>
        <w:rPr>
          <w:rFonts w:cstheme="minorHAnsi"/>
          <w:sz w:val="20"/>
          <w:szCs w:val="20"/>
        </w:rPr>
      </w:pPr>
    </w:p>
    <w:p w14:paraId="100E0B0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Holmberg, S &amp; Thelin, A 2013, ‘High dairy fat intake related to less central obesity: A male cohort study with 12 years’ follow-up’, </w:t>
      </w:r>
      <w:r w:rsidRPr="001D028A">
        <w:rPr>
          <w:rFonts w:cstheme="minorHAnsi"/>
          <w:i/>
          <w:iCs/>
          <w:sz w:val="20"/>
          <w:szCs w:val="20"/>
          <w:lang w:val="en-GB"/>
        </w:rPr>
        <w:t>Scandinavian Journal of Primary Health Care</w:t>
      </w:r>
      <w:r w:rsidRPr="001D028A">
        <w:rPr>
          <w:rFonts w:cstheme="minorHAnsi"/>
          <w:sz w:val="20"/>
          <w:szCs w:val="20"/>
          <w:lang w:val="en-GB"/>
        </w:rPr>
        <w:t>, vol. 31, pp. 89-94.</w:t>
      </w:r>
    </w:p>
    <w:p w14:paraId="2104D2DA" w14:textId="77777777" w:rsidR="00612BCF" w:rsidRPr="003D7F31" w:rsidRDefault="00612BCF" w:rsidP="00612BCF">
      <w:pPr>
        <w:autoSpaceDE w:val="0"/>
        <w:autoSpaceDN w:val="0"/>
        <w:adjustRightInd w:val="0"/>
        <w:rPr>
          <w:rFonts w:cstheme="minorHAnsi"/>
          <w:sz w:val="20"/>
          <w:szCs w:val="20"/>
        </w:rPr>
      </w:pPr>
    </w:p>
    <w:p w14:paraId="5119B628" w14:textId="77777777" w:rsidR="00612BCF" w:rsidRPr="003D7F31" w:rsidRDefault="00612BCF" w:rsidP="00612BCF">
      <w:pPr>
        <w:rPr>
          <w:rFonts w:cstheme="minorHAnsi"/>
          <w:sz w:val="20"/>
          <w:szCs w:val="20"/>
        </w:rPr>
      </w:pPr>
      <w:r w:rsidRPr="003D7F31">
        <w:rPr>
          <w:rFonts w:cstheme="minorHAnsi"/>
          <w:sz w:val="20"/>
          <w:szCs w:val="20"/>
          <w:lang w:val="en-US"/>
        </w:rPr>
        <w:t xml:space="preserve">Imamura F, O'Connor L, Ye Z, Mursu J, Hayashino Y, Bhupathiraju SN, et al. 2016 ‘Consumption of sugar sweetened beverages, artificially sweetened beverages, and fruit juice and incidence of type 2 diabetes: systematic review, meta-analysis, and estimation of population attributable fraction’ </w:t>
      </w:r>
      <w:r w:rsidRPr="003D7F31">
        <w:rPr>
          <w:rFonts w:cstheme="minorHAnsi"/>
          <w:i/>
          <w:sz w:val="20"/>
          <w:szCs w:val="20"/>
          <w:lang w:val="en-US"/>
        </w:rPr>
        <w:t>Br J Sports Med</w:t>
      </w:r>
      <w:r w:rsidRPr="003D7F31">
        <w:rPr>
          <w:rFonts w:cstheme="minorHAnsi"/>
          <w:sz w:val="20"/>
          <w:szCs w:val="20"/>
          <w:lang w:val="en-US"/>
        </w:rPr>
        <w:t>., vol. 50, no. 8, pp. 496-504.</w:t>
      </w:r>
    </w:p>
    <w:p w14:paraId="05C97C7C" w14:textId="19FF07A9" w:rsidR="00C52B5B" w:rsidRDefault="00C52B5B" w:rsidP="00C52B5B">
      <w:pPr>
        <w:autoSpaceDE w:val="0"/>
        <w:autoSpaceDN w:val="0"/>
        <w:adjustRightInd w:val="0"/>
        <w:rPr>
          <w:rFonts w:cstheme="minorHAnsi"/>
          <w:color w:val="000000"/>
          <w:sz w:val="20"/>
          <w:szCs w:val="20"/>
          <w:lang w:val="en-US"/>
        </w:rPr>
      </w:pPr>
    </w:p>
    <w:p w14:paraId="0832BF36" w14:textId="7FA543A4" w:rsidR="00612BCF" w:rsidRPr="003D7F31" w:rsidRDefault="00612BCF" w:rsidP="00173A82">
      <w:pPr>
        <w:pStyle w:val="mpcbullets2"/>
        <w:numPr>
          <w:ilvl w:val="0"/>
          <w:numId w:val="0"/>
        </w:numPr>
      </w:pPr>
      <w:r w:rsidRPr="003D7F31">
        <w:t>Jenkins DJ, Wesson V, Wolever TM, et al. 1988 'Wholemeal versus wholegrain breads: proportion of whole or cracked grain and the glycaemic response' </w:t>
      </w:r>
      <w:r w:rsidRPr="00612BCF">
        <w:rPr>
          <w:i/>
        </w:rPr>
        <w:t>BMJ</w:t>
      </w:r>
      <w:r>
        <w:rPr>
          <w:i/>
        </w:rPr>
        <w:t>,</w:t>
      </w:r>
      <w:r w:rsidRPr="003D7F31">
        <w:t> vol. 297, pp. 958–960</w:t>
      </w:r>
    </w:p>
    <w:p w14:paraId="67D597F0" w14:textId="77777777" w:rsidR="00612BCF" w:rsidRPr="001D028A" w:rsidRDefault="00612BCF" w:rsidP="00C52B5B">
      <w:pPr>
        <w:autoSpaceDE w:val="0"/>
        <w:autoSpaceDN w:val="0"/>
        <w:adjustRightInd w:val="0"/>
        <w:rPr>
          <w:rFonts w:cstheme="minorHAnsi"/>
          <w:color w:val="000000"/>
          <w:sz w:val="20"/>
          <w:szCs w:val="20"/>
          <w:lang w:val="en-US"/>
        </w:rPr>
      </w:pPr>
    </w:p>
    <w:p w14:paraId="1DB9675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Jones, A, Radholm, K &amp; Neal, B </w:t>
      </w:r>
      <w:r w:rsidRPr="001D028A">
        <w:rPr>
          <w:rFonts w:cstheme="minorHAnsi"/>
          <w:iCs/>
          <w:sz w:val="20"/>
          <w:szCs w:val="20"/>
          <w:lang w:val="en-GB"/>
        </w:rPr>
        <w:t>2018,</w:t>
      </w:r>
      <w:r w:rsidRPr="001D028A">
        <w:rPr>
          <w:rFonts w:cstheme="minorHAnsi"/>
          <w:sz w:val="20"/>
          <w:szCs w:val="20"/>
          <w:lang w:val="en-GB"/>
        </w:rPr>
        <w:t xml:space="preserve"> ‘Defining ‘Unhealthy’: a systematic analysis of alignment between the Australian Dietary Guidelines and the Health Star Rating System’, </w:t>
      </w:r>
      <w:r w:rsidRPr="001D028A">
        <w:rPr>
          <w:rFonts w:cstheme="minorHAnsi"/>
          <w:i/>
          <w:iCs/>
          <w:sz w:val="20"/>
          <w:szCs w:val="20"/>
          <w:lang w:val="en-GB"/>
        </w:rPr>
        <w:t xml:space="preserve">Nutrients, </w:t>
      </w:r>
      <w:r w:rsidRPr="001D028A">
        <w:rPr>
          <w:rFonts w:cstheme="minorHAnsi"/>
          <w:iCs/>
          <w:sz w:val="20"/>
          <w:szCs w:val="20"/>
          <w:lang w:val="en-GB"/>
        </w:rPr>
        <w:t>vol.</w:t>
      </w:r>
      <w:r w:rsidRPr="001D028A">
        <w:rPr>
          <w:rFonts w:cstheme="minorHAnsi"/>
          <w:sz w:val="20"/>
          <w:szCs w:val="20"/>
          <w:lang w:val="en-GB"/>
        </w:rPr>
        <w:t xml:space="preserve"> 10, no. 501.</w:t>
      </w:r>
    </w:p>
    <w:p w14:paraId="6CBDE9E3" w14:textId="77777777" w:rsidR="00C52B5B" w:rsidRPr="001D028A" w:rsidRDefault="00C52B5B" w:rsidP="00C52B5B">
      <w:pPr>
        <w:pStyle w:val="NoSpacing"/>
        <w:rPr>
          <w:rFonts w:cstheme="minorHAnsi"/>
          <w:sz w:val="20"/>
          <w:szCs w:val="20"/>
          <w:lang w:val="en-GB"/>
        </w:rPr>
      </w:pPr>
    </w:p>
    <w:p w14:paraId="4CC2AAA4" w14:textId="77777777" w:rsidR="00C52B5B" w:rsidRPr="001D028A" w:rsidRDefault="00C52B5B" w:rsidP="00C52B5B">
      <w:pPr>
        <w:autoSpaceDE w:val="0"/>
        <w:autoSpaceDN w:val="0"/>
        <w:adjustRightInd w:val="0"/>
        <w:rPr>
          <w:rFonts w:cstheme="minorHAnsi"/>
          <w:sz w:val="20"/>
          <w:szCs w:val="20"/>
          <w:lang w:val="en-GB"/>
        </w:rPr>
      </w:pPr>
      <w:r w:rsidRPr="001D028A">
        <w:rPr>
          <w:rFonts w:cstheme="minorHAnsi"/>
          <w:sz w:val="20"/>
          <w:szCs w:val="20"/>
          <w:lang w:val="en-GB"/>
        </w:rPr>
        <w:t>Jones, A, Shahid, M &amp; Neal, B 2018</w:t>
      </w:r>
      <w:r w:rsidRPr="001D028A">
        <w:rPr>
          <w:rFonts w:cstheme="minorHAnsi"/>
          <w:i/>
          <w:iCs/>
          <w:sz w:val="20"/>
          <w:szCs w:val="20"/>
          <w:lang w:val="en-GB"/>
        </w:rPr>
        <w:t xml:space="preserve"> ‘</w:t>
      </w:r>
      <w:r w:rsidRPr="001D028A">
        <w:rPr>
          <w:rFonts w:cstheme="minorHAnsi"/>
          <w:sz w:val="20"/>
          <w:szCs w:val="20"/>
          <w:lang w:val="en-GB"/>
        </w:rPr>
        <w:t xml:space="preserve">Uptake of Australia’s Health Star Rating System’, </w:t>
      </w:r>
      <w:r w:rsidRPr="001D028A">
        <w:rPr>
          <w:rFonts w:cstheme="minorHAnsi"/>
          <w:i/>
          <w:iCs/>
          <w:sz w:val="20"/>
          <w:szCs w:val="20"/>
          <w:lang w:val="en-GB"/>
        </w:rPr>
        <w:t>Nutrients</w:t>
      </w:r>
      <w:r w:rsidRPr="001D028A">
        <w:rPr>
          <w:rFonts w:cstheme="minorHAnsi"/>
          <w:sz w:val="20"/>
          <w:szCs w:val="20"/>
          <w:lang w:val="en-GB"/>
        </w:rPr>
        <w:t>, vol. 10, no. 8, 997, pp. 1-13.</w:t>
      </w:r>
    </w:p>
    <w:p w14:paraId="6319351C" w14:textId="77777777" w:rsidR="00C52B5B" w:rsidRPr="001D028A" w:rsidRDefault="00C52B5B" w:rsidP="00C52B5B">
      <w:pPr>
        <w:rPr>
          <w:rFonts w:eastAsia="Times New Roman" w:cstheme="minorHAnsi"/>
          <w:sz w:val="20"/>
          <w:szCs w:val="20"/>
        </w:rPr>
      </w:pPr>
    </w:p>
    <w:p w14:paraId="591763B7"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Kanter, R, Vanderlee, L &amp; Vandevijvere, S 2018, ‘Editorial: Front-of-package nutrition labelling policy: global progress and future directions’, </w:t>
      </w:r>
      <w:r w:rsidRPr="001D028A">
        <w:rPr>
          <w:rFonts w:eastAsia="Times New Roman" w:cstheme="minorHAnsi"/>
          <w:i/>
          <w:sz w:val="20"/>
          <w:szCs w:val="20"/>
        </w:rPr>
        <w:t>Public Health Nutrition</w:t>
      </w:r>
      <w:r w:rsidRPr="001D028A">
        <w:rPr>
          <w:rFonts w:eastAsia="Times New Roman" w:cstheme="minorHAnsi"/>
          <w:sz w:val="20"/>
          <w:szCs w:val="20"/>
        </w:rPr>
        <w:t xml:space="preserve">, vol. 21, no. 8, pp. 1399-1408. </w:t>
      </w:r>
    </w:p>
    <w:p w14:paraId="71593693" w14:textId="77777777" w:rsidR="00C52B5B" w:rsidRPr="001D028A" w:rsidRDefault="00C52B5B" w:rsidP="00C52B5B">
      <w:pPr>
        <w:pStyle w:val="NoSpacing"/>
        <w:rPr>
          <w:rFonts w:cstheme="minorHAnsi"/>
          <w:sz w:val="20"/>
          <w:szCs w:val="20"/>
          <w:lang w:val="en-GB"/>
        </w:rPr>
      </w:pPr>
    </w:p>
    <w:p w14:paraId="068F901B"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Kelly, B, Hughes, C, Chapman, K, Louie, J, Dixon, H, Crawford, J, King, L, Daube, M &amp; Slevin, T 2009, ‘Consumer testing of the acceptability and effectiveness of front-of-pack food labelling systems for the Australian grocery market’, </w:t>
      </w:r>
      <w:r w:rsidRPr="001D028A">
        <w:rPr>
          <w:rFonts w:cstheme="minorHAnsi"/>
          <w:i/>
          <w:iCs/>
          <w:sz w:val="20"/>
          <w:szCs w:val="20"/>
          <w:lang w:val="en-GB"/>
        </w:rPr>
        <w:t>Health Promotion International</w:t>
      </w:r>
      <w:r w:rsidRPr="001D028A">
        <w:rPr>
          <w:rFonts w:cstheme="minorHAnsi"/>
          <w:sz w:val="20"/>
          <w:szCs w:val="20"/>
          <w:lang w:val="en-GB"/>
        </w:rPr>
        <w:t>, vol. 24, no.2, pp.120-129.</w:t>
      </w:r>
    </w:p>
    <w:p w14:paraId="4C980219" w14:textId="77777777" w:rsidR="00C52B5B" w:rsidRPr="001D028A" w:rsidRDefault="00C52B5B" w:rsidP="00C52B5B">
      <w:pPr>
        <w:pStyle w:val="NoSpacing"/>
        <w:rPr>
          <w:rFonts w:cstheme="minorHAnsi"/>
          <w:sz w:val="20"/>
          <w:szCs w:val="20"/>
          <w:lang w:val="en-GB"/>
        </w:rPr>
      </w:pPr>
    </w:p>
    <w:p w14:paraId="7E954BF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Kloss, L, Meyer, J, Graeve, L &amp; Vetter, W 2015, ‘Sodium intake and its reduction by food reformulation in the European Union – a review’, </w:t>
      </w:r>
      <w:r w:rsidRPr="001D028A">
        <w:rPr>
          <w:rFonts w:cstheme="minorHAnsi"/>
          <w:i/>
          <w:sz w:val="20"/>
          <w:szCs w:val="20"/>
          <w:lang w:val="en-GB"/>
        </w:rPr>
        <w:t>NFS Journal,</w:t>
      </w:r>
      <w:r w:rsidRPr="001D028A">
        <w:rPr>
          <w:rFonts w:cstheme="minorHAnsi"/>
          <w:sz w:val="20"/>
          <w:szCs w:val="20"/>
          <w:lang w:val="en-GB"/>
        </w:rPr>
        <w:t xml:space="preserve"> vol. 1, pp.9-19.</w:t>
      </w:r>
    </w:p>
    <w:p w14:paraId="408FA56F" w14:textId="77777777" w:rsidR="00C52B5B" w:rsidRPr="001D028A" w:rsidRDefault="00C52B5B" w:rsidP="00C52B5B">
      <w:pPr>
        <w:pStyle w:val="NoSpacing"/>
        <w:rPr>
          <w:rFonts w:cstheme="minorHAnsi"/>
          <w:sz w:val="20"/>
          <w:szCs w:val="20"/>
          <w:lang w:val="en-GB"/>
        </w:rPr>
      </w:pPr>
    </w:p>
    <w:p w14:paraId="61CA6C6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Lawrence, M, Dickie, S &amp; Woods, J 2018, ‘Do nutrient-based front-of-pack labelling schemes support or undermine food-based dietary guideline recommendations? Lessons from the Australian Health Star Rating System’,</w:t>
      </w:r>
      <w:r w:rsidRPr="001D028A">
        <w:rPr>
          <w:rFonts w:cstheme="minorHAnsi"/>
          <w:i/>
          <w:iCs/>
          <w:sz w:val="20"/>
          <w:szCs w:val="20"/>
          <w:lang w:val="en-GB"/>
        </w:rPr>
        <w:t xml:space="preserve"> Nutrients</w:t>
      </w:r>
      <w:r w:rsidRPr="001D028A">
        <w:rPr>
          <w:rFonts w:cstheme="minorHAnsi"/>
          <w:sz w:val="20"/>
          <w:szCs w:val="20"/>
          <w:lang w:val="en-GB"/>
        </w:rPr>
        <w:t xml:space="preserve">, vol. 5. </w:t>
      </w:r>
    </w:p>
    <w:p w14:paraId="49A1E030" w14:textId="77777777" w:rsidR="00612BCF" w:rsidRPr="001D028A" w:rsidRDefault="00612BCF" w:rsidP="00C52B5B">
      <w:pPr>
        <w:pStyle w:val="Default"/>
        <w:rPr>
          <w:rFonts w:asciiTheme="minorHAnsi" w:hAnsiTheme="minorHAnsi" w:cstheme="minorHAnsi"/>
          <w:bCs/>
          <w:color w:val="auto"/>
          <w:sz w:val="20"/>
          <w:szCs w:val="20"/>
          <w:lang w:val="en-GB"/>
        </w:rPr>
      </w:pPr>
    </w:p>
    <w:p w14:paraId="05F221F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Lei, L, Rangan, A, Flood, V &amp; Louie, J 2016 ‘Dietary intake and food sources of added sugar in the Australian population’, </w:t>
      </w:r>
      <w:r w:rsidRPr="001D028A">
        <w:rPr>
          <w:rFonts w:cstheme="minorHAnsi"/>
          <w:i/>
          <w:iCs/>
          <w:sz w:val="20"/>
          <w:szCs w:val="20"/>
          <w:lang w:val="en-GB"/>
        </w:rPr>
        <w:t>British Journal of Nutrition</w:t>
      </w:r>
      <w:r w:rsidRPr="001D028A">
        <w:rPr>
          <w:rFonts w:cstheme="minorHAnsi"/>
          <w:sz w:val="20"/>
          <w:szCs w:val="20"/>
          <w:lang w:val="en-GB"/>
        </w:rPr>
        <w:t>, vol. 115, pp. 868-877.</w:t>
      </w:r>
    </w:p>
    <w:p w14:paraId="6757B8B8" w14:textId="77777777" w:rsidR="00612BCF" w:rsidRDefault="00612BCF" w:rsidP="00612BCF">
      <w:pPr>
        <w:pStyle w:val="Default"/>
        <w:rPr>
          <w:rFonts w:asciiTheme="minorHAnsi" w:hAnsiTheme="minorHAnsi" w:cstheme="minorHAnsi"/>
          <w:bCs/>
          <w:color w:val="auto"/>
          <w:sz w:val="20"/>
          <w:szCs w:val="20"/>
          <w:lang w:val="en-GB"/>
        </w:rPr>
      </w:pPr>
    </w:p>
    <w:p w14:paraId="2B565C10" w14:textId="77777777" w:rsidR="00612BCF" w:rsidRPr="003D7F31" w:rsidRDefault="00612BCF" w:rsidP="00173A82">
      <w:pPr>
        <w:pStyle w:val="mpcbullets2"/>
        <w:numPr>
          <w:ilvl w:val="0"/>
          <w:numId w:val="0"/>
        </w:numPr>
      </w:pPr>
      <w:r w:rsidRPr="003D7F31">
        <w:t>Liljeberg H, Granfeldt Y &amp; Bjorck I 1992 ‘Metabolic responses to starch in bread containing intact kernels versus milled flour’ </w:t>
      </w:r>
      <w:r w:rsidRPr="003D7F31">
        <w:rPr>
          <w:i/>
        </w:rPr>
        <w:t>Eur J Clin Nutr</w:t>
      </w:r>
      <w:r w:rsidRPr="003D7F31">
        <w:t>., vol. 46, pp. 561–575.</w:t>
      </w:r>
    </w:p>
    <w:p w14:paraId="350D0B65" w14:textId="77777777" w:rsidR="00C52B5B" w:rsidRPr="001D028A" w:rsidRDefault="00C52B5B" w:rsidP="00C52B5B">
      <w:pPr>
        <w:pStyle w:val="NoSpacing"/>
        <w:rPr>
          <w:rFonts w:cstheme="minorHAnsi"/>
          <w:sz w:val="20"/>
          <w:szCs w:val="20"/>
          <w:lang w:val="en-GB"/>
        </w:rPr>
      </w:pPr>
    </w:p>
    <w:p w14:paraId="507AEA4C"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Mantilla Herrera, A, Crino, M, Erskin, H, Sacks, G, Anathapavan, J, Ni Mhurchu, C &amp; Lee, Y 2018 ‘Cost-effectiveness of product reformulation in response to the Health Start Rating food labelling system in Australia’, </w:t>
      </w:r>
      <w:r w:rsidRPr="001D028A">
        <w:rPr>
          <w:rFonts w:cstheme="minorHAnsi"/>
          <w:i/>
          <w:iCs/>
          <w:sz w:val="20"/>
          <w:szCs w:val="20"/>
        </w:rPr>
        <w:t>Nutrients</w:t>
      </w:r>
      <w:r w:rsidRPr="001D028A">
        <w:rPr>
          <w:rFonts w:cstheme="minorHAnsi"/>
          <w:sz w:val="20"/>
          <w:szCs w:val="20"/>
        </w:rPr>
        <w:t>, vol. 10, no. 614, pp. 2-16.</w:t>
      </w:r>
    </w:p>
    <w:p w14:paraId="167B3FD3" w14:textId="77777777" w:rsidR="00C52B5B" w:rsidRPr="001D028A" w:rsidRDefault="00C52B5B" w:rsidP="00C52B5B">
      <w:pPr>
        <w:pStyle w:val="NoSpacing"/>
        <w:rPr>
          <w:rFonts w:cstheme="minorHAnsi"/>
          <w:sz w:val="20"/>
          <w:szCs w:val="20"/>
          <w:lang w:val="en-GB"/>
        </w:rPr>
      </w:pPr>
    </w:p>
    <w:p w14:paraId="114C4FCE"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Menday, H, Neal, B, Wu, J, Crino, M, Baines, S &amp; Peterson, K 2017, ‘Use of added sugars instead of total sugars may improve the capacity of the Health Star Rating system to discriminate between core and discretionary foods’, </w:t>
      </w:r>
      <w:r w:rsidRPr="001D028A">
        <w:rPr>
          <w:rFonts w:cstheme="minorHAnsi"/>
          <w:i/>
          <w:iCs/>
          <w:sz w:val="20"/>
          <w:szCs w:val="20"/>
        </w:rPr>
        <w:t>Journal of the Academy of Nutrition and Dietetics</w:t>
      </w:r>
      <w:r w:rsidRPr="001D028A">
        <w:rPr>
          <w:rFonts w:cstheme="minorHAnsi"/>
          <w:sz w:val="20"/>
          <w:szCs w:val="20"/>
        </w:rPr>
        <w:t>, vol. 117, no. 12.</w:t>
      </w:r>
    </w:p>
    <w:p w14:paraId="379E569F" w14:textId="69C40A47" w:rsidR="00C52B5B" w:rsidRDefault="00C52B5B" w:rsidP="00C52B5B">
      <w:pPr>
        <w:pStyle w:val="NoSpacing"/>
        <w:rPr>
          <w:rFonts w:cstheme="minorHAnsi"/>
          <w:sz w:val="20"/>
          <w:szCs w:val="20"/>
        </w:rPr>
      </w:pPr>
    </w:p>
    <w:p w14:paraId="313D99D4" w14:textId="3C4EAF68" w:rsidR="00612BCF" w:rsidRPr="003D7F31" w:rsidRDefault="00612BCF" w:rsidP="003272AE">
      <w:pPr>
        <w:pStyle w:val="FootnoteText"/>
        <w:rPr>
          <w:lang w:val="en-US"/>
        </w:rPr>
      </w:pPr>
      <w:r w:rsidRPr="003D7F31">
        <w:rPr>
          <w:lang w:val="en-US"/>
        </w:rPr>
        <w:t>Miller C, Wakefield M, Braunack-Mayer A, Roder D, O'Dea K, Ettridge K, et al. 2019 ‘Who drinks sugar sweetened beverages</w:t>
      </w:r>
      <w:r>
        <w:rPr>
          <w:lang w:val="en-US"/>
        </w:rPr>
        <w:t xml:space="preserve"> </w:t>
      </w:r>
      <w:r w:rsidRPr="003D7F31">
        <w:rPr>
          <w:lang w:val="en-US"/>
        </w:rPr>
        <w:t xml:space="preserve">and juice? An Australian population study of behaviour, awareness and attitudes’ </w:t>
      </w:r>
      <w:r w:rsidRPr="003D7F31">
        <w:rPr>
          <w:i/>
          <w:lang w:val="en-US"/>
        </w:rPr>
        <w:t>BMC Obesity</w:t>
      </w:r>
      <w:r w:rsidRPr="003D7F31">
        <w:rPr>
          <w:lang w:val="en-US"/>
        </w:rPr>
        <w:t>, vol. 6, no. 1.</w:t>
      </w:r>
    </w:p>
    <w:p w14:paraId="20CB45B3" w14:textId="77777777" w:rsidR="00612BCF" w:rsidRPr="001D028A" w:rsidRDefault="00612BCF" w:rsidP="00C52B5B">
      <w:pPr>
        <w:pStyle w:val="NoSpacing"/>
        <w:rPr>
          <w:rFonts w:cstheme="minorHAnsi"/>
          <w:sz w:val="20"/>
          <w:szCs w:val="20"/>
        </w:rPr>
      </w:pPr>
    </w:p>
    <w:p w14:paraId="506DE1DC"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Mok, A, Ahmad, R, Rangan, A &amp; Louie, J 2018, ‘Intake of free sugars and micronutrient dilution in Australian adults’, </w:t>
      </w:r>
      <w:r w:rsidRPr="001D028A">
        <w:rPr>
          <w:rFonts w:cstheme="minorHAnsi"/>
          <w:i/>
          <w:iCs/>
          <w:sz w:val="20"/>
          <w:szCs w:val="20"/>
        </w:rPr>
        <w:t>American Journal of Clinical Nutrition</w:t>
      </w:r>
      <w:r w:rsidRPr="001D028A">
        <w:rPr>
          <w:rFonts w:cstheme="minorHAnsi"/>
          <w:sz w:val="20"/>
          <w:szCs w:val="20"/>
        </w:rPr>
        <w:t>, vol. 107, pp.94-104.</w:t>
      </w:r>
    </w:p>
    <w:p w14:paraId="227E956F" w14:textId="77777777" w:rsidR="00C52B5B" w:rsidRPr="001D028A" w:rsidRDefault="00C52B5B" w:rsidP="00C52B5B">
      <w:pPr>
        <w:pStyle w:val="NoSpacing"/>
        <w:rPr>
          <w:rFonts w:cstheme="minorHAnsi"/>
          <w:sz w:val="20"/>
          <w:szCs w:val="20"/>
        </w:rPr>
      </w:pPr>
    </w:p>
    <w:p w14:paraId="6D377500"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Moore-Fayet, F, McConnell, A, Tuck, K &amp; Petocz, P 2017, ‘Breakfast and breakfast cereal choice and its impact on nutrient and sugar intakes and anthropometric measures among a nationally representative sample of Australian children and adolescents’, </w:t>
      </w:r>
      <w:r w:rsidRPr="001D028A">
        <w:rPr>
          <w:rFonts w:cstheme="minorHAnsi"/>
          <w:i/>
          <w:sz w:val="20"/>
          <w:szCs w:val="20"/>
        </w:rPr>
        <w:t>Nutrients</w:t>
      </w:r>
      <w:r w:rsidRPr="001D028A">
        <w:rPr>
          <w:rFonts w:cstheme="minorHAnsi"/>
          <w:sz w:val="20"/>
          <w:szCs w:val="20"/>
        </w:rPr>
        <w:t>, vol. 9, no. 10, p. 1045.</w:t>
      </w:r>
    </w:p>
    <w:p w14:paraId="03906B41" w14:textId="77777777" w:rsidR="00C52B5B" w:rsidRPr="001D028A" w:rsidRDefault="00C52B5B" w:rsidP="00C52B5B">
      <w:pPr>
        <w:rPr>
          <w:rFonts w:eastAsia="Times New Roman" w:cstheme="minorHAnsi"/>
          <w:sz w:val="20"/>
          <w:szCs w:val="20"/>
        </w:rPr>
      </w:pPr>
    </w:p>
    <w:p w14:paraId="566F3F9B"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Moynihan, P.J 1998, ‘Update on the nomenclature of carbohydrates and their dental effects’, </w:t>
      </w:r>
      <w:r w:rsidRPr="001D028A">
        <w:rPr>
          <w:rFonts w:eastAsia="Times New Roman" w:cstheme="minorHAnsi"/>
          <w:i/>
          <w:iCs/>
          <w:sz w:val="20"/>
          <w:szCs w:val="20"/>
        </w:rPr>
        <w:t>Journal of Dentistry</w:t>
      </w:r>
      <w:r w:rsidRPr="001D028A">
        <w:rPr>
          <w:rFonts w:eastAsia="Times New Roman" w:cstheme="minorHAnsi"/>
          <w:sz w:val="20"/>
          <w:szCs w:val="20"/>
        </w:rPr>
        <w:t>, vol. 26, no. 3, pp. 209-218.</w:t>
      </w:r>
    </w:p>
    <w:p w14:paraId="04E7F07C" w14:textId="77777777" w:rsidR="00C52B5B" w:rsidRPr="001D028A" w:rsidRDefault="00C52B5B" w:rsidP="00C52B5B">
      <w:pPr>
        <w:rPr>
          <w:rFonts w:eastAsia="Times New Roman" w:cstheme="minorHAnsi"/>
          <w:sz w:val="20"/>
          <w:szCs w:val="20"/>
        </w:rPr>
      </w:pPr>
    </w:p>
    <w:p w14:paraId="510169FC"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Moynihan, P.J &amp; Kelly, S 2014, ‘Effect on Caries of Restricting Sugars Intake: Systematic Review to Inform WHO Guidelines, </w:t>
      </w:r>
      <w:r w:rsidRPr="001D028A">
        <w:rPr>
          <w:rFonts w:eastAsia="Times New Roman" w:cstheme="minorHAnsi"/>
          <w:i/>
          <w:iCs/>
          <w:sz w:val="20"/>
          <w:szCs w:val="20"/>
        </w:rPr>
        <w:t>Journal of Dental Research</w:t>
      </w:r>
      <w:r w:rsidRPr="001D028A">
        <w:rPr>
          <w:rFonts w:eastAsia="Times New Roman" w:cstheme="minorHAnsi"/>
          <w:sz w:val="20"/>
          <w:szCs w:val="20"/>
        </w:rPr>
        <w:t>, vol. 93, no. 1, pp. 8-18.</w:t>
      </w:r>
    </w:p>
    <w:p w14:paraId="7F118945" w14:textId="77777777" w:rsidR="00612BCF" w:rsidRDefault="00612BCF" w:rsidP="00612BCF">
      <w:pPr>
        <w:autoSpaceDE w:val="0"/>
        <w:autoSpaceDN w:val="0"/>
        <w:adjustRightInd w:val="0"/>
        <w:rPr>
          <w:rFonts w:cstheme="minorHAnsi"/>
          <w:sz w:val="20"/>
          <w:szCs w:val="20"/>
          <w:lang w:val="en-US"/>
        </w:rPr>
      </w:pPr>
    </w:p>
    <w:p w14:paraId="2DB40D88" w14:textId="1BB4B85D" w:rsidR="00612BCF" w:rsidRPr="003D7F31" w:rsidRDefault="00612BCF" w:rsidP="00612BCF">
      <w:pPr>
        <w:autoSpaceDE w:val="0"/>
        <w:autoSpaceDN w:val="0"/>
        <w:adjustRightInd w:val="0"/>
        <w:rPr>
          <w:rFonts w:cstheme="minorHAnsi"/>
          <w:sz w:val="20"/>
          <w:szCs w:val="20"/>
          <w:lang w:val="en-US"/>
        </w:rPr>
      </w:pPr>
      <w:r w:rsidRPr="003D7F31">
        <w:rPr>
          <w:rFonts w:cstheme="minorHAnsi"/>
          <w:sz w:val="20"/>
          <w:szCs w:val="20"/>
          <w:lang w:val="en-US"/>
        </w:rPr>
        <w:t xml:space="preserve">Munsell CR, Harris JL, Sarda V, Schwartz MB. 2016 ‘Parents’ beliefs about the healthfulness of sugary drink options: opportunities to address misperceptions.’ </w:t>
      </w:r>
      <w:r w:rsidRPr="003D7F31">
        <w:rPr>
          <w:rFonts w:cstheme="minorHAnsi"/>
          <w:i/>
          <w:sz w:val="20"/>
          <w:szCs w:val="20"/>
          <w:lang w:val="en-US"/>
        </w:rPr>
        <w:t>Public Health Nutr</w:t>
      </w:r>
      <w:r w:rsidRPr="003D7F31">
        <w:rPr>
          <w:rFonts w:cstheme="minorHAnsi"/>
          <w:sz w:val="20"/>
          <w:szCs w:val="20"/>
          <w:lang w:val="en-US"/>
        </w:rPr>
        <w:t>. vol., 19, no. 1, pp. 46-54.</w:t>
      </w:r>
    </w:p>
    <w:p w14:paraId="3E4BD771" w14:textId="77777777" w:rsidR="00C52B5B" w:rsidRPr="001D028A" w:rsidRDefault="00C52B5B" w:rsidP="00C52B5B">
      <w:pPr>
        <w:pStyle w:val="Default"/>
        <w:rPr>
          <w:rFonts w:asciiTheme="minorHAnsi" w:hAnsiTheme="minorHAnsi" w:cstheme="minorHAnsi"/>
          <w:bCs/>
          <w:color w:val="auto"/>
          <w:sz w:val="20"/>
          <w:szCs w:val="20"/>
          <w:lang w:val="en-GB"/>
        </w:rPr>
      </w:pPr>
    </w:p>
    <w:p w14:paraId="7E94DD4B" w14:textId="77777777" w:rsidR="00C52B5B" w:rsidRPr="001D028A" w:rsidRDefault="00C52B5B" w:rsidP="00C52B5B">
      <w:pPr>
        <w:autoSpaceDE w:val="0"/>
        <w:autoSpaceDN w:val="0"/>
        <w:adjustRightInd w:val="0"/>
        <w:rPr>
          <w:rFonts w:cstheme="minorHAnsi"/>
          <w:color w:val="000000"/>
          <w:sz w:val="20"/>
          <w:szCs w:val="20"/>
          <w:lang w:val="en-US"/>
        </w:rPr>
      </w:pPr>
      <w:r w:rsidRPr="001D028A">
        <w:rPr>
          <w:rFonts w:cstheme="minorHAnsi"/>
          <w:color w:val="000000"/>
          <w:sz w:val="20"/>
          <w:szCs w:val="20"/>
          <w:lang w:val="en-US"/>
        </w:rPr>
        <w:t>Neal, B, Crino, M, Dunford, E, Gao, A, Greenland, R, Li, N, Ngai, J, Ni Mhurchu, C, Pettigrew, S, Sacks, G, Webster, J &amp; Wu JHY 2017, ‘Effects of different types of Front-of-Pack Labelling information on the healthiness of food purchases – a Randomised Controlled Trial’,</w:t>
      </w:r>
      <w:r w:rsidRPr="001D028A">
        <w:rPr>
          <w:rFonts w:cstheme="minorHAnsi"/>
          <w:i/>
          <w:iCs/>
          <w:color w:val="000000"/>
          <w:sz w:val="20"/>
          <w:szCs w:val="20"/>
          <w:lang w:val="en-US"/>
        </w:rPr>
        <w:t xml:space="preserve"> Nutrients</w:t>
      </w:r>
      <w:r w:rsidRPr="001D028A">
        <w:rPr>
          <w:rFonts w:cstheme="minorHAnsi"/>
          <w:color w:val="000000"/>
          <w:sz w:val="20"/>
          <w:szCs w:val="20"/>
          <w:lang w:val="en-US"/>
        </w:rPr>
        <w:t>, vol. 9, no. 12, p. 1284.</w:t>
      </w:r>
    </w:p>
    <w:p w14:paraId="2FFA7EE2" w14:textId="77777777" w:rsidR="00C52B5B" w:rsidRPr="001D028A" w:rsidRDefault="00C52B5B" w:rsidP="00C52B5B">
      <w:pPr>
        <w:rPr>
          <w:rFonts w:cstheme="minorHAnsi"/>
          <w:sz w:val="20"/>
          <w:szCs w:val="20"/>
        </w:rPr>
      </w:pPr>
    </w:p>
    <w:p w14:paraId="37E268A9"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Eyles, H &amp; Choi, Y, 2017 ‘Effects of a Voluntary Front-of-Pack Nutrition Labelling System on packaged food reformulation: the Health Star Rating system in New Zealand’, </w:t>
      </w:r>
      <w:r w:rsidRPr="001D028A">
        <w:rPr>
          <w:rFonts w:cstheme="minorHAnsi"/>
          <w:i/>
          <w:iCs/>
          <w:sz w:val="20"/>
          <w:szCs w:val="20"/>
          <w:lang w:val="en-GB"/>
        </w:rPr>
        <w:t>Nutrients</w:t>
      </w:r>
      <w:r w:rsidRPr="001D028A">
        <w:rPr>
          <w:rFonts w:cstheme="minorHAnsi"/>
          <w:sz w:val="20"/>
          <w:szCs w:val="20"/>
          <w:lang w:val="en-GB"/>
        </w:rPr>
        <w:t>, vol. 9, no. 918.</w:t>
      </w:r>
    </w:p>
    <w:p w14:paraId="03D5FCF5" w14:textId="77777777" w:rsidR="00C52B5B" w:rsidRPr="001D028A" w:rsidRDefault="00C52B5B" w:rsidP="00C52B5B">
      <w:pPr>
        <w:pStyle w:val="NoSpacing"/>
        <w:rPr>
          <w:rFonts w:cstheme="minorHAnsi"/>
          <w:sz w:val="20"/>
          <w:szCs w:val="20"/>
          <w:lang w:val="en-GB"/>
        </w:rPr>
      </w:pPr>
    </w:p>
    <w:p w14:paraId="4355E32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Eyles, H, Jiang, Y &amp; Blakely, T 2018, ‘Do nutrition labels influence healthier food choices? Analysis of label viewing behaviour and subsequent food purchases in a labelling intervention trial’, </w:t>
      </w:r>
      <w:r w:rsidRPr="001D028A">
        <w:rPr>
          <w:rFonts w:cstheme="minorHAnsi"/>
          <w:i/>
          <w:iCs/>
          <w:sz w:val="20"/>
          <w:szCs w:val="20"/>
          <w:lang w:val="en-GB"/>
        </w:rPr>
        <w:t>Appetite</w:t>
      </w:r>
      <w:r w:rsidRPr="001D028A">
        <w:rPr>
          <w:rFonts w:cstheme="minorHAnsi"/>
          <w:sz w:val="20"/>
          <w:szCs w:val="20"/>
          <w:lang w:val="en-GB"/>
        </w:rPr>
        <w:t>, vol. 121, pp 360-365.</w:t>
      </w:r>
    </w:p>
    <w:p w14:paraId="50F7FFB9" w14:textId="77777777" w:rsidR="00C52B5B" w:rsidRPr="001D028A" w:rsidRDefault="00C52B5B" w:rsidP="00C52B5B">
      <w:pPr>
        <w:pStyle w:val="NoSpacing"/>
        <w:rPr>
          <w:rFonts w:cstheme="minorHAnsi"/>
          <w:sz w:val="20"/>
          <w:szCs w:val="20"/>
          <w:lang w:val="en-GB"/>
        </w:rPr>
      </w:pPr>
    </w:p>
    <w:p w14:paraId="551A2AA8"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Mackenzie, T &amp; Vandevijere, S 2016, ‘Protecting New Zealand children from exposure to the marketing of unhealthy foods and drinks: a comparison of three nutrient profiling systems to classify foods’, </w:t>
      </w:r>
      <w:r w:rsidRPr="001D028A">
        <w:rPr>
          <w:rFonts w:cstheme="minorHAnsi"/>
          <w:i/>
          <w:iCs/>
          <w:sz w:val="20"/>
          <w:szCs w:val="20"/>
          <w:lang w:val="en-GB"/>
        </w:rPr>
        <w:t>The New Zealand Medical Journal</w:t>
      </w:r>
      <w:r w:rsidRPr="001D028A">
        <w:rPr>
          <w:rFonts w:cstheme="minorHAnsi"/>
          <w:sz w:val="20"/>
          <w:szCs w:val="20"/>
          <w:lang w:val="en-GB"/>
        </w:rPr>
        <w:t>, vol. 129, no. 1441.</w:t>
      </w:r>
    </w:p>
    <w:p w14:paraId="67E34FB0" w14:textId="77777777" w:rsidR="00C52B5B" w:rsidRPr="001D028A" w:rsidRDefault="00C52B5B" w:rsidP="00C52B5B">
      <w:pPr>
        <w:pStyle w:val="NoSpacing"/>
        <w:rPr>
          <w:rFonts w:cstheme="minorHAnsi"/>
          <w:sz w:val="20"/>
          <w:szCs w:val="20"/>
          <w:lang w:val="en-GB"/>
        </w:rPr>
      </w:pPr>
    </w:p>
    <w:p w14:paraId="1674F8EB"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Ni Mhurchu, C, Volkova, K, Jiang, Y, Eyles, H, Michie, J, Neal, B, Blakely, T, Swinburn, B &amp; Rayner, M ‘Effects of interpretive nutrition labels on consumer food purchases: the Starlight randomized controlled trial’, </w:t>
      </w:r>
      <w:r w:rsidRPr="001D028A">
        <w:rPr>
          <w:rFonts w:cstheme="minorHAnsi"/>
          <w:i/>
          <w:sz w:val="20"/>
          <w:szCs w:val="20"/>
          <w:lang w:val="en-GB"/>
        </w:rPr>
        <w:t>The American Journal of Clinical Nutrition</w:t>
      </w:r>
      <w:r w:rsidRPr="001D028A">
        <w:rPr>
          <w:rFonts w:cstheme="minorHAnsi"/>
          <w:sz w:val="20"/>
          <w:szCs w:val="20"/>
          <w:lang w:val="en-GB"/>
        </w:rPr>
        <w:t>, vol. 105, pp. 695-704.</w:t>
      </w:r>
    </w:p>
    <w:p w14:paraId="207E0B04" w14:textId="7DD5A149" w:rsidR="00C52B5B" w:rsidRDefault="00C52B5B" w:rsidP="00C52B5B">
      <w:pPr>
        <w:pStyle w:val="NormalWeb"/>
        <w:spacing w:before="0" w:beforeAutospacing="0" w:after="0" w:afterAutospacing="0"/>
        <w:rPr>
          <w:rFonts w:asciiTheme="minorHAnsi" w:eastAsia="Times New Roman" w:hAnsiTheme="minorHAnsi" w:cstheme="minorHAnsi"/>
          <w:sz w:val="20"/>
          <w:szCs w:val="20"/>
        </w:rPr>
      </w:pPr>
    </w:p>
    <w:p w14:paraId="2546B631" w14:textId="77777777" w:rsidR="00612BCF" w:rsidRPr="003D7F31" w:rsidRDefault="00612BCF" w:rsidP="00612BCF">
      <w:pPr>
        <w:rPr>
          <w:rFonts w:cstheme="minorHAnsi"/>
          <w:sz w:val="20"/>
          <w:szCs w:val="20"/>
        </w:rPr>
      </w:pPr>
      <w:r w:rsidRPr="003D7F31">
        <w:rPr>
          <w:rFonts w:cstheme="minorHAnsi"/>
          <w:sz w:val="20"/>
          <w:szCs w:val="20"/>
        </w:rPr>
        <w:t>Nilsson AC, Ostman EM, Granfeldt Y, et al. 2008 ‘Effect of cereal test breakfasts differing in glycemic index and content of indigestible carbohydrates on daylong glucose tolerance in healthy subjects' </w:t>
      </w:r>
      <w:r w:rsidRPr="003D7F31">
        <w:rPr>
          <w:rFonts w:cstheme="minorHAnsi"/>
          <w:i/>
          <w:sz w:val="20"/>
          <w:szCs w:val="20"/>
        </w:rPr>
        <w:t>Am J Clin Nutr</w:t>
      </w:r>
      <w:r w:rsidRPr="003D7F31">
        <w:rPr>
          <w:rFonts w:cstheme="minorHAnsi"/>
          <w:sz w:val="20"/>
          <w:szCs w:val="20"/>
        </w:rPr>
        <w:t>., vol. 87, pp. 645-654.</w:t>
      </w:r>
    </w:p>
    <w:p w14:paraId="1ECB71B3" w14:textId="77777777" w:rsidR="00612BCF" w:rsidRPr="001D028A" w:rsidRDefault="00612BCF" w:rsidP="00C52B5B">
      <w:pPr>
        <w:pStyle w:val="NormalWeb"/>
        <w:spacing w:before="0" w:beforeAutospacing="0" w:after="0" w:afterAutospacing="0"/>
        <w:rPr>
          <w:rFonts w:asciiTheme="minorHAnsi" w:eastAsia="Times New Roman" w:hAnsiTheme="minorHAnsi" w:cstheme="minorHAnsi"/>
          <w:sz w:val="20"/>
          <w:szCs w:val="20"/>
        </w:rPr>
      </w:pPr>
    </w:p>
    <w:p w14:paraId="1E796269" w14:textId="77777777" w:rsidR="00C52B5B" w:rsidRPr="001D028A" w:rsidRDefault="00C52B5B" w:rsidP="00C52B5B">
      <w:pPr>
        <w:pStyle w:val="NormalWeb"/>
        <w:spacing w:before="0" w:beforeAutospacing="0" w:after="0" w:afterAutospacing="0"/>
        <w:rPr>
          <w:rFonts w:asciiTheme="minorHAnsi" w:eastAsia="Times New Roman" w:hAnsiTheme="minorHAnsi" w:cstheme="minorHAnsi"/>
          <w:sz w:val="20"/>
          <w:szCs w:val="20"/>
        </w:rPr>
      </w:pPr>
      <w:r w:rsidRPr="001D028A">
        <w:rPr>
          <w:rFonts w:asciiTheme="minorHAnsi" w:eastAsia="Times New Roman" w:hAnsiTheme="minorHAnsi" w:cstheme="minorHAnsi"/>
          <w:sz w:val="20"/>
          <w:szCs w:val="20"/>
        </w:rPr>
        <w:t xml:space="preserve">Panjwani, C &amp; Caraher, M ‘The Public Health Responsibility Deal: brokering a deal for public health, but on whose terms?’, </w:t>
      </w:r>
      <w:r w:rsidRPr="001D028A">
        <w:rPr>
          <w:rFonts w:asciiTheme="minorHAnsi" w:eastAsia="Times New Roman" w:hAnsiTheme="minorHAnsi" w:cstheme="minorHAnsi"/>
          <w:i/>
          <w:sz w:val="20"/>
          <w:szCs w:val="20"/>
        </w:rPr>
        <w:t>Health Policy</w:t>
      </w:r>
      <w:r w:rsidRPr="001D028A">
        <w:rPr>
          <w:rFonts w:asciiTheme="minorHAnsi" w:eastAsia="Times New Roman" w:hAnsiTheme="minorHAnsi" w:cstheme="minorHAnsi"/>
          <w:sz w:val="20"/>
          <w:szCs w:val="20"/>
        </w:rPr>
        <w:t xml:space="preserve">, vol. 114, no. 2, pp. 163-173. </w:t>
      </w:r>
    </w:p>
    <w:p w14:paraId="31C11456" w14:textId="77777777" w:rsidR="00C52B5B" w:rsidRPr="001D028A" w:rsidRDefault="00C52B5B" w:rsidP="00C52B5B">
      <w:pPr>
        <w:pStyle w:val="NormalWeb"/>
        <w:spacing w:before="0" w:beforeAutospacing="0" w:after="0" w:afterAutospacing="0"/>
        <w:rPr>
          <w:rFonts w:asciiTheme="minorHAnsi" w:hAnsiTheme="minorHAnsi" w:cstheme="minorHAnsi"/>
          <w:sz w:val="20"/>
          <w:szCs w:val="20"/>
        </w:rPr>
      </w:pPr>
    </w:p>
    <w:p w14:paraId="5735F7F0" w14:textId="77777777" w:rsidR="00C52B5B" w:rsidRPr="001D028A" w:rsidRDefault="00C52B5B" w:rsidP="00C52B5B">
      <w:pPr>
        <w:autoSpaceDE w:val="0"/>
        <w:autoSpaceDN w:val="0"/>
        <w:adjustRightInd w:val="0"/>
        <w:rPr>
          <w:rFonts w:cstheme="minorHAnsi"/>
          <w:color w:val="000000" w:themeColor="text1"/>
          <w:sz w:val="20"/>
          <w:szCs w:val="20"/>
        </w:rPr>
      </w:pPr>
      <w:r w:rsidRPr="001D028A">
        <w:rPr>
          <w:rFonts w:cstheme="minorHAnsi"/>
          <w:color w:val="000000" w:themeColor="text1"/>
          <w:sz w:val="20"/>
          <w:szCs w:val="20"/>
        </w:rPr>
        <w:t xml:space="preserve">Pepino, Y 2015 ‘Metabolic effects of non-nutritive sweeteners’ </w:t>
      </w:r>
      <w:r w:rsidRPr="001D028A">
        <w:rPr>
          <w:rFonts w:cstheme="minorHAnsi"/>
          <w:i/>
          <w:color w:val="000000" w:themeColor="text1"/>
          <w:sz w:val="20"/>
          <w:szCs w:val="20"/>
        </w:rPr>
        <w:t xml:space="preserve">Physiol Behav. </w:t>
      </w:r>
      <w:r w:rsidRPr="001D028A">
        <w:rPr>
          <w:rFonts w:cstheme="minorHAnsi"/>
          <w:color w:val="000000" w:themeColor="text1"/>
          <w:sz w:val="20"/>
          <w:szCs w:val="20"/>
        </w:rPr>
        <w:t>vol. 152, pp. 450-455.</w:t>
      </w:r>
    </w:p>
    <w:p w14:paraId="4C75A414" w14:textId="77777777" w:rsidR="00C52B5B" w:rsidRPr="001D028A" w:rsidRDefault="00C52B5B" w:rsidP="00C52B5B">
      <w:pPr>
        <w:pStyle w:val="NoSpacing"/>
        <w:rPr>
          <w:rFonts w:cstheme="minorHAnsi"/>
          <w:sz w:val="20"/>
          <w:szCs w:val="20"/>
          <w:lang w:val="en-GB"/>
        </w:rPr>
      </w:pPr>
    </w:p>
    <w:p w14:paraId="582470B3"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Peters, S, Dunford, E, Jones, A, Ni Mhurchi, C, Crino, M, Taylor, F, Woodward, M &amp; Neal, B 2017, ‘Incorporating added sugar improves the performance of the Health Star Rating front-of-pack labelling system in Australia’, </w:t>
      </w:r>
      <w:r w:rsidRPr="001D028A">
        <w:rPr>
          <w:rFonts w:cstheme="minorHAnsi"/>
          <w:i/>
          <w:iCs/>
          <w:sz w:val="20"/>
          <w:szCs w:val="20"/>
        </w:rPr>
        <w:t>Nutrients</w:t>
      </w:r>
      <w:r w:rsidRPr="001D028A">
        <w:rPr>
          <w:rFonts w:cstheme="minorHAnsi"/>
          <w:sz w:val="20"/>
          <w:szCs w:val="20"/>
        </w:rPr>
        <w:t>, vol. 9, no. 701, pp. 1-12.</w:t>
      </w:r>
    </w:p>
    <w:p w14:paraId="09047047" w14:textId="77777777" w:rsidR="00C52B5B" w:rsidRPr="001D028A" w:rsidRDefault="00C52B5B" w:rsidP="00C52B5B">
      <w:pPr>
        <w:pStyle w:val="mpcNormal"/>
        <w:keepNext w:val="0"/>
        <w:rPr>
          <w:sz w:val="20"/>
          <w:szCs w:val="20"/>
          <w:lang w:val="en-GB"/>
        </w:rPr>
      </w:pPr>
    </w:p>
    <w:p w14:paraId="0A5400D4" w14:textId="77777777" w:rsidR="00C52B5B" w:rsidRPr="001D028A" w:rsidRDefault="00C52B5B" w:rsidP="00C52B5B">
      <w:pPr>
        <w:pStyle w:val="mpcNormal"/>
        <w:keepNext w:val="0"/>
        <w:rPr>
          <w:sz w:val="20"/>
          <w:szCs w:val="20"/>
          <w:lang w:val="en-GB"/>
        </w:rPr>
      </w:pPr>
      <w:r w:rsidRPr="001D028A">
        <w:rPr>
          <w:sz w:val="20"/>
          <w:szCs w:val="20"/>
          <w:lang w:val="en-GB"/>
        </w:rPr>
        <w:t xml:space="preserve">Pettigrew, S, Talati, Z, Miller, C, Dixon, H, Kelly, B, &amp; Ball, K 2017 ‘The types and aspects of front-of-pack food labelling schemes preferred by adults and children’, </w:t>
      </w:r>
      <w:r w:rsidRPr="001D028A">
        <w:rPr>
          <w:i/>
          <w:iCs/>
          <w:sz w:val="20"/>
          <w:szCs w:val="20"/>
          <w:lang w:val="en-GB"/>
        </w:rPr>
        <w:t>Appetite</w:t>
      </w:r>
      <w:r w:rsidRPr="001D028A">
        <w:rPr>
          <w:sz w:val="20"/>
          <w:szCs w:val="20"/>
          <w:lang w:val="en-GB"/>
        </w:rPr>
        <w:t>, vol. 109, pp. 115-123</w:t>
      </w:r>
    </w:p>
    <w:p w14:paraId="53B07EDC" w14:textId="77777777" w:rsidR="00C52B5B" w:rsidRPr="001D028A" w:rsidRDefault="00C52B5B" w:rsidP="00C52B5B">
      <w:pPr>
        <w:autoSpaceDE w:val="0"/>
        <w:autoSpaceDN w:val="0"/>
        <w:adjustRightInd w:val="0"/>
        <w:rPr>
          <w:rFonts w:cstheme="minorHAnsi"/>
          <w:color w:val="000000"/>
          <w:sz w:val="20"/>
          <w:szCs w:val="20"/>
        </w:rPr>
      </w:pPr>
    </w:p>
    <w:p w14:paraId="34FFA074" w14:textId="77777777" w:rsidR="00C52B5B" w:rsidRPr="001D028A" w:rsidRDefault="00C52B5B" w:rsidP="00C52B5B">
      <w:pPr>
        <w:autoSpaceDE w:val="0"/>
        <w:autoSpaceDN w:val="0"/>
        <w:adjustRightInd w:val="0"/>
        <w:rPr>
          <w:rFonts w:cstheme="minorHAnsi"/>
          <w:color w:val="000000"/>
          <w:sz w:val="20"/>
          <w:szCs w:val="20"/>
        </w:rPr>
      </w:pPr>
      <w:r w:rsidRPr="001D028A">
        <w:rPr>
          <w:rFonts w:cstheme="minorHAnsi"/>
          <w:color w:val="000000"/>
          <w:sz w:val="20"/>
          <w:szCs w:val="20"/>
        </w:rPr>
        <w:t xml:space="preserve">Pulker, CE, Trapp, GSA, Scott, JA &amp; Pollard, CM October 2018, ‘Alignment of supermarket own brand foods front-of-pack nutrition labelling with measures of nutritional quality: an Australian Perspective’, </w:t>
      </w:r>
      <w:r w:rsidRPr="001D028A">
        <w:rPr>
          <w:rFonts w:cstheme="minorHAnsi"/>
          <w:i/>
          <w:iCs/>
          <w:color w:val="000000"/>
          <w:sz w:val="20"/>
          <w:szCs w:val="20"/>
        </w:rPr>
        <w:t>Nutrients</w:t>
      </w:r>
      <w:r w:rsidRPr="001D028A">
        <w:rPr>
          <w:rFonts w:cstheme="minorHAnsi"/>
          <w:color w:val="000000"/>
          <w:sz w:val="20"/>
          <w:szCs w:val="20"/>
        </w:rPr>
        <w:t>, vol. 10, no. 10, p. 1465.</w:t>
      </w:r>
    </w:p>
    <w:p w14:paraId="4DBB5682" w14:textId="77777777" w:rsidR="00C52B5B" w:rsidRPr="001D028A" w:rsidRDefault="00C52B5B" w:rsidP="00C52B5B">
      <w:pPr>
        <w:pStyle w:val="NoSpacing"/>
        <w:rPr>
          <w:rFonts w:cstheme="minorHAnsi"/>
          <w:sz w:val="20"/>
          <w:szCs w:val="20"/>
          <w:lang w:val="en-GB"/>
        </w:rPr>
      </w:pPr>
    </w:p>
    <w:p w14:paraId="26F2A74C"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Rangan, AM, Schindeler, S, Hector, DJ, Gill, TP &amp; Webb, KL 2009, ‘Consumption of ‘extra’ foods by Australian adults: types, quantities and contribution to energy and nutrient intakes, </w:t>
      </w:r>
      <w:r w:rsidRPr="001D028A">
        <w:rPr>
          <w:rFonts w:cstheme="minorHAnsi"/>
          <w:i/>
          <w:iCs/>
          <w:sz w:val="20"/>
          <w:szCs w:val="20"/>
          <w:lang w:val="en-GB"/>
        </w:rPr>
        <w:t>European Journal of Clinical Nutrition</w:t>
      </w:r>
      <w:r w:rsidRPr="001D028A">
        <w:rPr>
          <w:rFonts w:cstheme="minorHAnsi"/>
          <w:iCs/>
          <w:sz w:val="20"/>
          <w:szCs w:val="20"/>
          <w:lang w:val="en-GB"/>
        </w:rPr>
        <w:t>, vol.</w:t>
      </w:r>
      <w:r w:rsidRPr="001D028A">
        <w:rPr>
          <w:rFonts w:cstheme="minorHAnsi"/>
          <w:sz w:val="20"/>
          <w:szCs w:val="20"/>
          <w:lang w:val="en-GB"/>
        </w:rPr>
        <w:t xml:space="preserve"> 63, pp. 865-871.</w:t>
      </w:r>
    </w:p>
    <w:p w14:paraId="4608E1EE" w14:textId="77777777" w:rsidR="00C52B5B" w:rsidRPr="001D028A" w:rsidRDefault="00C52B5B" w:rsidP="00C52B5B">
      <w:pPr>
        <w:pStyle w:val="NoSpacing"/>
        <w:rPr>
          <w:rFonts w:cstheme="minorHAnsi"/>
          <w:sz w:val="20"/>
          <w:szCs w:val="20"/>
          <w:lang w:val="en-GB"/>
        </w:rPr>
      </w:pPr>
    </w:p>
    <w:p w14:paraId="5DD040B3" w14:textId="71B888C8" w:rsidR="00C52B5B" w:rsidRPr="001D028A" w:rsidRDefault="00C52B5B" w:rsidP="00C52B5B">
      <w:pPr>
        <w:autoSpaceDE w:val="0"/>
        <w:autoSpaceDN w:val="0"/>
        <w:adjustRightInd w:val="0"/>
        <w:rPr>
          <w:rFonts w:cstheme="minorHAnsi"/>
          <w:sz w:val="20"/>
          <w:szCs w:val="20"/>
        </w:rPr>
      </w:pPr>
      <w:r w:rsidRPr="001D028A">
        <w:rPr>
          <w:rFonts w:cstheme="minorHAnsi"/>
          <w:sz w:val="20"/>
          <w:szCs w:val="20"/>
        </w:rPr>
        <w:t xml:space="preserve">Rippe, J &amp; Angelopoulos, T 2016, ‘Relationship between added sugars consumption and chronic disease risk factors: Current understanding’, </w:t>
      </w:r>
      <w:r w:rsidRPr="001D028A">
        <w:rPr>
          <w:rFonts w:cstheme="minorHAnsi"/>
          <w:i/>
          <w:iCs/>
          <w:sz w:val="20"/>
          <w:szCs w:val="20"/>
        </w:rPr>
        <w:t>Nutrients</w:t>
      </w:r>
      <w:r w:rsidRPr="001D028A">
        <w:rPr>
          <w:rFonts w:cstheme="minorHAnsi"/>
          <w:sz w:val="20"/>
          <w:szCs w:val="20"/>
        </w:rPr>
        <w:t>, vol. 8, no. 696, pp.</w:t>
      </w:r>
      <w:r>
        <w:rPr>
          <w:rFonts w:cstheme="minorHAnsi"/>
          <w:sz w:val="20"/>
          <w:szCs w:val="20"/>
        </w:rPr>
        <w:t xml:space="preserve"> </w:t>
      </w:r>
      <w:r w:rsidRPr="001D028A">
        <w:rPr>
          <w:rFonts w:cstheme="minorHAnsi"/>
          <w:sz w:val="20"/>
          <w:szCs w:val="20"/>
        </w:rPr>
        <w:t>1-19.</w:t>
      </w:r>
    </w:p>
    <w:p w14:paraId="194EF9AF" w14:textId="77777777" w:rsidR="00C52B5B" w:rsidRPr="001D028A" w:rsidRDefault="00C52B5B" w:rsidP="00C52B5B">
      <w:pPr>
        <w:pStyle w:val="NoSpacing"/>
        <w:rPr>
          <w:rFonts w:cstheme="minorHAnsi"/>
          <w:sz w:val="20"/>
          <w:szCs w:val="20"/>
          <w:lang w:val="en-GB"/>
        </w:rPr>
      </w:pPr>
    </w:p>
    <w:p w14:paraId="05CD5C36" w14:textId="77777777" w:rsidR="00C52B5B" w:rsidRPr="001D028A" w:rsidRDefault="00C52B5B" w:rsidP="00C52B5B">
      <w:pPr>
        <w:autoSpaceDE w:val="0"/>
        <w:autoSpaceDN w:val="0"/>
        <w:adjustRightInd w:val="0"/>
        <w:rPr>
          <w:rFonts w:cstheme="minorHAnsi"/>
          <w:sz w:val="20"/>
          <w:szCs w:val="20"/>
        </w:rPr>
      </w:pPr>
      <w:r w:rsidRPr="001D028A">
        <w:rPr>
          <w:rFonts w:cstheme="minorHAnsi"/>
          <w:sz w:val="20"/>
          <w:szCs w:val="20"/>
        </w:rPr>
        <w:t xml:space="preserve">Russell C, Burke PF, Waller DS &amp; Wei E 2017 ‘The impact of front-of-pack marketing attributes versus nutrition and health information on parents‘ food choices’, </w:t>
      </w:r>
      <w:r w:rsidRPr="001D028A">
        <w:rPr>
          <w:rFonts w:cstheme="minorHAnsi"/>
          <w:i/>
          <w:iCs/>
          <w:sz w:val="20"/>
          <w:szCs w:val="20"/>
        </w:rPr>
        <w:t>Appetite</w:t>
      </w:r>
      <w:r w:rsidRPr="001D028A">
        <w:rPr>
          <w:rFonts w:cstheme="minorHAnsi"/>
          <w:sz w:val="20"/>
          <w:szCs w:val="20"/>
        </w:rPr>
        <w:t>, vol. 116, pp. 323-338.</w:t>
      </w:r>
    </w:p>
    <w:p w14:paraId="3257287C" w14:textId="77777777" w:rsidR="00C52B5B" w:rsidRPr="001D028A" w:rsidRDefault="00C52B5B" w:rsidP="00C52B5B">
      <w:pPr>
        <w:autoSpaceDE w:val="0"/>
        <w:autoSpaceDN w:val="0"/>
        <w:adjustRightInd w:val="0"/>
        <w:rPr>
          <w:rFonts w:cstheme="minorHAnsi"/>
          <w:color w:val="000000"/>
          <w:sz w:val="20"/>
          <w:szCs w:val="20"/>
        </w:rPr>
      </w:pPr>
    </w:p>
    <w:p w14:paraId="54B8DE9C"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iCs/>
          <w:sz w:val="20"/>
          <w:szCs w:val="20"/>
        </w:rPr>
        <w:t>Sacks, G, Rayner, M &amp; Swinburn, B October 2009, ‘Impact of front-pf-pack ‘traffic-light’ nutrition labelling on consumer food purchases in the UK</w:t>
      </w:r>
      <w:r w:rsidRPr="001D028A">
        <w:rPr>
          <w:rFonts w:eastAsia="Times New Roman" w:cstheme="minorHAnsi"/>
          <w:i/>
          <w:sz w:val="20"/>
          <w:szCs w:val="20"/>
        </w:rPr>
        <w:t>, Health Promotion International, v</w:t>
      </w:r>
      <w:r w:rsidRPr="001D028A">
        <w:rPr>
          <w:rFonts w:eastAsia="Times New Roman" w:cstheme="minorHAnsi"/>
          <w:iCs/>
          <w:sz w:val="20"/>
          <w:szCs w:val="20"/>
        </w:rPr>
        <w:t xml:space="preserve">ol. 24, no.4. </w:t>
      </w:r>
    </w:p>
    <w:p w14:paraId="7370F3B7" w14:textId="77777777" w:rsidR="00612BCF" w:rsidRPr="003D7F31" w:rsidRDefault="00612BCF" w:rsidP="003272AE">
      <w:pPr>
        <w:pStyle w:val="FootnoteText"/>
      </w:pPr>
    </w:p>
    <w:p w14:paraId="4F42987C" w14:textId="77777777" w:rsidR="00612BCF" w:rsidRDefault="00612BCF" w:rsidP="00612BCF">
      <w:pPr>
        <w:autoSpaceDE w:val="0"/>
        <w:autoSpaceDN w:val="0"/>
        <w:adjustRightInd w:val="0"/>
        <w:rPr>
          <w:rFonts w:cstheme="minorHAnsi"/>
          <w:sz w:val="20"/>
          <w:szCs w:val="20"/>
          <w:lang w:val="en-US"/>
        </w:rPr>
      </w:pPr>
      <w:r w:rsidRPr="003D7F31">
        <w:rPr>
          <w:rFonts w:cstheme="minorHAnsi"/>
          <w:sz w:val="20"/>
          <w:szCs w:val="20"/>
          <w:lang w:val="en-US"/>
        </w:rPr>
        <w:t xml:space="preserve">Salas MMS, Nascimento GG, Vargas-Ferreira F, Tarquinio SBC, Huysmans MCDNJM, Demarco FF. 2015 ‘Diet influenced tooth erosion prevalence in children and adolescents: Results of a meta-analysis and meta-regression’ </w:t>
      </w:r>
      <w:r w:rsidRPr="003D7F31">
        <w:rPr>
          <w:rFonts w:cstheme="minorHAnsi"/>
          <w:i/>
          <w:sz w:val="20"/>
          <w:szCs w:val="20"/>
          <w:lang w:val="en-US"/>
        </w:rPr>
        <w:t>J Dent</w:t>
      </w:r>
      <w:r w:rsidRPr="003D7F31">
        <w:rPr>
          <w:rFonts w:cstheme="minorHAnsi"/>
          <w:sz w:val="20"/>
          <w:szCs w:val="20"/>
          <w:lang w:val="en-US"/>
        </w:rPr>
        <w:t>., vol. 43, no. 8, pp. 865-75.</w:t>
      </w:r>
    </w:p>
    <w:p w14:paraId="5340DE0A" w14:textId="77777777" w:rsidR="00C52B5B" w:rsidRPr="001D028A" w:rsidRDefault="00C52B5B" w:rsidP="00C52B5B">
      <w:pPr>
        <w:autoSpaceDE w:val="0"/>
        <w:autoSpaceDN w:val="0"/>
        <w:adjustRightInd w:val="0"/>
        <w:rPr>
          <w:rFonts w:cstheme="minorHAnsi"/>
          <w:color w:val="000000"/>
          <w:sz w:val="20"/>
          <w:szCs w:val="20"/>
        </w:rPr>
      </w:pPr>
    </w:p>
    <w:p w14:paraId="7A92F787" w14:textId="77777777" w:rsidR="00C52B5B" w:rsidRPr="001D028A" w:rsidRDefault="00C52B5B" w:rsidP="00C52B5B">
      <w:pPr>
        <w:rPr>
          <w:rFonts w:eastAsia="Times New Roman" w:cstheme="minorHAnsi"/>
          <w:i/>
          <w:sz w:val="20"/>
          <w:szCs w:val="20"/>
        </w:rPr>
      </w:pPr>
      <w:r w:rsidRPr="001D028A">
        <w:rPr>
          <w:rFonts w:eastAsia="Times New Roman" w:cstheme="minorHAnsi"/>
          <w:sz w:val="20"/>
          <w:szCs w:val="20"/>
        </w:rPr>
        <w:t xml:space="preserve">Scarborough, P, Rayner, M &amp; Stockley, L </w:t>
      </w:r>
      <w:r w:rsidRPr="001D028A">
        <w:rPr>
          <w:rFonts w:eastAsia="Times New Roman" w:cstheme="minorHAnsi"/>
          <w:iCs/>
          <w:sz w:val="20"/>
          <w:szCs w:val="20"/>
        </w:rPr>
        <w:t xml:space="preserve">2006, </w:t>
      </w:r>
      <w:r w:rsidRPr="001D028A">
        <w:rPr>
          <w:rFonts w:eastAsia="Times New Roman" w:cstheme="minorHAnsi"/>
          <w:sz w:val="20"/>
          <w:szCs w:val="20"/>
        </w:rPr>
        <w:t>‘</w:t>
      </w:r>
      <w:r w:rsidRPr="001D028A">
        <w:rPr>
          <w:rFonts w:eastAsia="Times New Roman" w:cstheme="minorHAnsi"/>
          <w:iCs/>
          <w:sz w:val="20"/>
          <w:szCs w:val="20"/>
        </w:rPr>
        <w:t>Developing nutrient profile models: a systematic approach’,</w:t>
      </w:r>
      <w:r w:rsidRPr="001D028A">
        <w:rPr>
          <w:rFonts w:eastAsia="Times New Roman" w:cstheme="minorHAnsi"/>
          <w:i/>
          <w:sz w:val="20"/>
          <w:szCs w:val="20"/>
        </w:rPr>
        <w:t xml:space="preserve"> Public Health Nutrition, </w:t>
      </w:r>
      <w:r w:rsidRPr="001D028A">
        <w:rPr>
          <w:rFonts w:eastAsia="Times New Roman" w:cstheme="minorHAnsi"/>
          <w:sz w:val="20"/>
          <w:szCs w:val="20"/>
        </w:rPr>
        <w:t xml:space="preserve">vol. </w:t>
      </w:r>
      <w:r w:rsidRPr="001D028A">
        <w:rPr>
          <w:rFonts w:eastAsia="Times New Roman" w:cstheme="minorHAnsi"/>
          <w:iCs/>
          <w:sz w:val="20"/>
          <w:szCs w:val="20"/>
        </w:rPr>
        <w:t>10, no. 4, pp. 330-336.</w:t>
      </w:r>
    </w:p>
    <w:p w14:paraId="732EE456" w14:textId="77777777" w:rsidR="00C52B5B" w:rsidRPr="001D028A" w:rsidRDefault="00C52B5B" w:rsidP="00C52B5B">
      <w:pPr>
        <w:rPr>
          <w:rFonts w:eastAsia="Times New Roman" w:cstheme="minorHAnsi"/>
          <w:i/>
          <w:sz w:val="20"/>
          <w:szCs w:val="20"/>
        </w:rPr>
      </w:pPr>
    </w:p>
    <w:p w14:paraId="68FA9F77"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Scarborough, P, Arambepola, C, Kaur, A, Bhatnagar, P &amp; Rayner, M</w:t>
      </w:r>
      <w:r w:rsidRPr="001D028A">
        <w:rPr>
          <w:rFonts w:eastAsia="Times New Roman" w:cstheme="minorHAnsi"/>
          <w:i/>
          <w:sz w:val="20"/>
          <w:szCs w:val="20"/>
        </w:rPr>
        <w:t xml:space="preserve"> </w:t>
      </w:r>
      <w:r w:rsidRPr="001D028A">
        <w:rPr>
          <w:rFonts w:eastAsia="Times New Roman" w:cstheme="minorHAnsi"/>
          <w:iCs/>
          <w:sz w:val="20"/>
          <w:szCs w:val="20"/>
        </w:rPr>
        <w:t>2010, ‘Should nutrient profile models be ‘category specific’ or ‘across-the-board’? A comparison of the two systems using diets of British adults’</w:t>
      </w:r>
      <w:r w:rsidRPr="001D028A">
        <w:rPr>
          <w:rFonts w:eastAsia="Times New Roman" w:cstheme="minorHAnsi"/>
          <w:i/>
          <w:sz w:val="20"/>
          <w:szCs w:val="20"/>
        </w:rPr>
        <w:t>, European Journal of Clinical Nutrition</w:t>
      </w:r>
      <w:r w:rsidRPr="001D028A">
        <w:rPr>
          <w:rFonts w:eastAsia="Times New Roman" w:cstheme="minorHAnsi"/>
          <w:iCs/>
          <w:sz w:val="20"/>
          <w:szCs w:val="20"/>
        </w:rPr>
        <w:t>, vol. 64, pp. 553-560.</w:t>
      </w:r>
    </w:p>
    <w:p w14:paraId="71C48B8B" w14:textId="77777777" w:rsidR="00C52B5B" w:rsidRPr="001D028A" w:rsidRDefault="00C52B5B" w:rsidP="00C52B5B">
      <w:pPr>
        <w:rPr>
          <w:rFonts w:cstheme="minorHAnsi"/>
          <w:sz w:val="20"/>
          <w:szCs w:val="20"/>
          <w:lang w:val="en-US"/>
        </w:rPr>
      </w:pPr>
    </w:p>
    <w:p w14:paraId="1C2A423E" w14:textId="77777777" w:rsidR="00C52B5B" w:rsidRPr="001D028A" w:rsidRDefault="00C52B5B" w:rsidP="00C52B5B">
      <w:pPr>
        <w:widowControl w:val="0"/>
        <w:autoSpaceDE w:val="0"/>
        <w:autoSpaceDN w:val="0"/>
        <w:adjustRightInd w:val="0"/>
        <w:rPr>
          <w:rFonts w:eastAsia="Times New Roman" w:cstheme="minorHAnsi"/>
          <w:i/>
          <w:sz w:val="20"/>
          <w:szCs w:val="20"/>
        </w:rPr>
      </w:pPr>
      <w:r w:rsidRPr="001D028A">
        <w:rPr>
          <w:rFonts w:eastAsia="Times New Roman" w:cstheme="minorHAnsi"/>
          <w:sz w:val="20"/>
          <w:szCs w:val="20"/>
        </w:rPr>
        <w:t xml:space="preserve">Scarborough, P, Matthews, A, Eyles, H, Kaur, A, Hodgkins, C, Raats, M &amp; Rayner, M </w:t>
      </w:r>
      <w:r w:rsidRPr="001D028A">
        <w:rPr>
          <w:rFonts w:eastAsia="Times New Roman" w:cstheme="minorHAnsi"/>
          <w:iCs/>
          <w:sz w:val="20"/>
          <w:szCs w:val="20"/>
        </w:rPr>
        <w:t>2015, ‘</w:t>
      </w:r>
      <w:r w:rsidRPr="001D028A">
        <w:rPr>
          <w:rFonts w:eastAsia="Times New Roman" w:cstheme="minorHAnsi"/>
          <w:sz w:val="20"/>
          <w:szCs w:val="20"/>
        </w:rPr>
        <w:t>Reds are more important than greens: how UK supermarket shoppers use the different information on a traffic light nutrition label in a choice experiment’,</w:t>
      </w:r>
      <w:r w:rsidRPr="001D028A">
        <w:rPr>
          <w:rFonts w:eastAsia="Times New Roman" w:cstheme="minorHAnsi"/>
          <w:iCs/>
          <w:sz w:val="20"/>
          <w:szCs w:val="20"/>
        </w:rPr>
        <w:t xml:space="preserve"> Int</w:t>
      </w:r>
      <w:r w:rsidRPr="001D028A">
        <w:rPr>
          <w:rFonts w:eastAsia="Times New Roman" w:cstheme="minorHAnsi"/>
          <w:i/>
          <w:iCs/>
          <w:sz w:val="20"/>
          <w:szCs w:val="20"/>
        </w:rPr>
        <w:t>ernational Journal of Behavioural Nutrition and Physical Activity</w:t>
      </w:r>
      <w:r w:rsidRPr="001D028A">
        <w:rPr>
          <w:rFonts w:eastAsia="Times New Roman" w:cstheme="minorHAnsi"/>
          <w:iCs/>
          <w:sz w:val="20"/>
          <w:szCs w:val="20"/>
        </w:rPr>
        <w:t>, vol. 12, no. 151.</w:t>
      </w:r>
    </w:p>
    <w:p w14:paraId="1C3C09FC" w14:textId="77777777" w:rsidR="00C52B5B" w:rsidRPr="001D028A" w:rsidRDefault="00C52B5B" w:rsidP="00C52B5B">
      <w:pPr>
        <w:autoSpaceDE w:val="0"/>
        <w:autoSpaceDN w:val="0"/>
        <w:adjustRightInd w:val="0"/>
        <w:rPr>
          <w:rFonts w:cstheme="minorHAnsi"/>
          <w:color w:val="000000"/>
          <w:sz w:val="20"/>
          <w:szCs w:val="20"/>
        </w:rPr>
      </w:pPr>
    </w:p>
    <w:p w14:paraId="4657CAA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Shrapnel, B 2013, ‘Amount of sugar in Australian breakfast cereals is not associated with energy density </w:t>
      </w:r>
    </w:p>
    <w:p w14:paraId="31058AA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or glycaemic index: Results of a systematic survey, </w:t>
      </w:r>
      <w:r w:rsidRPr="001D028A">
        <w:rPr>
          <w:rFonts w:cstheme="minorHAnsi"/>
          <w:i/>
          <w:sz w:val="20"/>
          <w:szCs w:val="20"/>
        </w:rPr>
        <w:t>Nutrition &amp; Dietetics,</w:t>
      </w:r>
      <w:r w:rsidRPr="001D028A">
        <w:rPr>
          <w:rFonts w:cstheme="minorHAnsi"/>
          <w:sz w:val="20"/>
          <w:szCs w:val="20"/>
        </w:rPr>
        <w:t xml:space="preserve"> vol. 70, pp. 236-240.</w:t>
      </w:r>
    </w:p>
    <w:p w14:paraId="3CA44444" w14:textId="77777777" w:rsidR="00C52B5B" w:rsidRPr="001D028A" w:rsidRDefault="00C52B5B" w:rsidP="00C52B5B">
      <w:pPr>
        <w:autoSpaceDE w:val="0"/>
        <w:autoSpaceDN w:val="0"/>
        <w:adjustRightInd w:val="0"/>
        <w:rPr>
          <w:rFonts w:cstheme="minorHAnsi"/>
          <w:color w:val="000000"/>
          <w:sz w:val="20"/>
          <w:szCs w:val="20"/>
        </w:rPr>
      </w:pPr>
    </w:p>
    <w:p w14:paraId="04DBAF43"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Slavin, J 2013, ‘Fiber and Prebiotics: Mechanisms and Health benefits’, </w:t>
      </w:r>
      <w:r w:rsidRPr="001D028A">
        <w:rPr>
          <w:rFonts w:cstheme="minorHAnsi"/>
          <w:i/>
          <w:iCs/>
          <w:sz w:val="20"/>
          <w:szCs w:val="20"/>
          <w:lang w:val="en-GB"/>
        </w:rPr>
        <w:t>Nutrients,</w:t>
      </w:r>
      <w:r w:rsidRPr="001D028A">
        <w:rPr>
          <w:rFonts w:cstheme="minorHAnsi"/>
          <w:sz w:val="20"/>
          <w:szCs w:val="20"/>
          <w:lang w:val="en-GB"/>
        </w:rPr>
        <w:t xml:space="preserve"> vol. 5, no. 4. </w:t>
      </w:r>
    </w:p>
    <w:p w14:paraId="7ADF468C" w14:textId="77777777" w:rsidR="00C52B5B" w:rsidRPr="001D028A" w:rsidRDefault="00C52B5B" w:rsidP="00C52B5B">
      <w:pPr>
        <w:pStyle w:val="NoSpacing"/>
        <w:rPr>
          <w:rFonts w:cstheme="minorHAnsi"/>
          <w:sz w:val="20"/>
          <w:szCs w:val="20"/>
        </w:rPr>
      </w:pPr>
    </w:p>
    <w:p w14:paraId="62A26550"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Pettigrew, S, Kelly, B &amp; Ball, K 2018 ‘Can front-of-pack labels influence portion size judgements for unhealthy foods?’, </w:t>
      </w:r>
      <w:r w:rsidRPr="001D028A">
        <w:rPr>
          <w:rFonts w:cstheme="minorHAnsi"/>
          <w:i/>
          <w:iCs/>
          <w:sz w:val="20"/>
          <w:szCs w:val="20"/>
        </w:rPr>
        <w:t>Public Health Nutrition</w:t>
      </w:r>
      <w:r w:rsidRPr="001D028A">
        <w:rPr>
          <w:rFonts w:cstheme="minorHAnsi"/>
          <w:sz w:val="20"/>
          <w:szCs w:val="20"/>
        </w:rPr>
        <w:t>, vol. 21, no. 15, pp. 2776-2781.</w:t>
      </w:r>
    </w:p>
    <w:p w14:paraId="0B15A307" w14:textId="77777777" w:rsidR="00C52B5B" w:rsidRPr="001D028A" w:rsidRDefault="00C52B5B" w:rsidP="00C52B5B">
      <w:pPr>
        <w:pStyle w:val="NoSpacing"/>
        <w:rPr>
          <w:rFonts w:cstheme="minorHAnsi"/>
          <w:sz w:val="20"/>
          <w:szCs w:val="20"/>
        </w:rPr>
      </w:pPr>
    </w:p>
    <w:p w14:paraId="581C0BC6"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Pettigrew, S, Dixon, H, Neal, B, Ball, K &amp; Hughes, C 2016 ‘Do health claims and front-of-pack labels lead to a positivity bias in unhealthy foods?’, </w:t>
      </w:r>
      <w:r w:rsidRPr="001D028A">
        <w:rPr>
          <w:rFonts w:cstheme="minorHAnsi"/>
          <w:i/>
          <w:iCs/>
          <w:sz w:val="20"/>
          <w:szCs w:val="20"/>
        </w:rPr>
        <w:t>Nutrients</w:t>
      </w:r>
      <w:r w:rsidRPr="001D028A">
        <w:rPr>
          <w:rFonts w:cstheme="minorHAnsi"/>
          <w:sz w:val="20"/>
          <w:szCs w:val="20"/>
        </w:rPr>
        <w:t>, vol. 8, no. 12.</w:t>
      </w:r>
    </w:p>
    <w:p w14:paraId="46FC88AA" w14:textId="77777777" w:rsidR="00C52B5B" w:rsidRPr="001D028A" w:rsidRDefault="00C52B5B" w:rsidP="00C52B5B">
      <w:pPr>
        <w:pStyle w:val="NoSpacing"/>
        <w:rPr>
          <w:rFonts w:cstheme="minorHAnsi"/>
          <w:sz w:val="20"/>
          <w:szCs w:val="20"/>
        </w:rPr>
      </w:pPr>
    </w:p>
    <w:p w14:paraId="6113C483"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Pettigrew, S, Hughes, C, Dixon, H, Kelly, B, Ball, K &amp; Miller, C 2016 ‘The combined effect of front-of-pack nutrition labels and health claims on consumers’ evaluation of food products’, </w:t>
      </w:r>
      <w:r w:rsidRPr="001D028A">
        <w:rPr>
          <w:rFonts w:cstheme="minorHAnsi"/>
          <w:i/>
          <w:iCs/>
          <w:sz w:val="20"/>
          <w:szCs w:val="20"/>
        </w:rPr>
        <w:t>Food Quality and Preference</w:t>
      </w:r>
      <w:r w:rsidRPr="001D028A">
        <w:rPr>
          <w:rFonts w:cstheme="minorHAnsi"/>
          <w:sz w:val="20"/>
          <w:szCs w:val="20"/>
        </w:rPr>
        <w:t>, vol. 53, pp. 57-65.</w:t>
      </w:r>
    </w:p>
    <w:p w14:paraId="4E66BEDD" w14:textId="77777777" w:rsidR="00C52B5B" w:rsidRPr="001D028A" w:rsidRDefault="00C52B5B" w:rsidP="00C52B5B">
      <w:pPr>
        <w:pStyle w:val="mpcNormal"/>
        <w:keepNext w:val="0"/>
        <w:rPr>
          <w:sz w:val="20"/>
          <w:szCs w:val="20"/>
          <w:lang w:val="en-GB"/>
        </w:rPr>
      </w:pPr>
    </w:p>
    <w:p w14:paraId="56B505FE" w14:textId="77777777" w:rsidR="00C52B5B" w:rsidRPr="001D028A" w:rsidRDefault="00C52B5B" w:rsidP="00C52B5B">
      <w:pPr>
        <w:pStyle w:val="mpcNormal"/>
        <w:keepNext w:val="0"/>
        <w:rPr>
          <w:sz w:val="20"/>
          <w:szCs w:val="20"/>
          <w:lang w:val="en-GB"/>
        </w:rPr>
      </w:pPr>
      <w:r w:rsidRPr="001D028A">
        <w:rPr>
          <w:sz w:val="20"/>
          <w:szCs w:val="20"/>
          <w:lang w:val="en-GB"/>
        </w:rPr>
        <w:t xml:space="preserve">Talati, Z, Pettigrew, S, Kelly, B &amp; Ball, K, 2016 ‘Consumers’ responses to front-of-pack labels that vary by interpretive content’, </w:t>
      </w:r>
      <w:r w:rsidRPr="001D028A">
        <w:rPr>
          <w:i/>
          <w:iCs/>
          <w:sz w:val="20"/>
          <w:szCs w:val="20"/>
          <w:lang w:val="en-GB"/>
        </w:rPr>
        <w:t>Appetite</w:t>
      </w:r>
      <w:r w:rsidRPr="001D028A">
        <w:rPr>
          <w:sz w:val="20"/>
          <w:szCs w:val="20"/>
          <w:lang w:val="en-GB"/>
        </w:rPr>
        <w:t>, vol. 101, pp. 205-213.</w:t>
      </w:r>
    </w:p>
    <w:p w14:paraId="79B3B5B7" w14:textId="77777777" w:rsidR="00C52B5B" w:rsidRPr="001D028A" w:rsidRDefault="00C52B5B" w:rsidP="00C52B5B">
      <w:pPr>
        <w:pStyle w:val="mpcNormal"/>
        <w:keepNext w:val="0"/>
        <w:rPr>
          <w:sz w:val="20"/>
          <w:szCs w:val="20"/>
          <w:lang w:val="en-GB"/>
        </w:rPr>
      </w:pPr>
    </w:p>
    <w:p w14:paraId="7E4F2284" w14:textId="4360C028"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Talati, Z, Pettigrew, S, Kelly, B, Ball, K, Hughes, C, Kelly, B, Neal, B, &amp; Dixon, H, 2017 ‘The relative ability of different front-of-pack labels to assist consumers discriminate between healthy, moderately healthy, and unhealthy foods’, </w:t>
      </w:r>
      <w:r w:rsidRPr="001D028A">
        <w:rPr>
          <w:rFonts w:cstheme="minorHAnsi"/>
          <w:i/>
          <w:iCs/>
          <w:sz w:val="20"/>
          <w:szCs w:val="20"/>
          <w:lang w:val="en-GB"/>
        </w:rPr>
        <w:t>Food quality and preference</w:t>
      </w:r>
      <w:r w:rsidRPr="001D028A">
        <w:rPr>
          <w:rFonts w:cstheme="minorHAnsi"/>
          <w:sz w:val="20"/>
          <w:szCs w:val="20"/>
          <w:lang w:val="en-GB"/>
        </w:rPr>
        <w:t>, vol. 59, pp. 109-113</w:t>
      </w:r>
      <w:r>
        <w:rPr>
          <w:rFonts w:cstheme="minorHAnsi"/>
          <w:sz w:val="20"/>
          <w:szCs w:val="20"/>
          <w:lang w:val="en-GB"/>
        </w:rPr>
        <w:t>.</w:t>
      </w:r>
    </w:p>
    <w:p w14:paraId="3CEC17AA" w14:textId="77777777" w:rsidR="00C52B5B" w:rsidRPr="001D028A" w:rsidRDefault="00C52B5B" w:rsidP="00C52B5B">
      <w:pPr>
        <w:pStyle w:val="NoSpacing"/>
        <w:rPr>
          <w:rFonts w:cstheme="minorHAnsi"/>
          <w:sz w:val="20"/>
          <w:szCs w:val="20"/>
          <w:lang w:val="en-GB"/>
        </w:rPr>
      </w:pPr>
    </w:p>
    <w:p w14:paraId="4854BC62"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Talati, Z, Norman, R, Pettigrew, S, Neal, B, Kelly, B, Dixon, H, Ball, K, Miller, C &amp; Shilton, T 2017 ‘The impact of interpretive and reductive front-of-pack labels on food choice and willingness to pay, </w:t>
      </w:r>
      <w:r w:rsidRPr="001D028A">
        <w:rPr>
          <w:rFonts w:cstheme="minorHAnsi"/>
          <w:i/>
          <w:iCs/>
          <w:sz w:val="20"/>
          <w:szCs w:val="20"/>
        </w:rPr>
        <w:t>International Journal of Behavioural Nutrition and Physical Activity</w:t>
      </w:r>
      <w:r w:rsidRPr="001D028A">
        <w:rPr>
          <w:rFonts w:cstheme="minorHAnsi"/>
          <w:sz w:val="20"/>
          <w:szCs w:val="20"/>
        </w:rPr>
        <w:t>, vol. 14, pp. 2-10.</w:t>
      </w:r>
    </w:p>
    <w:p w14:paraId="75CBDD74" w14:textId="77777777" w:rsidR="00C52B5B" w:rsidRPr="001D028A" w:rsidRDefault="00C52B5B" w:rsidP="00C52B5B">
      <w:pPr>
        <w:pStyle w:val="NoSpacing"/>
        <w:rPr>
          <w:rFonts w:cstheme="minorHAnsi"/>
          <w:sz w:val="20"/>
          <w:szCs w:val="20"/>
          <w:lang w:val="en-GB"/>
        </w:rPr>
      </w:pPr>
    </w:p>
    <w:p w14:paraId="28FBB3E3" w14:textId="77777777" w:rsidR="00C52B5B" w:rsidRPr="001D028A" w:rsidRDefault="00C52B5B" w:rsidP="00C52B5B">
      <w:pPr>
        <w:rPr>
          <w:rFonts w:cstheme="minorHAnsi"/>
          <w:sz w:val="20"/>
          <w:szCs w:val="20"/>
        </w:rPr>
      </w:pPr>
      <w:r w:rsidRPr="001D028A">
        <w:rPr>
          <w:rFonts w:eastAsia="Times New Roman" w:cstheme="minorHAnsi"/>
          <w:sz w:val="20"/>
          <w:szCs w:val="20"/>
        </w:rPr>
        <w:t>Te Morenga, L, Mallard, S &amp; Mann</w:t>
      </w:r>
      <w:r w:rsidRPr="001D028A">
        <w:rPr>
          <w:rFonts w:eastAsia="Times New Roman" w:cstheme="minorHAnsi"/>
          <w:i/>
          <w:sz w:val="20"/>
          <w:szCs w:val="20"/>
        </w:rPr>
        <w:t>,</w:t>
      </w:r>
      <w:r w:rsidRPr="001D028A">
        <w:rPr>
          <w:rFonts w:eastAsia="Times New Roman" w:cstheme="minorHAnsi"/>
          <w:sz w:val="20"/>
          <w:szCs w:val="20"/>
        </w:rPr>
        <w:t xml:space="preserve"> J 2013</w:t>
      </w:r>
      <w:r w:rsidRPr="001D028A">
        <w:rPr>
          <w:rFonts w:eastAsia="Times New Roman" w:cstheme="minorHAnsi"/>
          <w:i/>
          <w:sz w:val="20"/>
          <w:szCs w:val="20"/>
        </w:rPr>
        <w:t xml:space="preserve"> ‘</w:t>
      </w:r>
      <w:r w:rsidRPr="001D028A">
        <w:rPr>
          <w:rFonts w:eastAsia="Times New Roman" w:cstheme="minorHAnsi"/>
          <w:sz w:val="20"/>
          <w:szCs w:val="20"/>
        </w:rPr>
        <w:t>Dietary sugars and body weight: systematic review and meta-analyses of randomised controlled trials and cohort studies’,</w:t>
      </w:r>
      <w:r w:rsidRPr="001D028A">
        <w:rPr>
          <w:rFonts w:eastAsia="Times New Roman" w:cstheme="minorHAnsi"/>
          <w:i/>
          <w:sz w:val="20"/>
          <w:szCs w:val="20"/>
        </w:rPr>
        <w:t xml:space="preserve"> The BMJ,</w:t>
      </w:r>
      <w:r w:rsidRPr="001D028A">
        <w:rPr>
          <w:rFonts w:eastAsia="Times New Roman" w:cstheme="minorHAnsi"/>
          <w:sz w:val="20"/>
          <w:szCs w:val="20"/>
        </w:rPr>
        <w:t xml:space="preserve"> vol. 346.</w:t>
      </w:r>
    </w:p>
    <w:p w14:paraId="5B30D1F9" w14:textId="77777777" w:rsidR="00C52B5B" w:rsidRPr="001D028A" w:rsidRDefault="00C52B5B" w:rsidP="00C52B5B">
      <w:pPr>
        <w:pStyle w:val="NoSpacing"/>
        <w:rPr>
          <w:rFonts w:cstheme="minorHAnsi"/>
          <w:sz w:val="20"/>
          <w:szCs w:val="20"/>
          <w:lang w:val="en-GB"/>
        </w:rPr>
      </w:pPr>
    </w:p>
    <w:p w14:paraId="7AF4145F"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Turner, N &amp; Lupton, J 2011 ‘Dietary Fiber’, </w:t>
      </w:r>
      <w:r w:rsidRPr="001D028A">
        <w:rPr>
          <w:rFonts w:cstheme="minorHAnsi"/>
          <w:i/>
          <w:iCs/>
          <w:sz w:val="20"/>
          <w:szCs w:val="20"/>
          <w:lang w:val="en-GB"/>
        </w:rPr>
        <w:t>Advances on Nutrition: An International Review Journal</w:t>
      </w:r>
      <w:r w:rsidRPr="001D028A">
        <w:rPr>
          <w:rFonts w:cstheme="minorHAnsi"/>
          <w:sz w:val="20"/>
          <w:szCs w:val="20"/>
          <w:lang w:val="en-GB"/>
        </w:rPr>
        <w:t>, vol. 2, pp. 151-152.</w:t>
      </w:r>
    </w:p>
    <w:p w14:paraId="00BE7554" w14:textId="77777777" w:rsidR="00C52B5B" w:rsidRPr="001D028A" w:rsidRDefault="00C52B5B" w:rsidP="00C52B5B">
      <w:pPr>
        <w:autoSpaceDE w:val="0"/>
        <w:autoSpaceDN w:val="0"/>
        <w:adjustRightInd w:val="0"/>
        <w:rPr>
          <w:rFonts w:cstheme="minorHAnsi"/>
          <w:color w:val="000000"/>
          <w:sz w:val="20"/>
          <w:szCs w:val="20"/>
        </w:rPr>
      </w:pPr>
    </w:p>
    <w:p w14:paraId="25A7D1E3" w14:textId="77777777" w:rsidR="00C52B5B" w:rsidRPr="001D028A" w:rsidRDefault="00C52B5B" w:rsidP="003272AE">
      <w:pPr>
        <w:pStyle w:val="FootnoteText"/>
      </w:pPr>
      <w:r w:rsidRPr="001D028A">
        <w:t xml:space="preserve">Vermeer, W, Bruins, B, Steenhuis, I, 2010 ‘Two pack king size chocolate bars. Can we manage our consumption?’ </w:t>
      </w:r>
      <w:r w:rsidRPr="001D028A">
        <w:rPr>
          <w:i/>
        </w:rPr>
        <w:t>Appetite</w:t>
      </w:r>
      <w:r w:rsidRPr="001D028A">
        <w:t>, vol. 54, pp. 414-417</w:t>
      </w:r>
    </w:p>
    <w:p w14:paraId="322BB80D" w14:textId="77777777" w:rsidR="00C52B5B" w:rsidRPr="001D028A" w:rsidRDefault="00C52B5B" w:rsidP="00C52B5B">
      <w:pPr>
        <w:pStyle w:val="NoSpacing"/>
        <w:rPr>
          <w:rFonts w:cstheme="minorHAnsi"/>
          <w:sz w:val="20"/>
          <w:szCs w:val="20"/>
          <w:lang w:val="en-GB"/>
        </w:rPr>
      </w:pPr>
    </w:p>
    <w:p w14:paraId="52408DBF"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Watson, W, Chapman, K, King, L, Kelly, B, Hughes, C, Chun Yu Louie, J, Crawford, J, Gill, T, 2011 ‘How well do Australian shoppers understand energy terms on food labels?’ </w:t>
      </w:r>
      <w:r w:rsidRPr="001D028A">
        <w:rPr>
          <w:rFonts w:cstheme="minorHAnsi"/>
          <w:i/>
          <w:sz w:val="20"/>
          <w:szCs w:val="20"/>
        </w:rPr>
        <w:t>Public Health Nutrition</w:t>
      </w:r>
      <w:r w:rsidRPr="001D028A">
        <w:rPr>
          <w:rFonts w:cstheme="minorHAnsi"/>
          <w:sz w:val="20"/>
          <w:szCs w:val="20"/>
        </w:rPr>
        <w:t>, vol. 16, no. 3, pp. 409-417.</w:t>
      </w:r>
    </w:p>
    <w:p w14:paraId="118AB15E" w14:textId="77777777" w:rsidR="00C52B5B" w:rsidRPr="001D028A" w:rsidRDefault="00C52B5B" w:rsidP="00C52B5B">
      <w:pPr>
        <w:pStyle w:val="NoSpacing"/>
        <w:rPr>
          <w:rFonts w:cstheme="minorHAnsi"/>
          <w:sz w:val="20"/>
          <w:szCs w:val="20"/>
          <w:lang w:val="en-GB"/>
        </w:rPr>
      </w:pPr>
    </w:p>
    <w:p w14:paraId="10C31E32"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Wellard, L, Hughes, C &amp; Watson, W 2016, ‘Investigating nutrient profiling and Health Star Ratings on core dairy products in Australia, </w:t>
      </w:r>
      <w:r w:rsidRPr="001D028A">
        <w:rPr>
          <w:rFonts w:cstheme="minorHAnsi"/>
          <w:i/>
          <w:iCs/>
          <w:sz w:val="20"/>
          <w:szCs w:val="20"/>
          <w:lang w:val="en-GB"/>
        </w:rPr>
        <w:t>Public Health Nutrition</w:t>
      </w:r>
      <w:r w:rsidRPr="001D028A">
        <w:rPr>
          <w:rFonts w:cstheme="minorHAnsi"/>
          <w:sz w:val="20"/>
          <w:szCs w:val="20"/>
          <w:lang w:val="en-GB"/>
        </w:rPr>
        <w:t>, vol. 19, no. 15, pp. 2860-2865.</w:t>
      </w:r>
    </w:p>
    <w:p w14:paraId="286A1CBD" w14:textId="77777777" w:rsidR="00C52B5B" w:rsidRPr="001D028A" w:rsidRDefault="00C52B5B" w:rsidP="00C52B5B">
      <w:pPr>
        <w:pStyle w:val="NoSpacing"/>
        <w:rPr>
          <w:rFonts w:cstheme="minorHAnsi"/>
          <w:sz w:val="20"/>
          <w:szCs w:val="20"/>
          <w:lang w:val="en-GB"/>
        </w:rPr>
      </w:pPr>
    </w:p>
    <w:p w14:paraId="09DD3776" w14:textId="77777777" w:rsidR="00C52B5B" w:rsidRPr="001D028A" w:rsidRDefault="00C52B5B" w:rsidP="00C52B5B">
      <w:pPr>
        <w:pStyle w:val="NoSpacing"/>
        <w:rPr>
          <w:rFonts w:cstheme="minorHAnsi"/>
          <w:b/>
          <w:bCs/>
          <w:sz w:val="20"/>
          <w:szCs w:val="20"/>
          <w:lang w:val="en-GB"/>
        </w:rPr>
      </w:pPr>
      <w:r w:rsidRPr="001D028A">
        <w:rPr>
          <w:rFonts w:cstheme="minorHAnsi"/>
          <w:b/>
          <w:bCs/>
          <w:sz w:val="20"/>
          <w:szCs w:val="20"/>
          <w:lang w:val="en-GB"/>
        </w:rPr>
        <w:t>Reports, papers and policy statements</w:t>
      </w:r>
    </w:p>
    <w:p w14:paraId="06A55135" w14:textId="77777777" w:rsidR="00C52B5B" w:rsidRPr="001D028A" w:rsidRDefault="00C52B5B" w:rsidP="00C52B5B">
      <w:pPr>
        <w:pStyle w:val="NoSpacing"/>
        <w:rPr>
          <w:rFonts w:cstheme="minorHAnsi"/>
          <w:sz w:val="20"/>
          <w:szCs w:val="20"/>
          <w:lang w:val="en-GB"/>
        </w:rPr>
      </w:pPr>
    </w:p>
    <w:p w14:paraId="0F291F98"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Australia and New Zealand Food Regulation Ministerial Council, </w:t>
      </w:r>
      <w:hyperlink r:id="rId167" w:history="1">
        <w:r w:rsidRPr="001D028A">
          <w:rPr>
            <w:rStyle w:val="Hyperlink"/>
            <w:rFonts w:cstheme="minorHAnsi"/>
            <w:i/>
            <w:iCs/>
            <w:sz w:val="20"/>
            <w:szCs w:val="20"/>
          </w:rPr>
          <w:t>Front of Pack Labelling Policy Statement</w:t>
        </w:r>
      </w:hyperlink>
      <w:r w:rsidRPr="001D028A">
        <w:rPr>
          <w:rFonts w:cstheme="minorHAnsi"/>
          <w:sz w:val="20"/>
          <w:szCs w:val="20"/>
        </w:rPr>
        <w:t xml:space="preserve">, endorsed by Ministerial Council on 23 October 2009 </w:t>
      </w:r>
    </w:p>
    <w:p w14:paraId="37ADCCAE" w14:textId="77777777" w:rsidR="00C52B5B" w:rsidRPr="001D028A" w:rsidRDefault="00C52B5B" w:rsidP="00C52B5B">
      <w:pPr>
        <w:pStyle w:val="NoSpacing"/>
        <w:rPr>
          <w:rFonts w:cstheme="minorHAnsi"/>
          <w:sz w:val="20"/>
          <w:szCs w:val="20"/>
        </w:rPr>
      </w:pPr>
    </w:p>
    <w:p w14:paraId="21920D79"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Food &amp; Grocery Council 2016, </w:t>
      </w:r>
      <w:r w:rsidRPr="001D028A">
        <w:rPr>
          <w:rFonts w:cstheme="minorHAnsi"/>
          <w:i/>
          <w:iCs/>
          <w:sz w:val="20"/>
          <w:szCs w:val="20"/>
          <w:lang w:val="en-GB"/>
        </w:rPr>
        <w:t>Current Issues Brief: The WHO 5% dietary energy target for free sugars is not intended to address excess body weight.</w:t>
      </w:r>
    </w:p>
    <w:p w14:paraId="7B1BA1C3" w14:textId="77777777" w:rsidR="00C52B5B" w:rsidRPr="001D028A" w:rsidRDefault="00C52B5B" w:rsidP="00C52B5B">
      <w:pPr>
        <w:pStyle w:val="NoSpacing"/>
        <w:rPr>
          <w:rFonts w:cstheme="minorHAnsi"/>
          <w:sz w:val="20"/>
          <w:szCs w:val="20"/>
          <w:lang w:val="en-GB"/>
        </w:rPr>
      </w:pPr>
    </w:p>
    <w:p w14:paraId="6E19A8A1"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Australian Breakfast Cereal Manufacturers Forum 2017, </w:t>
      </w:r>
      <w:hyperlink r:id="rId168" w:history="1">
        <w:r w:rsidRPr="001D028A">
          <w:rPr>
            <w:rStyle w:val="Hyperlink"/>
            <w:rFonts w:cstheme="minorHAnsi"/>
            <w:i/>
            <w:iCs/>
            <w:sz w:val="20"/>
            <w:szCs w:val="20"/>
            <w:lang w:val="en-GB"/>
          </w:rPr>
          <w:t>Bowled over at breakfast: new Australian data on the nutritional profile of breakfast cereals and their impact on nutrient intakes and body weight</w:t>
        </w:r>
      </w:hyperlink>
      <w:r w:rsidRPr="001D028A">
        <w:rPr>
          <w:rFonts w:cstheme="minorHAnsi"/>
          <w:sz w:val="20"/>
          <w:szCs w:val="20"/>
          <w:lang w:val="en-GB"/>
        </w:rPr>
        <w:t>, viewed 2 December 2018.</w:t>
      </w:r>
    </w:p>
    <w:p w14:paraId="69670CD1" w14:textId="77777777" w:rsidR="00C52B5B" w:rsidRPr="001D028A" w:rsidRDefault="00C52B5B" w:rsidP="00C52B5B">
      <w:pPr>
        <w:pStyle w:val="NoSpacing"/>
        <w:rPr>
          <w:rFonts w:cstheme="minorHAnsi"/>
          <w:sz w:val="20"/>
          <w:szCs w:val="20"/>
          <w:lang w:val="en-GB"/>
        </w:rPr>
      </w:pPr>
    </w:p>
    <w:p w14:paraId="31639028" w14:textId="77777777" w:rsidR="00C52B5B" w:rsidRPr="001D028A" w:rsidRDefault="00C52B5B" w:rsidP="00C52B5B">
      <w:pPr>
        <w:pStyle w:val="NoSpacing"/>
        <w:rPr>
          <w:rFonts w:cstheme="minorHAnsi"/>
          <w:i/>
          <w:iCs/>
          <w:sz w:val="20"/>
          <w:szCs w:val="20"/>
          <w:lang w:val="en-GB"/>
        </w:rPr>
      </w:pPr>
      <w:r w:rsidRPr="001D028A">
        <w:rPr>
          <w:rFonts w:cstheme="minorHAnsi"/>
          <w:sz w:val="20"/>
          <w:szCs w:val="20"/>
          <w:lang w:val="en-GB"/>
        </w:rPr>
        <w:t xml:space="preserve">Australian Government Department of Health 2017, </w:t>
      </w:r>
      <w:hyperlink r:id="rId169" w:history="1">
        <w:r w:rsidRPr="001D028A">
          <w:rPr>
            <w:rStyle w:val="Hyperlink"/>
            <w:rFonts w:cstheme="minorHAnsi"/>
            <w:i/>
            <w:iCs/>
            <w:sz w:val="20"/>
            <w:szCs w:val="20"/>
            <w:lang w:val="en-GB"/>
          </w:rPr>
          <w:t>Policy context relating to sugars in Australia and New Zealand</w:t>
        </w:r>
      </w:hyperlink>
      <w:r w:rsidRPr="001D028A">
        <w:rPr>
          <w:rFonts w:cstheme="minorHAnsi"/>
          <w:i/>
          <w:iCs/>
          <w:sz w:val="20"/>
          <w:szCs w:val="20"/>
          <w:lang w:val="en-GB"/>
        </w:rPr>
        <w:t xml:space="preserve">, </w:t>
      </w:r>
      <w:r w:rsidRPr="001D028A">
        <w:rPr>
          <w:rFonts w:cstheme="minorHAnsi"/>
          <w:iCs/>
          <w:sz w:val="20"/>
          <w:szCs w:val="20"/>
          <w:lang w:val="en-GB"/>
        </w:rPr>
        <w:t>viewed on 31 January 2019.</w:t>
      </w:r>
    </w:p>
    <w:p w14:paraId="539E2D64" w14:textId="77777777" w:rsidR="00C52B5B" w:rsidRPr="001D028A" w:rsidRDefault="00C52B5B" w:rsidP="00C52B5B">
      <w:pPr>
        <w:pStyle w:val="NoSpacing"/>
        <w:rPr>
          <w:rFonts w:cstheme="minorHAnsi"/>
          <w:sz w:val="20"/>
          <w:szCs w:val="20"/>
          <w:lang w:val="en-GB"/>
        </w:rPr>
      </w:pPr>
    </w:p>
    <w:p w14:paraId="76402D84" w14:textId="77777777" w:rsidR="00C52B5B" w:rsidRPr="001D028A" w:rsidRDefault="00C52B5B" w:rsidP="00C52B5B">
      <w:pPr>
        <w:pStyle w:val="NoSpacing"/>
        <w:rPr>
          <w:rFonts w:cstheme="minorHAnsi"/>
          <w:sz w:val="20"/>
          <w:szCs w:val="20"/>
        </w:rPr>
      </w:pPr>
      <w:r w:rsidRPr="001D028A">
        <w:rPr>
          <w:rFonts w:cstheme="minorHAnsi"/>
          <w:sz w:val="20"/>
          <w:szCs w:val="20"/>
          <w:lang w:val="en-GB"/>
        </w:rPr>
        <w:t xml:space="preserve">Boylan, S &amp; Mihrshahi, S 2015 </w:t>
      </w:r>
      <w:hyperlink r:id="rId170" w:history="1">
        <w:r w:rsidRPr="001D028A">
          <w:rPr>
            <w:rStyle w:val="Hyperlink"/>
            <w:rFonts w:cstheme="minorHAnsi"/>
            <w:i/>
            <w:sz w:val="20"/>
            <w:szCs w:val="20"/>
            <w:lang w:val="en-GB"/>
          </w:rPr>
          <w:t>Sugar intake and health outcomes: A rapid evidence review</w:t>
        </w:r>
      </w:hyperlink>
      <w:r w:rsidRPr="001D028A">
        <w:rPr>
          <w:rFonts w:cstheme="minorHAnsi"/>
          <w:i/>
          <w:sz w:val="20"/>
          <w:szCs w:val="20"/>
          <w:lang w:val="en-GB"/>
        </w:rPr>
        <w:t>,</w:t>
      </w:r>
      <w:r w:rsidRPr="001D028A">
        <w:rPr>
          <w:rFonts w:cstheme="minorHAnsi"/>
          <w:sz w:val="20"/>
          <w:szCs w:val="20"/>
          <w:lang w:val="en-GB"/>
        </w:rPr>
        <w:t xml:space="preserve"> </w:t>
      </w:r>
      <w:r w:rsidRPr="001D028A">
        <w:rPr>
          <w:rFonts w:cstheme="minorHAnsi"/>
          <w:sz w:val="20"/>
          <w:szCs w:val="20"/>
        </w:rPr>
        <w:t xml:space="preserve">Prepared for the Centre for Population Health, NSW Ministry of Health. Sydney; Physical Activity Nutrition Obesity Research Group, viewed on 10 January 2019. </w:t>
      </w:r>
    </w:p>
    <w:p w14:paraId="171F1924" w14:textId="77777777" w:rsidR="00C52B5B" w:rsidRPr="001D028A" w:rsidRDefault="00C52B5B" w:rsidP="00C52B5B">
      <w:pPr>
        <w:pStyle w:val="NoSpacing"/>
        <w:rPr>
          <w:rFonts w:cstheme="minorHAnsi"/>
          <w:sz w:val="20"/>
          <w:szCs w:val="20"/>
          <w:lang w:val="en-GB"/>
        </w:rPr>
      </w:pPr>
    </w:p>
    <w:p w14:paraId="1F143B0B"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British Market Research Bureau 2009, </w:t>
      </w:r>
      <w:hyperlink r:id="rId171" w:history="1">
        <w:r w:rsidRPr="001D028A">
          <w:rPr>
            <w:rStyle w:val="Hyperlink"/>
            <w:rFonts w:eastAsia="Times New Roman" w:cstheme="minorHAnsi"/>
            <w:i/>
            <w:sz w:val="20"/>
            <w:szCs w:val="20"/>
          </w:rPr>
          <w:t>Comprehension and use of UK nutrition signpost labelling schemes</w:t>
        </w:r>
      </w:hyperlink>
      <w:r w:rsidRPr="001D028A">
        <w:rPr>
          <w:rFonts w:eastAsia="Times New Roman" w:cstheme="minorHAnsi"/>
          <w:sz w:val="20"/>
          <w:szCs w:val="20"/>
        </w:rPr>
        <w:t>, prepared for Food Standards Agency, May, viewed on 31 January 2019.</w:t>
      </w:r>
    </w:p>
    <w:p w14:paraId="6629DAFA" w14:textId="77777777" w:rsidR="00C52B5B" w:rsidRPr="001D028A" w:rsidRDefault="00C52B5B" w:rsidP="00C52B5B">
      <w:pPr>
        <w:pStyle w:val="NoSpacing"/>
        <w:rPr>
          <w:rFonts w:cstheme="minorHAnsi"/>
          <w:sz w:val="20"/>
          <w:szCs w:val="20"/>
        </w:rPr>
      </w:pPr>
    </w:p>
    <w:p w14:paraId="6EC29BAF"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Butland, B, Jebb, S, Kopelman, P, McPherson, K, Mardell, J &amp; Parry, V, </w:t>
      </w:r>
      <w:r w:rsidRPr="001D028A">
        <w:rPr>
          <w:rFonts w:cstheme="minorHAnsi"/>
          <w:i/>
          <w:sz w:val="20"/>
          <w:szCs w:val="20"/>
        </w:rPr>
        <w:t xml:space="preserve">Foresight: Tackling Obesities: Future Choices – Project Report, </w:t>
      </w:r>
      <w:r w:rsidRPr="001D028A">
        <w:rPr>
          <w:rFonts w:cstheme="minorHAnsi"/>
          <w:sz w:val="20"/>
          <w:szCs w:val="20"/>
        </w:rPr>
        <w:t>Government Office for Science</w:t>
      </w:r>
    </w:p>
    <w:p w14:paraId="3ADB73DF" w14:textId="77777777" w:rsidR="00C52B5B" w:rsidRPr="001D028A" w:rsidRDefault="00C52B5B" w:rsidP="00C52B5B">
      <w:pPr>
        <w:pStyle w:val="NoSpacing"/>
        <w:rPr>
          <w:rFonts w:cstheme="minorHAnsi"/>
          <w:sz w:val="20"/>
          <w:szCs w:val="20"/>
          <w:lang w:val="en-GB"/>
        </w:rPr>
      </w:pPr>
    </w:p>
    <w:p w14:paraId="0FF9100D"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Cameron A, Sacks G, Brown A, Ngan W, Isaacs J 2017 </w:t>
      </w:r>
      <w:r w:rsidRPr="001D028A">
        <w:rPr>
          <w:rFonts w:cstheme="minorHAnsi"/>
          <w:i/>
          <w:sz w:val="20"/>
          <w:szCs w:val="20"/>
        </w:rPr>
        <w:t>Customer and staff perceptions of a supermarket marketing intervention to promote healthy eating</w:t>
      </w:r>
      <w:r w:rsidRPr="001D028A">
        <w:rPr>
          <w:rFonts w:cstheme="minorHAnsi"/>
          <w:sz w:val="20"/>
          <w:szCs w:val="20"/>
        </w:rPr>
        <w:t>. Paper presented at: 15th World Congress on Public Health, Apr 3-7 2018, Melbourne.</w:t>
      </w:r>
    </w:p>
    <w:p w14:paraId="60E974A0" w14:textId="77777777" w:rsidR="00C52B5B" w:rsidRPr="001D028A" w:rsidRDefault="00C52B5B" w:rsidP="00C52B5B">
      <w:pPr>
        <w:pStyle w:val="NoSpacing"/>
        <w:rPr>
          <w:rFonts w:cstheme="minorHAnsi"/>
          <w:sz w:val="20"/>
          <w:szCs w:val="20"/>
          <w:lang w:val="en-GB"/>
        </w:rPr>
      </w:pPr>
    </w:p>
    <w:p w14:paraId="772BF6E9"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Centre for International Economics 2014,</w:t>
      </w:r>
      <w:hyperlink r:id="rId172" w:history="1">
        <w:r w:rsidRPr="001D028A">
          <w:rPr>
            <w:rStyle w:val="Hyperlink"/>
            <w:rFonts w:cstheme="minorHAnsi"/>
            <w:sz w:val="20"/>
            <w:szCs w:val="20"/>
            <w:lang w:val="en-GB"/>
          </w:rPr>
          <w:t xml:space="preserve"> </w:t>
        </w:r>
        <w:r w:rsidRPr="001D028A">
          <w:rPr>
            <w:rStyle w:val="Hyperlink"/>
            <w:rFonts w:cstheme="minorHAnsi"/>
            <w:i/>
            <w:sz w:val="20"/>
            <w:szCs w:val="20"/>
            <w:lang w:val="en-GB"/>
          </w:rPr>
          <w:t>Impact analysis of the Health Star Rating system for small businesses</w:t>
        </w:r>
      </w:hyperlink>
      <w:r w:rsidRPr="001D028A">
        <w:rPr>
          <w:rFonts w:cstheme="minorHAnsi"/>
          <w:i/>
          <w:sz w:val="20"/>
          <w:szCs w:val="20"/>
          <w:lang w:val="en-GB"/>
        </w:rPr>
        <w:t xml:space="preserve">, </w:t>
      </w:r>
      <w:r w:rsidRPr="001D028A">
        <w:rPr>
          <w:rFonts w:cstheme="minorHAnsi"/>
          <w:iCs/>
          <w:sz w:val="20"/>
          <w:szCs w:val="20"/>
          <w:lang w:val="en-GB"/>
        </w:rPr>
        <w:t xml:space="preserve">prepared for the Department of Environment and Primary Industries (Victoria), viewed 31 January 2019.  </w:t>
      </w:r>
    </w:p>
    <w:p w14:paraId="6CAC5236" w14:textId="77777777" w:rsidR="00C52B5B" w:rsidRPr="001D028A" w:rsidRDefault="00C52B5B" w:rsidP="00C52B5B">
      <w:pPr>
        <w:autoSpaceDE w:val="0"/>
        <w:autoSpaceDN w:val="0"/>
        <w:adjustRightInd w:val="0"/>
        <w:rPr>
          <w:rFonts w:cstheme="minorHAnsi"/>
          <w:color w:val="000000"/>
          <w:sz w:val="20"/>
          <w:szCs w:val="20"/>
          <w:lang w:val="en-US"/>
        </w:rPr>
      </w:pPr>
    </w:p>
    <w:p w14:paraId="29DACE57"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Department of Health and Food Standards Agency 2016, </w:t>
      </w:r>
      <w:hyperlink r:id="rId173" w:history="1">
        <w:r w:rsidRPr="001D028A">
          <w:rPr>
            <w:rStyle w:val="Hyperlink"/>
            <w:rFonts w:eastAsia="Times New Roman" w:cstheme="minorHAnsi"/>
            <w:i/>
            <w:sz w:val="20"/>
            <w:szCs w:val="20"/>
          </w:rPr>
          <w:t>Guide to creating a front of pack (FoP) nutrition label for pre-packaged products sold through retails outlets</w:t>
        </w:r>
      </w:hyperlink>
      <w:r w:rsidRPr="001D028A">
        <w:rPr>
          <w:rFonts w:eastAsia="Times New Roman" w:cstheme="minorHAnsi"/>
          <w:sz w:val="20"/>
          <w:szCs w:val="20"/>
        </w:rPr>
        <w:t xml:space="preserve">, November, UK, viewed on 31 January 2019. </w:t>
      </w:r>
    </w:p>
    <w:p w14:paraId="4A2AA8A9" w14:textId="77777777" w:rsidR="00C52B5B" w:rsidRPr="001D028A" w:rsidRDefault="00C52B5B" w:rsidP="00C52B5B">
      <w:pPr>
        <w:rPr>
          <w:rFonts w:eastAsia="Times New Roman" w:cstheme="minorHAnsi"/>
          <w:iCs/>
          <w:sz w:val="20"/>
          <w:szCs w:val="20"/>
        </w:rPr>
      </w:pPr>
    </w:p>
    <w:p w14:paraId="6195390E" w14:textId="77777777" w:rsidR="00C52B5B" w:rsidRPr="001D028A" w:rsidRDefault="00C52B5B" w:rsidP="00C52B5B">
      <w:pPr>
        <w:rPr>
          <w:rFonts w:cstheme="minorHAnsi"/>
          <w:sz w:val="20"/>
          <w:szCs w:val="20"/>
        </w:rPr>
      </w:pPr>
      <w:r w:rsidRPr="001D028A">
        <w:rPr>
          <w:rFonts w:eastAsia="Times New Roman" w:cstheme="minorHAnsi"/>
          <w:iCs/>
          <w:sz w:val="20"/>
          <w:szCs w:val="20"/>
        </w:rPr>
        <w:t>European Consumers’ Organisation 2005</w:t>
      </w:r>
      <w:r w:rsidRPr="001D028A">
        <w:rPr>
          <w:rFonts w:eastAsia="Times New Roman" w:cstheme="minorHAnsi"/>
          <w:i/>
          <w:sz w:val="20"/>
          <w:szCs w:val="20"/>
        </w:rPr>
        <w:t xml:space="preserve">, </w:t>
      </w:r>
      <w:hyperlink r:id="rId174" w:history="1">
        <w:r w:rsidRPr="001D028A">
          <w:rPr>
            <w:rStyle w:val="Hyperlink"/>
            <w:rFonts w:eastAsia="Times New Roman" w:cstheme="minorHAnsi"/>
            <w:i/>
            <w:sz w:val="20"/>
            <w:szCs w:val="20"/>
          </w:rPr>
          <w:t>Report on Consumers’ perception of foodstuffs labelling</w:t>
        </w:r>
      </w:hyperlink>
      <w:r w:rsidRPr="001D028A">
        <w:rPr>
          <w:rFonts w:eastAsia="Times New Roman" w:cstheme="minorHAnsi"/>
          <w:i/>
          <w:sz w:val="20"/>
          <w:szCs w:val="20"/>
        </w:rPr>
        <w:t>,</w:t>
      </w:r>
      <w:r w:rsidRPr="001D028A">
        <w:rPr>
          <w:rFonts w:eastAsia="Times New Roman" w:cstheme="minorHAnsi"/>
          <w:iCs/>
          <w:sz w:val="20"/>
          <w:szCs w:val="20"/>
        </w:rPr>
        <w:t xml:space="preserve"> Results of Consumer Research conducted on behalf of BEUC from February to April 2005. </w:t>
      </w:r>
    </w:p>
    <w:p w14:paraId="34BAA9E0" w14:textId="77777777" w:rsidR="00C52B5B" w:rsidRPr="001D028A" w:rsidRDefault="00C52B5B" w:rsidP="00C52B5B">
      <w:pPr>
        <w:rPr>
          <w:rFonts w:cstheme="minorHAnsi"/>
          <w:sz w:val="20"/>
          <w:szCs w:val="20"/>
        </w:rPr>
      </w:pPr>
    </w:p>
    <w:p w14:paraId="7813BD67"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Food and Drug Administration Centre for Food Safety and Applied Nutrition 2017, </w:t>
      </w:r>
      <w:hyperlink r:id="rId175" w:history="1">
        <w:r w:rsidRPr="001D028A">
          <w:rPr>
            <w:rStyle w:val="Hyperlink"/>
            <w:rFonts w:eastAsia="Times New Roman" w:cstheme="minorHAnsi"/>
            <w:i/>
            <w:sz w:val="20"/>
            <w:szCs w:val="20"/>
          </w:rPr>
          <w:t>Questions and Answers on the Nutrition and Supplement Facts Labels Related to the Compliance Date, Added Sugars, and Declaration of Quantitative Amounts of Vitamins and Minerals: Guidance for Industry</w:t>
        </w:r>
        <w:r w:rsidRPr="001D028A">
          <w:rPr>
            <w:rStyle w:val="Hyperlink"/>
            <w:rFonts w:eastAsia="Times New Roman" w:cstheme="minorHAnsi"/>
            <w:sz w:val="20"/>
            <w:szCs w:val="20"/>
          </w:rPr>
          <w:t>,</w:t>
        </w:r>
      </w:hyperlink>
      <w:r w:rsidRPr="001D028A">
        <w:rPr>
          <w:rFonts w:eastAsia="Times New Roman" w:cstheme="minorHAnsi"/>
          <w:sz w:val="20"/>
          <w:szCs w:val="20"/>
        </w:rPr>
        <w:t xml:space="preserve"> Draft Guidance published by the U.S. Department of Health and Human Services, January, viewed on 31 January 2019. </w:t>
      </w:r>
    </w:p>
    <w:p w14:paraId="2856201D" w14:textId="77777777" w:rsidR="00C52B5B" w:rsidRPr="001D028A" w:rsidRDefault="00C52B5B" w:rsidP="00C52B5B">
      <w:pPr>
        <w:autoSpaceDE w:val="0"/>
        <w:autoSpaceDN w:val="0"/>
        <w:adjustRightInd w:val="0"/>
        <w:rPr>
          <w:rFonts w:cstheme="minorHAnsi"/>
          <w:color w:val="000000"/>
          <w:sz w:val="20"/>
          <w:szCs w:val="20"/>
          <w:lang w:val="en-US"/>
        </w:rPr>
      </w:pPr>
    </w:p>
    <w:p w14:paraId="0B1AD094" w14:textId="79EE3B2A" w:rsidR="00C52B5B" w:rsidRPr="001D028A" w:rsidRDefault="00C52B5B" w:rsidP="00C52B5B">
      <w:pPr>
        <w:autoSpaceDE w:val="0"/>
        <w:autoSpaceDN w:val="0"/>
        <w:adjustRightInd w:val="0"/>
        <w:rPr>
          <w:rFonts w:cstheme="minorHAnsi"/>
          <w:color w:val="000000"/>
          <w:sz w:val="20"/>
          <w:szCs w:val="20"/>
          <w:lang w:val="en-US"/>
        </w:rPr>
      </w:pPr>
      <w:r w:rsidRPr="001D028A">
        <w:rPr>
          <w:rFonts w:cstheme="minorHAnsi"/>
          <w:sz w:val="20"/>
          <w:szCs w:val="20"/>
        </w:rPr>
        <w:t xml:space="preserve">Food Industry Taskforce on Addressing Factors Contributing to Obesity 2018, </w:t>
      </w:r>
      <w:r w:rsidRPr="001D028A">
        <w:rPr>
          <w:rFonts w:cstheme="minorHAnsi"/>
          <w:i/>
          <w:sz w:val="20"/>
          <w:szCs w:val="20"/>
        </w:rPr>
        <w:t>Final Report to Ministers of Health and Food Safety</w:t>
      </w:r>
      <w:r>
        <w:rPr>
          <w:rFonts w:cstheme="minorHAnsi"/>
          <w:i/>
          <w:sz w:val="20"/>
          <w:szCs w:val="20"/>
        </w:rPr>
        <w:t>.</w:t>
      </w:r>
    </w:p>
    <w:p w14:paraId="1EC081A7" w14:textId="77777777" w:rsidR="00C52B5B" w:rsidRPr="001D028A" w:rsidRDefault="00C52B5B" w:rsidP="00C52B5B">
      <w:pPr>
        <w:autoSpaceDE w:val="0"/>
        <w:autoSpaceDN w:val="0"/>
        <w:adjustRightInd w:val="0"/>
        <w:rPr>
          <w:rFonts w:cstheme="minorHAnsi"/>
          <w:color w:val="000000"/>
          <w:sz w:val="20"/>
          <w:szCs w:val="20"/>
          <w:lang w:val="en-US"/>
        </w:rPr>
      </w:pPr>
    </w:p>
    <w:p w14:paraId="5A3AACDF"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The George Institute for Global Health 2015, </w:t>
      </w:r>
      <w:hyperlink r:id="rId176" w:history="1">
        <w:r w:rsidRPr="001D028A">
          <w:rPr>
            <w:rStyle w:val="Hyperlink"/>
            <w:rFonts w:cstheme="minorHAnsi"/>
            <w:i/>
            <w:iCs/>
            <w:sz w:val="20"/>
            <w:szCs w:val="20"/>
            <w:lang w:val="en-GB"/>
          </w:rPr>
          <w:t>Economic business case for salt reduction action in Victoria</w:t>
        </w:r>
      </w:hyperlink>
      <w:r w:rsidRPr="001D028A">
        <w:rPr>
          <w:rFonts w:cstheme="minorHAnsi"/>
          <w:sz w:val="20"/>
          <w:szCs w:val="20"/>
          <w:lang w:val="en-GB"/>
        </w:rPr>
        <w:t xml:space="preserve">, report prepared for Vic Health, viewed on 31 January 2019. </w:t>
      </w:r>
      <w:r w:rsidRPr="001D028A">
        <w:rPr>
          <w:rFonts w:cstheme="minorHAnsi"/>
          <w:sz w:val="20"/>
          <w:szCs w:val="20"/>
          <w:lang w:val="en-GB"/>
        </w:rPr>
        <w:fldChar w:fldCharType="begin"/>
      </w:r>
      <w:r w:rsidRPr="001D028A">
        <w:rPr>
          <w:rFonts w:cstheme="minorHAnsi"/>
          <w:sz w:val="20"/>
          <w:szCs w:val="20"/>
          <w:lang w:val="en-GB"/>
        </w:rPr>
        <w:instrText xml:space="preserve"> HYPERLINK "https://www.google.com/url?sa=t&amp;rct=j&amp;q=&amp;esrc=s&amp;source=web&amp;cd=2&amp;ved=2ahUKEwj25dKc3JfgAhUY3o8KHYaGD9YQFjABegQICBAC&amp;url=https%3A%2F%2Fwww.vichealth.vic.gov.au%2F-%2Fmedia%2FImages%2FVicHealth%2FImages-and-Files%2FMediaResources%2FPublications%2FHealthyEating%2FState-of-Salt%2FAppendixC_Salt-Reduction-Vic_Economic-business-case_June15.pdf%3Fla%3Den%26hash%3D31C6D146B70B46CCF1B3425B546D8569F0C1EFDB&amp;usg=AOvVaw2kyWA6agwA6FuiOXFSIKRN" </w:instrText>
      </w:r>
      <w:r w:rsidRPr="001D028A">
        <w:rPr>
          <w:rFonts w:cstheme="minorHAnsi"/>
          <w:sz w:val="20"/>
          <w:szCs w:val="20"/>
          <w:lang w:val="en-GB"/>
        </w:rPr>
      </w:r>
      <w:r w:rsidRPr="001D028A">
        <w:rPr>
          <w:rFonts w:cstheme="minorHAnsi"/>
          <w:sz w:val="20"/>
          <w:szCs w:val="20"/>
          <w:lang w:val="en-GB"/>
        </w:rPr>
        <w:fldChar w:fldCharType="separate"/>
      </w:r>
    </w:p>
    <w:p w14:paraId="1806D29D" w14:textId="77777777" w:rsidR="00C52B5B" w:rsidRPr="001D028A" w:rsidRDefault="00C52B5B" w:rsidP="00C52B5B">
      <w:pPr>
        <w:rPr>
          <w:rFonts w:cstheme="minorHAnsi"/>
          <w:sz w:val="20"/>
          <w:szCs w:val="20"/>
          <w:lang w:val="en-GB"/>
        </w:rPr>
      </w:pPr>
      <w:r w:rsidRPr="001D028A">
        <w:rPr>
          <w:rFonts w:cstheme="minorHAnsi"/>
          <w:sz w:val="20"/>
          <w:szCs w:val="20"/>
        </w:rPr>
        <w:fldChar w:fldCharType="end"/>
      </w:r>
    </w:p>
    <w:p w14:paraId="58CA7E3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Go Grains Health and Nutrition 2010, </w:t>
      </w:r>
      <w:hyperlink r:id="rId177" w:history="1">
        <w:r w:rsidRPr="001D028A">
          <w:rPr>
            <w:rStyle w:val="Hyperlink"/>
            <w:rFonts w:cstheme="minorHAnsi"/>
            <w:i/>
            <w:iCs/>
            <w:sz w:val="20"/>
            <w:szCs w:val="20"/>
            <w:lang w:val="en-GB"/>
          </w:rPr>
          <w:t>The Grains and Legumes Health Report: a Review of the Science</w:t>
        </w:r>
      </w:hyperlink>
      <w:r w:rsidRPr="001D028A">
        <w:rPr>
          <w:rFonts w:cstheme="minorHAnsi"/>
          <w:sz w:val="20"/>
          <w:szCs w:val="20"/>
          <w:lang w:val="en-GB"/>
        </w:rPr>
        <w:t xml:space="preserve">, viewed on 9 January 2019. </w:t>
      </w:r>
    </w:p>
    <w:p w14:paraId="6B58F21F" w14:textId="77777777" w:rsidR="00C52B5B" w:rsidRPr="001D028A" w:rsidRDefault="00C52B5B" w:rsidP="00C52B5B">
      <w:pPr>
        <w:pStyle w:val="NoSpacing"/>
        <w:rPr>
          <w:rFonts w:cstheme="minorHAnsi"/>
          <w:b/>
          <w:bCs/>
          <w:sz w:val="20"/>
          <w:szCs w:val="20"/>
          <w:u w:val="single"/>
          <w:lang w:val="en-GB"/>
        </w:rPr>
      </w:pPr>
    </w:p>
    <w:p w14:paraId="4E4D8FE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Grains &amp; Legumes Nutrition Council 2017, </w:t>
      </w:r>
      <w:hyperlink r:id="rId178" w:history="1">
        <w:r w:rsidRPr="001D028A">
          <w:rPr>
            <w:rStyle w:val="Hyperlink"/>
            <w:rFonts w:cstheme="minorHAnsi"/>
            <w:i/>
            <w:iCs/>
            <w:sz w:val="20"/>
            <w:szCs w:val="20"/>
            <w:lang w:val="en-GB"/>
          </w:rPr>
          <w:t>Code of Practice for whole grain ingredient content claims</w:t>
        </w:r>
      </w:hyperlink>
      <w:r w:rsidRPr="001D028A">
        <w:rPr>
          <w:rFonts w:cstheme="minorHAnsi"/>
          <w:sz w:val="20"/>
          <w:szCs w:val="20"/>
          <w:lang w:val="en-GB"/>
        </w:rPr>
        <w:t xml:space="preserve">, viewed on 12 December 2018. </w:t>
      </w:r>
    </w:p>
    <w:p w14:paraId="1096D934" w14:textId="77777777" w:rsidR="00C52B5B" w:rsidRPr="001D028A" w:rsidRDefault="00C52B5B" w:rsidP="00C52B5B">
      <w:pPr>
        <w:autoSpaceDE w:val="0"/>
        <w:autoSpaceDN w:val="0"/>
        <w:adjustRightInd w:val="0"/>
        <w:rPr>
          <w:rFonts w:cstheme="minorHAnsi"/>
          <w:color w:val="000000"/>
          <w:sz w:val="20"/>
          <w:szCs w:val="20"/>
          <w:lang w:val="en-US"/>
        </w:rPr>
      </w:pPr>
    </w:p>
    <w:p w14:paraId="06176787"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Healthy Food Partnership 2018, </w:t>
      </w:r>
      <w:hyperlink r:id="rId179" w:history="1">
        <w:r w:rsidRPr="001D028A">
          <w:rPr>
            <w:rStyle w:val="Hyperlink"/>
            <w:rFonts w:cstheme="minorHAnsi"/>
            <w:i/>
            <w:iCs/>
            <w:sz w:val="20"/>
            <w:szCs w:val="20"/>
            <w:lang w:val="en-GB"/>
          </w:rPr>
          <w:t>Healthy Food Partnership Reformulation Program: Evidence informing the approach, draft targets and modelling outcomes</w:t>
        </w:r>
      </w:hyperlink>
      <w:r w:rsidRPr="001D028A">
        <w:rPr>
          <w:rFonts w:cstheme="minorHAnsi"/>
          <w:sz w:val="20"/>
          <w:szCs w:val="20"/>
          <w:lang w:val="en-GB"/>
        </w:rPr>
        <w:t xml:space="preserve">, Public consultation paper, July, viewed on 7 January 2019. </w:t>
      </w:r>
    </w:p>
    <w:p w14:paraId="4AEB4C08" w14:textId="77777777" w:rsidR="00C52B5B" w:rsidRPr="001D028A" w:rsidRDefault="00C52B5B" w:rsidP="00C52B5B">
      <w:pPr>
        <w:pStyle w:val="NoSpacing"/>
        <w:rPr>
          <w:rFonts w:cstheme="minorHAnsi"/>
          <w:sz w:val="20"/>
          <w:szCs w:val="20"/>
          <w:lang w:val="en-GB"/>
        </w:rPr>
      </w:pPr>
    </w:p>
    <w:p w14:paraId="3FD0AC44" w14:textId="6BB0D527" w:rsidR="00C52B5B" w:rsidRPr="001D028A" w:rsidRDefault="00C52B5B" w:rsidP="00C52B5B">
      <w:pPr>
        <w:rPr>
          <w:rFonts w:cstheme="minorHAnsi"/>
          <w:sz w:val="20"/>
          <w:szCs w:val="20"/>
        </w:rPr>
      </w:pPr>
      <w:r w:rsidRPr="001D028A">
        <w:rPr>
          <w:rFonts w:cstheme="minorHAnsi"/>
          <w:sz w:val="20"/>
          <w:szCs w:val="20"/>
        </w:rPr>
        <w:t xml:space="preserve">Kelly, B, Jewell, Jo 2018 </w:t>
      </w:r>
      <w:r w:rsidRPr="001D028A">
        <w:rPr>
          <w:rFonts w:cstheme="minorHAnsi"/>
          <w:i/>
          <w:sz w:val="20"/>
          <w:szCs w:val="20"/>
        </w:rPr>
        <w:t>What is the evidence on policy specifications, development processes and effectiveness of existing front-of-pack labelling policies in the WHO European Region?</w:t>
      </w:r>
      <w:r w:rsidRPr="001D028A">
        <w:rPr>
          <w:rFonts w:cstheme="minorHAnsi"/>
          <w:sz w:val="20"/>
          <w:szCs w:val="20"/>
        </w:rPr>
        <w:t xml:space="preserve"> Copenhagen: WHO Regional Office for Europe, Health Evidence Network (HEN) synthesis report 61</w:t>
      </w:r>
      <w:r>
        <w:rPr>
          <w:rFonts w:cstheme="minorHAnsi"/>
          <w:sz w:val="20"/>
          <w:szCs w:val="20"/>
        </w:rPr>
        <w:t>.</w:t>
      </w:r>
    </w:p>
    <w:p w14:paraId="436D92FB" w14:textId="77777777" w:rsidR="00C52B5B" w:rsidRPr="001D028A" w:rsidRDefault="00C52B5B" w:rsidP="00C52B5B">
      <w:pPr>
        <w:rPr>
          <w:rFonts w:cstheme="minorHAnsi"/>
          <w:sz w:val="20"/>
          <w:szCs w:val="20"/>
          <w:lang w:val="en-GB"/>
        </w:rPr>
      </w:pPr>
    </w:p>
    <w:p w14:paraId="5DAC7EB3" w14:textId="77777777" w:rsidR="00C52B5B" w:rsidRPr="001D028A" w:rsidRDefault="00C52B5B" w:rsidP="00C52B5B">
      <w:pPr>
        <w:rPr>
          <w:rFonts w:cstheme="minorHAnsi"/>
          <w:i/>
          <w:sz w:val="20"/>
          <w:szCs w:val="20"/>
        </w:rPr>
      </w:pPr>
      <w:r w:rsidRPr="001D028A">
        <w:rPr>
          <w:rFonts w:cstheme="minorHAnsi"/>
          <w:sz w:val="20"/>
          <w:szCs w:val="20"/>
        </w:rPr>
        <w:t xml:space="preserve">The Lancet, 2018, </w:t>
      </w:r>
      <w:r w:rsidRPr="001D028A">
        <w:rPr>
          <w:rFonts w:cstheme="minorHAnsi"/>
          <w:i/>
          <w:sz w:val="20"/>
          <w:szCs w:val="20"/>
        </w:rPr>
        <w:t>Global Burden of Disease study.</w:t>
      </w:r>
    </w:p>
    <w:p w14:paraId="3D8578DC" w14:textId="77777777" w:rsidR="00C52B5B" w:rsidRPr="001D028A" w:rsidRDefault="00C52B5B" w:rsidP="00C52B5B">
      <w:pPr>
        <w:rPr>
          <w:rFonts w:cstheme="minorHAnsi"/>
          <w:sz w:val="20"/>
          <w:szCs w:val="20"/>
          <w:lang w:val="en-GB"/>
        </w:rPr>
      </w:pPr>
    </w:p>
    <w:p w14:paraId="447A75F9"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Oldways Wholegrains Council 2017, </w:t>
      </w:r>
      <w:hyperlink r:id="rId180" w:history="1">
        <w:r w:rsidRPr="001D028A">
          <w:rPr>
            <w:rStyle w:val="Hyperlink"/>
            <w:rFonts w:cstheme="minorHAnsi"/>
            <w:i/>
            <w:iCs/>
            <w:sz w:val="20"/>
            <w:szCs w:val="20"/>
            <w:lang w:val="en-GB"/>
          </w:rPr>
          <w:t>Summary of recent research on whole grains and health</w:t>
        </w:r>
        <w:r w:rsidRPr="001D028A">
          <w:rPr>
            <w:rStyle w:val="Hyperlink"/>
            <w:rFonts w:cstheme="minorHAnsi"/>
            <w:sz w:val="20"/>
            <w:szCs w:val="20"/>
            <w:lang w:val="en-GB"/>
          </w:rPr>
          <w:t xml:space="preserve"> </w:t>
        </w:r>
        <w:r w:rsidRPr="001D028A">
          <w:rPr>
            <w:rStyle w:val="Hyperlink"/>
            <w:rFonts w:cstheme="minorHAnsi"/>
            <w:i/>
            <w:sz w:val="20"/>
            <w:szCs w:val="20"/>
            <w:lang w:val="en-GB"/>
          </w:rPr>
          <w:t>2017 edition</w:t>
        </w:r>
      </w:hyperlink>
      <w:r w:rsidRPr="001D028A">
        <w:rPr>
          <w:rFonts w:cstheme="minorHAnsi"/>
          <w:sz w:val="20"/>
          <w:szCs w:val="20"/>
          <w:lang w:val="en-GB"/>
        </w:rPr>
        <w:t>, viewed on 31 January 2019.</w:t>
      </w:r>
    </w:p>
    <w:p w14:paraId="290CBA6F" w14:textId="77777777" w:rsidR="00C52B5B" w:rsidRPr="001D028A" w:rsidRDefault="00C52B5B" w:rsidP="00C52B5B">
      <w:pPr>
        <w:rPr>
          <w:rFonts w:cstheme="minorHAnsi"/>
          <w:sz w:val="20"/>
          <w:szCs w:val="20"/>
          <w:lang w:val="en-GB"/>
        </w:rPr>
      </w:pPr>
    </w:p>
    <w:p w14:paraId="6858FA28"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Pan American Health Organization 2016, </w:t>
      </w:r>
      <w:hyperlink r:id="rId181" w:history="1">
        <w:r w:rsidRPr="001D028A">
          <w:rPr>
            <w:rStyle w:val="Hyperlink"/>
            <w:rFonts w:eastAsia="Times New Roman" w:cstheme="minorHAnsi"/>
            <w:i/>
            <w:sz w:val="20"/>
            <w:szCs w:val="20"/>
          </w:rPr>
          <w:t>Pan American Health Organization Nutrient Profile Model</w:t>
        </w:r>
      </w:hyperlink>
      <w:r w:rsidRPr="001D028A">
        <w:rPr>
          <w:rFonts w:eastAsia="Times New Roman" w:cstheme="minorHAnsi"/>
          <w:sz w:val="20"/>
          <w:szCs w:val="20"/>
        </w:rPr>
        <w:t xml:space="preserve">, Pan American Health Organization, Washington, D.C, viewed on 31 January 2019. </w:t>
      </w:r>
    </w:p>
    <w:p w14:paraId="3881B576" w14:textId="77777777" w:rsidR="00C52B5B" w:rsidRPr="001D028A" w:rsidRDefault="00C52B5B" w:rsidP="00C52B5B">
      <w:pPr>
        <w:autoSpaceDE w:val="0"/>
        <w:autoSpaceDN w:val="0"/>
        <w:adjustRightInd w:val="0"/>
        <w:rPr>
          <w:rFonts w:cstheme="minorHAnsi"/>
          <w:sz w:val="20"/>
          <w:szCs w:val="20"/>
        </w:rPr>
      </w:pPr>
    </w:p>
    <w:p w14:paraId="631B3D0B"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Public Health England 2018, </w:t>
      </w:r>
      <w:hyperlink r:id="rId182" w:history="1">
        <w:r w:rsidRPr="001D028A">
          <w:rPr>
            <w:rStyle w:val="Hyperlink"/>
            <w:rFonts w:eastAsia="Times New Roman" w:cstheme="minorHAnsi"/>
            <w:i/>
            <w:iCs/>
            <w:sz w:val="20"/>
            <w:szCs w:val="20"/>
          </w:rPr>
          <w:t>Consultation on the 2018 review of the UK Nutrient Profiling Model: Summary of consultation responses</w:t>
        </w:r>
      </w:hyperlink>
      <w:r w:rsidRPr="001D028A">
        <w:rPr>
          <w:rFonts w:eastAsia="Times New Roman" w:cstheme="minorHAnsi"/>
          <w:sz w:val="20"/>
          <w:szCs w:val="20"/>
        </w:rPr>
        <w:t>, September, viewed on 31 January 2019.</w:t>
      </w:r>
    </w:p>
    <w:p w14:paraId="2701AC49" w14:textId="77777777" w:rsidR="00C52B5B" w:rsidRPr="001D028A" w:rsidRDefault="00C52B5B" w:rsidP="00C52B5B">
      <w:pPr>
        <w:autoSpaceDE w:val="0"/>
        <w:autoSpaceDN w:val="0"/>
        <w:adjustRightInd w:val="0"/>
        <w:rPr>
          <w:rFonts w:cstheme="minorHAnsi"/>
          <w:color w:val="000000"/>
          <w:sz w:val="20"/>
          <w:szCs w:val="20"/>
          <w:lang w:val="en-US"/>
        </w:rPr>
      </w:pPr>
    </w:p>
    <w:p w14:paraId="063B2578"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Public Health England 2018, </w:t>
      </w:r>
      <w:r w:rsidRPr="001D028A">
        <w:rPr>
          <w:rFonts w:eastAsia="Times New Roman" w:cstheme="minorHAnsi"/>
          <w:i/>
          <w:iCs/>
          <w:sz w:val="20"/>
          <w:szCs w:val="20"/>
        </w:rPr>
        <w:t>Annex A: The 2018 review of the UK Nutrient Profiling Model</w:t>
      </w:r>
      <w:r w:rsidRPr="001D028A">
        <w:rPr>
          <w:rFonts w:eastAsia="Times New Roman" w:cstheme="minorHAnsi"/>
          <w:sz w:val="20"/>
          <w:szCs w:val="20"/>
        </w:rPr>
        <w:t xml:space="preserve">, PHE Publications, March 2018. </w:t>
      </w:r>
    </w:p>
    <w:p w14:paraId="261921DF" w14:textId="77777777" w:rsidR="00C52B5B" w:rsidRPr="001D028A" w:rsidRDefault="00C52B5B" w:rsidP="00C52B5B">
      <w:pPr>
        <w:rPr>
          <w:rFonts w:eastAsia="Times New Roman" w:cstheme="minorHAnsi"/>
          <w:sz w:val="20"/>
          <w:szCs w:val="20"/>
        </w:rPr>
      </w:pPr>
    </w:p>
    <w:p w14:paraId="2D35211C"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Public Health England 2018, </w:t>
      </w:r>
      <w:r w:rsidRPr="001D028A">
        <w:rPr>
          <w:rFonts w:eastAsia="Times New Roman" w:cstheme="minorHAnsi"/>
          <w:i/>
          <w:iCs/>
          <w:sz w:val="20"/>
          <w:szCs w:val="20"/>
        </w:rPr>
        <w:t>Annex B: Summary of peer reviewer comments and Nutrient Profiling Model expert group responses in the 2018 review of the UK Nutrient Profiling Model.</w:t>
      </w:r>
    </w:p>
    <w:p w14:paraId="6A43F261" w14:textId="77777777" w:rsidR="00C52B5B" w:rsidRPr="001D028A" w:rsidRDefault="00C52B5B" w:rsidP="00C52B5B">
      <w:pPr>
        <w:rPr>
          <w:rFonts w:eastAsia="Times New Roman" w:cstheme="minorHAnsi"/>
          <w:sz w:val="20"/>
          <w:szCs w:val="20"/>
        </w:rPr>
      </w:pPr>
    </w:p>
    <w:p w14:paraId="4BB670D1" w14:textId="77777777" w:rsidR="00C52B5B" w:rsidRPr="001D028A" w:rsidRDefault="00C52B5B" w:rsidP="00C52B5B">
      <w:pPr>
        <w:rPr>
          <w:rFonts w:eastAsia="Times New Roman" w:cstheme="minorHAnsi"/>
          <w:i/>
          <w:iCs/>
          <w:sz w:val="20"/>
          <w:szCs w:val="20"/>
        </w:rPr>
      </w:pPr>
      <w:r w:rsidRPr="001D028A">
        <w:rPr>
          <w:rFonts w:eastAsia="Times New Roman" w:cstheme="minorHAnsi"/>
          <w:sz w:val="20"/>
          <w:szCs w:val="20"/>
        </w:rPr>
        <w:t xml:space="preserve">Public Health England 2018, </w:t>
      </w:r>
      <w:r w:rsidRPr="001D028A">
        <w:rPr>
          <w:rFonts w:eastAsia="Times New Roman" w:cstheme="minorHAnsi"/>
          <w:i/>
          <w:iCs/>
          <w:sz w:val="20"/>
          <w:szCs w:val="20"/>
        </w:rPr>
        <w:t>Annex C: Basis of the nutrient/food component and scoring for the UK NPM 2004/5 and the draft 2018 NPM.</w:t>
      </w:r>
    </w:p>
    <w:p w14:paraId="3112EC40" w14:textId="77777777" w:rsidR="00C52B5B" w:rsidRPr="001D028A" w:rsidRDefault="00C52B5B" w:rsidP="00C52B5B">
      <w:pPr>
        <w:autoSpaceDE w:val="0"/>
        <w:autoSpaceDN w:val="0"/>
        <w:adjustRightInd w:val="0"/>
        <w:rPr>
          <w:rFonts w:cstheme="minorHAnsi"/>
          <w:color w:val="000000"/>
          <w:sz w:val="20"/>
          <w:szCs w:val="20"/>
          <w:lang w:val="en-US"/>
        </w:rPr>
      </w:pPr>
    </w:p>
    <w:p w14:paraId="3DFE236C"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Public Health England 2015, </w:t>
      </w:r>
      <w:r w:rsidRPr="001D028A">
        <w:rPr>
          <w:rFonts w:cstheme="minorHAnsi"/>
          <w:i/>
          <w:iCs/>
          <w:sz w:val="20"/>
          <w:szCs w:val="20"/>
        </w:rPr>
        <w:t>Sugar Reduction: The evidence for action</w:t>
      </w:r>
      <w:r w:rsidRPr="001D028A">
        <w:rPr>
          <w:rFonts w:cstheme="minorHAnsi"/>
          <w:sz w:val="20"/>
          <w:szCs w:val="20"/>
        </w:rPr>
        <w:t>, London, October.</w:t>
      </w:r>
    </w:p>
    <w:p w14:paraId="59A1CDB6" w14:textId="77777777" w:rsidR="00C52B5B" w:rsidRPr="001D028A" w:rsidRDefault="00C52B5B" w:rsidP="00C52B5B">
      <w:pPr>
        <w:pStyle w:val="NoSpacing"/>
        <w:rPr>
          <w:rFonts w:cstheme="minorHAnsi"/>
          <w:sz w:val="20"/>
          <w:szCs w:val="20"/>
        </w:rPr>
      </w:pPr>
    </w:p>
    <w:p w14:paraId="2F5D930A"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Ramirez, R, Strensdorff, N &amp; Pastor, C 2016,</w:t>
      </w:r>
      <w:r w:rsidRPr="001D028A">
        <w:rPr>
          <w:rFonts w:eastAsia="Times New Roman" w:cstheme="minorHAnsi"/>
          <w:i/>
          <w:sz w:val="20"/>
          <w:szCs w:val="20"/>
        </w:rPr>
        <w:t xml:space="preserve"> </w:t>
      </w:r>
      <w:hyperlink r:id="rId183" w:history="1">
        <w:r w:rsidRPr="001D028A">
          <w:rPr>
            <w:rStyle w:val="Hyperlink"/>
            <w:rFonts w:eastAsia="Times New Roman" w:cstheme="minorHAnsi"/>
            <w:i/>
            <w:sz w:val="20"/>
            <w:szCs w:val="20"/>
          </w:rPr>
          <w:t>Special Report: Chile’s Law on Food Labelling and Advertising: A Replicable Model for Latin America?,</w:t>
        </w:r>
      </w:hyperlink>
      <w:r w:rsidRPr="001D028A">
        <w:rPr>
          <w:rFonts w:eastAsia="Times New Roman" w:cstheme="minorHAnsi"/>
          <w:i/>
          <w:sz w:val="20"/>
          <w:szCs w:val="20"/>
        </w:rPr>
        <w:t xml:space="preserve"> </w:t>
      </w:r>
      <w:r w:rsidRPr="001D028A">
        <w:rPr>
          <w:rFonts w:eastAsia="Times New Roman" w:cstheme="minorHAnsi"/>
          <w:sz w:val="20"/>
          <w:szCs w:val="20"/>
        </w:rPr>
        <w:t xml:space="preserve">Developing Ideas by Llorente &amp; Cuenca, Santiago, viewed on 16 October 2018. </w:t>
      </w:r>
    </w:p>
    <w:p w14:paraId="33DEAAE5" w14:textId="77777777" w:rsidR="00C52B5B" w:rsidRPr="001D028A" w:rsidRDefault="00C52B5B" w:rsidP="00C52B5B">
      <w:pPr>
        <w:rPr>
          <w:rFonts w:eastAsia="Times New Roman" w:cstheme="minorHAnsi"/>
          <w:sz w:val="20"/>
          <w:szCs w:val="20"/>
        </w:rPr>
      </w:pPr>
    </w:p>
    <w:p w14:paraId="004ED8E1"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Rayner, M, Scarborough, P, Boxer, A &amp; Stockley, L 2005, </w:t>
      </w:r>
      <w:hyperlink r:id="rId184" w:history="1">
        <w:r w:rsidRPr="001D028A">
          <w:rPr>
            <w:rStyle w:val="Hyperlink"/>
            <w:rFonts w:eastAsia="Times New Roman" w:cstheme="minorHAnsi"/>
            <w:i/>
            <w:iCs/>
            <w:sz w:val="20"/>
            <w:szCs w:val="20"/>
          </w:rPr>
          <w:t>Nutrient profiles: Development of Final Model Final Report</w:t>
        </w:r>
      </w:hyperlink>
      <w:r w:rsidRPr="001D028A">
        <w:rPr>
          <w:rFonts w:eastAsia="Times New Roman" w:cstheme="minorHAnsi"/>
          <w:sz w:val="20"/>
          <w:szCs w:val="20"/>
        </w:rPr>
        <w:t xml:space="preserve">, British Heart Foundation Health Promotion Research Group, University of Oxford, viewed on 31 January 2019. </w:t>
      </w:r>
    </w:p>
    <w:p w14:paraId="6BE2E05D" w14:textId="77777777" w:rsidR="00C52B5B" w:rsidRPr="001D028A" w:rsidRDefault="00C52B5B" w:rsidP="00C52B5B">
      <w:pPr>
        <w:rPr>
          <w:rFonts w:eastAsia="Times New Roman" w:cstheme="minorHAnsi"/>
          <w:sz w:val="20"/>
          <w:szCs w:val="20"/>
        </w:rPr>
      </w:pPr>
    </w:p>
    <w:p w14:paraId="79C64B91" w14:textId="26DF9DAE" w:rsidR="00C52B5B" w:rsidRPr="001D028A" w:rsidRDefault="00C52B5B" w:rsidP="00C52B5B">
      <w:pPr>
        <w:rPr>
          <w:rFonts w:eastAsia="Times New Roman" w:cstheme="minorHAnsi"/>
          <w:iCs/>
          <w:sz w:val="20"/>
          <w:szCs w:val="20"/>
        </w:rPr>
      </w:pPr>
      <w:r w:rsidRPr="001D028A">
        <w:rPr>
          <w:rFonts w:eastAsia="Times New Roman" w:cstheme="minorHAnsi"/>
          <w:sz w:val="20"/>
          <w:szCs w:val="20"/>
        </w:rPr>
        <w:t>Rayner, M 2016,</w:t>
      </w:r>
      <w:r w:rsidRPr="001D028A">
        <w:rPr>
          <w:rFonts w:eastAsia="Times New Roman" w:cstheme="minorHAnsi"/>
          <w:i/>
          <w:sz w:val="20"/>
          <w:szCs w:val="20"/>
        </w:rPr>
        <w:t xml:space="preserve"> Nutrient profiling for regulatory purposes, </w:t>
      </w:r>
      <w:r w:rsidRPr="001D028A">
        <w:rPr>
          <w:rFonts w:eastAsia="Times New Roman" w:cstheme="minorHAnsi"/>
          <w:iCs/>
          <w:sz w:val="20"/>
          <w:szCs w:val="20"/>
        </w:rPr>
        <w:t>Proceedings of the Nutrition Society Summer Meeting held at University College, Dublin on 11-14 July 2016, p</w:t>
      </w:r>
      <w:r>
        <w:rPr>
          <w:rFonts w:eastAsia="Times New Roman" w:cstheme="minorHAnsi"/>
          <w:iCs/>
          <w:sz w:val="20"/>
          <w:szCs w:val="20"/>
        </w:rPr>
        <w:t xml:space="preserve">. </w:t>
      </w:r>
      <w:r w:rsidRPr="001D028A">
        <w:rPr>
          <w:rFonts w:eastAsia="Times New Roman" w:cstheme="minorHAnsi"/>
          <w:iCs/>
          <w:sz w:val="20"/>
          <w:szCs w:val="20"/>
        </w:rPr>
        <w:t>1-7.</w:t>
      </w:r>
    </w:p>
    <w:p w14:paraId="474DE499" w14:textId="77777777" w:rsidR="00C52B5B" w:rsidRPr="001D028A" w:rsidRDefault="00C52B5B" w:rsidP="00C52B5B">
      <w:pPr>
        <w:rPr>
          <w:rFonts w:eastAsia="Times New Roman" w:cstheme="minorHAnsi"/>
          <w:iCs/>
          <w:sz w:val="20"/>
          <w:szCs w:val="20"/>
        </w:rPr>
      </w:pPr>
    </w:p>
    <w:p w14:paraId="1247A337" w14:textId="77777777" w:rsidR="00C52B5B" w:rsidRPr="001D028A" w:rsidRDefault="00C52B5B" w:rsidP="00C52B5B">
      <w:pPr>
        <w:rPr>
          <w:rFonts w:cstheme="minorHAnsi"/>
          <w:color w:val="000000" w:themeColor="text1"/>
          <w:sz w:val="20"/>
          <w:szCs w:val="20"/>
        </w:rPr>
      </w:pPr>
      <w:r w:rsidRPr="001D028A">
        <w:rPr>
          <w:rFonts w:eastAsia="Times New Roman" w:cstheme="minorHAnsi"/>
          <w:iCs/>
          <w:sz w:val="20"/>
          <w:szCs w:val="20"/>
        </w:rPr>
        <w:t>Rayner, M, Scarborough, P &amp; Lobstein, T</w:t>
      </w:r>
      <w:r w:rsidRPr="001D028A">
        <w:rPr>
          <w:rFonts w:eastAsia="Times New Roman" w:cstheme="minorHAnsi"/>
          <w:i/>
          <w:sz w:val="20"/>
          <w:szCs w:val="20"/>
        </w:rPr>
        <w:t xml:space="preserve"> </w:t>
      </w:r>
      <w:r w:rsidRPr="001D028A">
        <w:rPr>
          <w:rFonts w:eastAsia="Times New Roman" w:cstheme="minorHAnsi"/>
          <w:sz w:val="20"/>
          <w:szCs w:val="20"/>
        </w:rPr>
        <w:t>2009</w:t>
      </w:r>
      <w:r w:rsidRPr="001D028A">
        <w:rPr>
          <w:rFonts w:eastAsia="Times New Roman" w:cstheme="minorHAnsi"/>
          <w:i/>
          <w:sz w:val="20"/>
          <w:szCs w:val="20"/>
        </w:rPr>
        <w:t xml:space="preserve">, </w:t>
      </w:r>
      <w:hyperlink r:id="rId185" w:history="1">
        <w:r w:rsidRPr="001D028A">
          <w:rPr>
            <w:rStyle w:val="Hyperlink"/>
            <w:rFonts w:eastAsia="Times New Roman" w:cstheme="minorHAnsi"/>
            <w:i/>
            <w:sz w:val="20"/>
            <w:szCs w:val="20"/>
          </w:rPr>
          <w:t>The UK Ofcom Nutrient Profiling Model: Defining ‘healthy’ and ‘unhealthy’ foods and drinks for TV advertising for children</w:t>
        </w:r>
      </w:hyperlink>
      <w:r w:rsidRPr="001D028A">
        <w:rPr>
          <w:rFonts w:eastAsia="Times New Roman" w:cstheme="minorHAnsi"/>
          <w:iCs/>
          <w:sz w:val="20"/>
          <w:szCs w:val="20"/>
        </w:rPr>
        <w:t>.</w:t>
      </w:r>
    </w:p>
    <w:p w14:paraId="614D4274"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 </w:t>
      </w:r>
    </w:p>
    <w:p w14:paraId="6BFB554C"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Rodriguez, L (undated) </w:t>
      </w:r>
      <w:hyperlink r:id="rId186" w:history="1">
        <w:r w:rsidRPr="001D028A">
          <w:rPr>
            <w:rStyle w:val="Hyperlink"/>
            <w:rFonts w:eastAsia="Times New Roman" w:cstheme="minorHAnsi"/>
            <w:i/>
            <w:iCs/>
            <w:sz w:val="20"/>
            <w:szCs w:val="20"/>
          </w:rPr>
          <w:t>The implementation of new regulations on nutritional labelling in Chile</w:t>
        </w:r>
      </w:hyperlink>
      <w:r w:rsidRPr="001D028A">
        <w:rPr>
          <w:rFonts w:eastAsia="Times New Roman" w:cstheme="minorHAnsi"/>
          <w:sz w:val="20"/>
          <w:szCs w:val="20"/>
        </w:rPr>
        <w:t xml:space="preserve">, Chilean Ministry of Health powerpoint presentation, viewed on 11 September 2018. </w:t>
      </w:r>
    </w:p>
    <w:p w14:paraId="240439CD" w14:textId="77777777" w:rsidR="00C52B5B" w:rsidRPr="001D028A" w:rsidRDefault="00C52B5B" w:rsidP="00C52B5B">
      <w:pPr>
        <w:pStyle w:val="NoSpacing"/>
        <w:rPr>
          <w:rFonts w:cstheme="minorHAnsi"/>
          <w:sz w:val="20"/>
          <w:szCs w:val="20"/>
        </w:rPr>
      </w:pPr>
    </w:p>
    <w:p w14:paraId="512A243F" w14:textId="77777777" w:rsidR="00C52B5B" w:rsidRPr="001D028A" w:rsidRDefault="00C52B5B" w:rsidP="00C52B5B">
      <w:pPr>
        <w:pStyle w:val="NoSpacing"/>
        <w:rPr>
          <w:rFonts w:cstheme="minorHAnsi"/>
          <w:sz w:val="20"/>
          <w:szCs w:val="20"/>
        </w:rPr>
      </w:pPr>
      <w:r w:rsidRPr="001D028A">
        <w:rPr>
          <w:rFonts w:cstheme="minorHAnsi"/>
          <w:sz w:val="20"/>
          <w:szCs w:val="20"/>
        </w:rPr>
        <w:t xml:space="preserve">Scientific Advisory Committee on Nutrition 2015, </w:t>
      </w:r>
      <w:hyperlink r:id="rId187" w:history="1">
        <w:r w:rsidRPr="001D028A">
          <w:rPr>
            <w:rStyle w:val="Hyperlink"/>
            <w:rFonts w:cstheme="minorHAnsi"/>
            <w:i/>
            <w:iCs/>
            <w:sz w:val="20"/>
            <w:szCs w:val="20"/>
          </w:rPr>
          <w:t>Carbohydrates and Health</w:t>
        </w:r>
      </w:hyperlink>
      <w:r w:rsidRPr="001D028A">
        <w:rPr>
          <w:rFonts w:cstheme="minorHAnsi"/>
          <w:i/>
          <w:iCs/>
          <w:sz w:val="20"/>
          <w:szCs w:val="20"/>
        </w:rPr>
        <w:t>,</w:t>
      </w:r>
      <w:r w:rsidRPr="001D028A">
        <w:rPr>
          <w:rFonts w:cstheme="minorHAnsi"/>
          <w:sz w:val="20"/>
          <w:szCs w:val="20"/>
        </w:rPr>
        <w:t xml:space="preserve"> Public Health England, London, viewed on 17 January 2019. </w:t>
      </w:r>
    </w:p>
    <w:p w14:paraId="58BD5642" w14:textId="77777777" w:rsidR="00C52B5B" w:rsidRPr="001D028A" w:rsidRDefault="00C52B5B" w:rsidP="00C52B5B">
      <w:pPr>
        <w:autoSpaceDE w:val="0"/>
        <w:autoSpaceDN w:val="0"/>
        <w:adjustRightInd w:val="0"/>
        <w:rPr>
          <w:rFonts w:cstheme="minorHAnsi"/>
          <w:color w:val="000000"/>
          <w:sz w:val="20"/>
          <w:szCs w:val="20"/>
          <w:lang w:val="en-US"/>
        </w:rPr>
      </w:pPr>
    </w:p>
    <w:p w14:paraId="72A305D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TNS Social Research 2007, </w:t>
      </w:r>
      <w:hyperlink r:id="rId188" w:history="1">
        <w:r w:rsidRPr="001D028A">
          <w:rPr>
            <w:rStyle w:val="Hyperlink"/>
            <w:rFonts w:cstheme="minorHAnsi"/>
            <w:i/>
            <w:sz w:val="20"/>
            <w:szCs w:val="20"/>
            <w:lang w:val="en-GB"/>
          </w:rPr>
          <w:t>Qualitative Research into the interpretation of %DI and %RDI Labelling</w:t>
        </w:r>
      </w:hyperlink>
      <w:r w:rsidRPr="001D028A">
        <w:rPr>
          <w:rFonts w:cstheme="minorHAnsi"/>
          <w:i/>
          <w:sz w:val="20"/>
          <w:szCs w:val="20"/>
          <w:lang w:val="en-GB"/>
        </w:rPr>
        <w:t xml:space="preserve">, </w:t>
      </w:r>
      <w:r w:rsidRPr="001D028A">
        <w:rPr>
          <w:rFonts w:cstheme="minorHAnsi"/>
          <w:sz w:val="20"/>
          <w:szCs w:val="20"/>
          <w:lang w:val="en-GB"/>
        </w:rPr>
        <w:t>prepared for Food Standards Australia New Zealand, viewed on 17 January 2019.</w:t>
      </w:r>
    </w:p>
    <w:p w14:paraId="73248144" w14:textId="77777777" w:rsidR="00C52B5B" w:rsidRPr="001D028A" w:rsidRDefault="00C52B5B" w:rsidP="00C52B5B">
      <w:pPr>
        <w:pStyle w:val="NoSpacing"/>
        <w:rPr>
          <w:rFonts w:cstheme="minorHAnsi"/>
          <w:sz w:val="20"/>
          <w:szCs w:val="20"/>
          <w:lang w:val="en-GB"/>
        </w:rPr>
      </w:pPr>
    </w:p>
    <w:p w14:paraId="5A7FFE52"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Victorian Salt Reduction Partnership 2018, </w:t>
      </w:r>
      <w:hyperlink r:id="rId189" w:history="1">
        <w:r w:rsidRPr="001D028A">
          <w:rPr>
            <w:rStyle w:val="Hyperlink"/>
            <w:rFonts w:cstheme="minorHAnsi"/>
            <w:i/>
            <w:iCs/>
            <w:sz w:val="20"/>
            <w:szCs w:val="20"/>
            <w:lang w:val="en-GB"/>
          </w:rPr>
          <w:t>Reducing the pressure on our health and economy: A call to action from the Victorian Salt Reduction Partnership</w:t>
        </w:r>
      </w:hyperlink>
      <w:r w:rsidRPr="001D028A">
        <w:rPr>
          <w:rFonts w:cstheme="minorHAnsi"/>
          <w:i/>
          <w:iCs/>
          <w:sz w:val="20"/>
          <w:szCs w:val="20"/>
          <w:lang w:val="en-GB"/>
        </w:rPr>
        <w:t xml:space="preserve">, </w:t>
      </w:r>
      <w:r w:rsidRPr="001D028A">
        <w:rPr>
          <w:rFonts w:cstheme="minorHAnsi"/>
          <w:iCs/>
          <w:sz w:val="20"/>
          <w:szCs w:val="20"/>
          <w:lang w:val="en-GB"/>
        </w:rPr>
        <w:t xml:space="preserve">policy statement, February, viewed on 17 January 2019. </w:t>
      </w:r>
    </w:p>
    <w:p w14:paraId="7B4C69ED" w14:textId="77777777" w:rsidR="00C52B5B" w:rsidRPr="001D028A" w:rsidRDefault="00C52B5B" w:rsidP="00C52B5B">
      <w:pPr>
        <w:pStyle w:val="NoSpacing"/>
        <w:rPr>
          <w:rFonts w:cstheme="minorHAnsi"/>
          <w:iCs/>
          <w:sz w:val="20"/>
          <w:szCs w:val="20"/>
          <w:lang w:val="en-GB"/>
        </w:rPr>
      </w:pPr>
    </w:p>
    <w:p w14:paraId="3D8896A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Victorian Salt Reduction Partnership 2018, </w:t>
      </w:r>
      <w:hyperlink r:id="rId190" w:history="1">
        <w:r w:rsidRPr="001D028A">
          <w:rPr>
            <w:rStyle w:val="Hyperlink"/>
            <w:rFonts w:cstheme="minorHAnsi"/>
            <w:i/>
            <w:iCs/>
            <w:sz w:val="20"/>
            <w:szCs w:val="20"/>
            <w:lang w:val="en-GB"/>
          </w:rPr>
          <w:t>Salt reformulation in Australia, including case studies for Woolworths and Unilever</w:t>
        </w:r>
      </w:hyperlink>
      <w:r w:rsidRPr="001D028A">
        <w:rPr>
          <w:rFonts w:cstheme="minorHAnsi"/>
          <w:sz w:val="20"/>
          <w:szCs w:val="20"/>
          <w:lang w:val="en-GB"/>
        </w:rPr>
        <w:t>, viewed 31 January 2019.</w:t>
      </w:r>
    </w:p>
    <w:p w14:paraId="3C0800FF" w14:textId="77777777" w:rsidR="00C52B5B" w:rsidRPr="001D028A" w:rsidRDefault="00C52B5B" w:rsidP="00C52B5B">
      <w:pPr>
        <w:pStyle w:val="NoSpacing"/>
        <w:rPr>
          <w:rFonts w:cstheme="minorHAnsi"/>
          <w:sz w:val="20"/>
          <w:szCs w:val="20"/>
          <w:lang w:val="en-GB"/>
        </w:rPr>
      </w:pPr>
    </w:p>
    <w:p w14:paraId="1A1B144D"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VicHealth 2015, </w:t>
      </w:r>
      <w:hyperlink r:id="rId191" w:history="1">
        <w:r w:rsidRPr="001D028A">
          <w:rPr>
            <w:rStyle w:val="Hyperlink"/>
            <w:rFonts w:cstheme="minorHAnsi"/>
            <w:i/>
            <w:sz w:val="20"/>
            <w:szCs w:val="20"/>
            <w:lang w:val="en-GB"/>
          </w:rPr>
          <w:t>State of salt: deaths linked to high salt intake six times higher than Victoria’s annual road toll</w:t>
        </w:r>
      </w:hyperlink>
      <w:r w:rsidRPr="001D028A">
        <w:rPr>
          <w:rFonts w:cstheme="minorHAnsi"/>
          <w:sz w:val="20"/>
          <w:szCs w:val="20"/>
          <w:lang w:val="en-GB"/>
        </w:rPr>
        <w:t>, media release, 13 May, viewed on 10 January 2019.</w:t>
      </w:r>
    </w:p>
    <w:p w14:paraId="1BE68366" w14:textId="77777777" w:rsidR="00C52B5B" w:rsidRPr="001D028A" w:rsidRDefault="00C52B5B" w:rsidP="00C52B5B">
      <w:pPr>
        <w:pStyle w:val="NoSpacing"/>
        <w:rPr>
          <w:rFonts w:cstheme="minorHAnsi"/>
          <w:sz w:val="20"/>
          <w:szCs w:val="20"/>
          <w:lang w:val="en-GB"/>
        </w:rPr>
      </w:pPr>
    </w:p>
    <w:p w14:paraId="754BA715"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Wartella, E, Lichtenstein, A, &amp; Boon, C (editors) 2010, </w:t>
      </w:r>
      <w:r w:rsidRPr="001D028A">
        <w:rPr>
          <w:rFonts w:eastAsia="Times New Roman" w:cstheme="minorHAnsi"/>
          <w:i/>
          <w:sz w:val="20"/>
          <w:szCs w:val="20"/>
        </w:rPr>
        <w:t>Front-of-Package Nutrition Rating Systems and Symbols: Phase 1 Report</w:t>
      </w:r>
      <w:r w:rsidRPr="001D028A">
        <w:rPr>
          <w:rFonts w:eastAsia="Times New Roman" w:cstheme="minorHAnsi"/>
          <w:sz w:val="20"/>
          <w:szCs w:val="20"/>
        </w:rPr>
        <w:t>, Institute of Medicine of the National Academies, National Academies Press, Washington, D.C.</w:t>
      </w:r>
    </w:p>
    <w:p w14:paraId="7255D852" w14:textId="77777777" w:rsidR="00C52B5B" w:rsidRPr="001D028A" w:rsidRDefault="00C52B5B" w:rsidP="00C52B5B">
      <w:pPr>
        <w:rPr>
          <w:rFonts w:eastAsia="Times New Roman" w:cstheme="minorHAnsi"/>
          <w:sz w:val="20"/>
          <w:szCs w:val="20"/>
        </w:rPr>
      </w:pPr>
    </w:p>
    <w:p w14:paraId="6258C031"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World Cancer Research Fund International 2019, </w:t>
      </w:r>
      <w:hyperlink r:id="rId192" w:history="1">
        <w:r w:rsidRPr="001D028A">
          <w:rPr>
            <w:rStyle w:val="Hyperlink"/>
            <w:rFonts w:eastAsia="Times New Roman" w:cstheme="minorHAnsi"/>
            <w:i/>
            <w:iCs/>
            <w:sz w:val="20"/>
            <w:szCs w:val="20"/>
          </w:rPr>
          <w:t>Building momentum: lessons in implementing a robust front-of-pack label</w:t>
        </w:r>
      </w:hyperlink>
      <w:r w:rsidRPr="001D028A">
        <w:rPr>
          <w:rFonts w:eastAsia="Times New Roman" w:cstheme="minorHAnsi"/>
          <w:sz w:val="20"/>
          <w:szCs w:val="20"/>
        </w:rPr>
        <w:t>.</w:t>
      </w:r>
    </w:p>
    <w:p w14:paraId="01D20221" w14:textId="77777777" w:rsidR="00C52B5B" w:rsidRPr="001D028A" w:rsidRDefault="00C52B5B" w:rsidP="00C52B5B">
      <w:pPr>
        <w:rPr>
          <w:rFonts w:eastAsia="Times New Roman" w:cstheme="minorHAnsi"/>
          <w:sz w:val="20"/>
          <w:szCs w:val="20"/>
        </w:rPr>
      </w:pPr>
    </w:p>
    <w:p w14:paraId="70A855CC" w14:textId="77777777" w:rsidR="00C52B5B" w:rsidRPr="001D028A" w:rsidRDefault="00C52B5B" w:rsidP="00C52B5B">
      <w:pPr>
        <w:pStyle w:val="NoSpacing"/>
        <w:rPr>
          <w:rFonts w:cstheme="minorHAnsi"/>
          <w:b/>
          <w:bCs/>
          <w:sz w:val="20"/>
          <w:szCs w:val="20"/>
          <w:lang w:val="en-GB"/>
        </w:rPr>
      </w:pPr>
      <w:r w:rsidRPr="001D028A">
        <w:rPr>
          <w:rFonts w:cstheme="minorHAnsi"/>
          <w:b/>
          <w:bCs/>
          <w:sz w:val="20"/>
          <w:szCs w:val="20"/>
          <w:lang w:val="en-GB"/>
        </w:rPr>
        <w:t>Media articles, press releases and fact sheets</w:t>
      </w:r>
    </w:p>
    <w:p w14:paraId="04F05A97" w14:textId="77777777" w:rsidR="00C52B5B" w:rsidRPr="001D028A" w:rsidRDefault="00C52B5B" w:rsidP="00C52B5B">
      <w:pPr>
        <w:pStyle w:val="NoSpacing"/>
        <w:rPr>
          <w:rFonts w:cstheme="minorHAnsi"/>
          <w:sz w:val="20"/>
          <w:szCs w:val="20"/>
          <w:lang w:val="en-GB"/>
        </w:rPr>
      </w:pPr>
    </w:p>
    <w:p w14:paraId="13D0176B"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Dalzell, S 2018 </w:t>
      </w:r>
      <w:hyperlink r:id="rId193" w:history="1">
        <w:r w:rsidRPr="001D028A">
          <w:rPr>
            <w:rStyle w:val="Hyperlink"/>
            <w:rFonts w:cstheme="minorHAnsi"/>
            <w:sz w:val="20"/>
            <w:szCs w:val="20"/>
            <w:lang w:val="en-GB"/>
          </w:rPr>
          <w:t>‘Soft drink industry pledges to cut sugar overall, but doctors say it’s a diversion from the real issue’</w:t>
        </w:r>
      </w:hyperlink>
      <w:r w:rsidRPr="001D028A">
        <w:rPr>
          <w:rFonts w:cstheme="minorHAnsi"/>
          <w:sz w:val="20"/>
          <w:szCs w:val="20"/>
          <w:lang w:val="en-GB"/>
        </w:rPr>
        <w:t xml:space="preserve">, </w:t>
      </w:r>
      <w:r w:rsidRPr="001D028A">
        <w:rPr>
          <w:rFonts w:cstheme="minorHAnsi"/>
          <w:i/>
          <w:sz w:val="20"/>
          <w:szCs w:val="20"/>
          <w:lang w:val="en-GB"/>
        </w:rPr>
        <w:t>ABC News</w:t>
      </w:r>
      <w:r w:rsidRPr="001D028A">
        <w:rPr>
          <w:rFonts w:cstheme="minorHAnsi"/>
          <w:sz w:val="20"/>
          <w:szCs w:val="20"/>
          <w:lang w:val="en-GB"/>
        </w:rPr>
        <w:t xml:space="preserve">, 26 June, viewed on 31 January 2019. </w:t>
      </w:r>
    </w:p>
    <w:p w14:paraId="311F1F11" w14:textId="77777777" w:rsidR="00C52B5B" w:rsidRPr="001D028A" w:rsidRDefault="00C52B5B" w:rsidP="00C52B5B">
      <w:pPr>
        <w:rPr>
          <w:rFonts w:eastAsia="Times New Roman" w:cstheme="minorHAnsi"/>
          <w:sz w:val="20"/>
          <w:szCs w:val="20"/>
        </w:rPr>
      </w:pPr>
    </w:p>
    <w:p w14:paraId="11F795B0"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Department of Health and Social Care 2013, </w:t>
      </w:r>
      <w:hyperlink r:id="rId194" w:history="1">
        <w:r w:rsidRPr="001D028A">
          <w:rPr>
            <w:rStyle w:val="Hyperlink"/>
            <w:rFonts w:eastAsia="Times New Roman" w:cstheme="minorHAnsi"/>
            <w:i/>
            <w:sz w:val="20"/>
            <w:szCs w:val="20"/>
          </w:rPr>
          <w:t>Press release: Final design of consistent nutritional labelling system given green light</w:t>
        </w:r>
      </w:hyperlink>
      <w:r w:rsidRPr="001D028A">
        <w:rPr>
          <w:rFonts w:eastAsia="Times New Roman" w:cstheme="minorHAnsi"/>
          <w:sz w:val="20"/>
          <w:szCs w:val="20"/>
        </w:rPr>
        <w:t>, viewed on 31 January 2019.</w:t>
      </w:r>
    </w:p>
    <w:p w14:paraId="6236317D" w14:textId="77777777" w:rsidR="00C52B5B" w:rsidRPr="001D028A" w:rsidRDefault="00C52B5B" w:rsidP="00C52B5B">
      <w:pPr>
        <w:rPr>
          <w:rFonts w:eastAsia="Times New Roman" w:cstheme="minorHAnsi"/>
          <w:sz w:val="20"/>
          <w:szCs w:val="20"/>
        </w:rPr>
      </w:pPr>
    </w:p>
    <w:p w14:paraId="54157D39" w14:textId="77777777" w:rsidR="00C52B5B" w:rsidRPr="001D028A" w:rsidRDefault="00C52B5B" w:rsidP="00C52B5B">
      <w:pPr>
        <w:rPr>
          <w:rFonts w:cstheme="minorHAnsi"/>
          <w:sz w:val="20"/>
          <w:szCs w:val="20"/>
        </w:rPr>
      </w:pPr>
      <w:r w:rsidRPr="001D028A">
        <w:rPr>
          <w:rFonts w:cstheme="minorHAnsi"/>
          <w:sz w:val="20"/>
          <w:szCs w:val="20"/>
        </w:rPr>
        <w:t xml:space="preserve">Eat for Health, </w:t>
      </w:r>
      <w:hyperlink r:id="rId195" w:history="1">
        <w:r w:rsidRPr="001D028A">
          <w:rPr>
            <w:rStyle w:val="Hyperlink"/>
            <w:rFonts w:cstheme="minorHAnsi"/>
            <w:i/>
            <w:iCs/>
            <w:sz w:val="20"/>
            <w:szCs w:val="20"/>
          </w:rPr>
          <w:t>How to understand food labels</w:t>
        </w:r>
      </w:hyperlink>
      <w:r w:rsidRPr="001D028A">
        <w:rPr>
          <w:rFonts w:cstheme="minorHAnsi"/>
          <w:i/>
          <w:iCs/>
          <w:sz w:val="20"/>
          <w:szCs w:val="20"/>
        </w:rPr>
        <w:t xml:space="preserve">, </w:t>
      </w:r>
      <w:r w:rsidRPr="001D028A">
        <w:rPr>
          <w:rFonts w:cstheme="minorHAnsi"/>
          <w:iCs/>
          <w:sz w:val="20"/>
          <w:szCs w:val="20"/>
        </w:rPr>
        <w:t>viewed on 31 January 2019.</w:t>
      </w:r>
      <w:r w:rsidRPr="001D028A">
        <w:rPr>
          <w:rFonts w:cstheme="minorHAnsi"/>
          <w:i/>
          <w:iCs/>
          <w:sz w:val="20"/>
          <w:szCs w:val="20"/>
        </w:rPr>
        <w:t xml:space="preserve"> </w:t>
      </w:r>
      <w:r w:rsidRPr="001D028A">
        <w:rPr>
          <w:rFonts w:cstheme="minorHAnsi"/>
          <w:iCs/>
          <w:sz w:val="20"/>
          <w:szCs w:val="20"/>
        </w:rPr>
        <w:t xml:space="preserve"> </w:t>
      </w:r>
    </w:p>
    <w:p w14:paraId="5771D45D" w14:textId="77777777" w:rsidR="00C52B5B" w:rsidRPr="001D028A" w:rsidRDefault="00C52B5B" w:rsidP="00C52B5B">
      <w:pPr>
        <w:rPr>
          <w:rFonts w:eastAsia="Times New Roman" w:cstheme="minorHAnsi"/>
          <w:sz w:val="20"/>
          <w:szCs w:val="20"/>
        </w:rPr>
      </w:pPr>
    </w:p>
    <w:p w14:paraId="44ECD9C3" w14:textId="77777777" w:rsidR="00C52B5B" w:rsidRPr="001D028A" w:rsidRDefault="00C52B5B" w:rsidP="00C52B5B">
      <w:pPr>
        <w:rPr>
          <w:rFonts w:eastAsia="Times New Roman" w:cstheme="minorHAnsi"/>
          <w:sz w:val="20"/>
          <w:szCs w:val="20"/>
        </w:rPr>
      </w:pPr>
      <w:r w:rsidRPr="001D028A">
        <w:rPr>
          <w:rFonts w:eastAsia="Times New Roman" w:cstheme="minorHAnsi"/>
          <w:sz w:val="20"/>
          <w:szCs w:val="20"/>
        </w:rPr>
        <w:t xml:space="preserve">Guiding Stars Licensing Company 2018, </w:t>
      </w:r>
      <w:hyperlink r:id="rId196" w:history="1">
        <w:r w:rsidRPr="001D028A">
          <w:rPr>
            <w:rStyle w:val="Hyperlink"/>
            <w:rFonts w:eastAsia="Times New Roman" w:cstheme="minorHAnsi"/>
            <w:i/>
            <w:sz w:val="20"/>
            <w:szCs w:val="20"/>
          </w:rPr>
          <w:t>Finding Guiding Stars on Shelf Labels in Store</w:t>
        </w:r>
      </w:hyperlink>
      <w:r w:rsidRPr="001D028A">
        <w:rPr>
          <w:rFonts w:eastAsia="Times New Roman" w:cstheme="minorHAnsi"/>
          <w:sz w:val="20"/>
          <w:szCs w:val="20"/>
        </w:rPr>
        <w:t>, viewed on 4 December 2018.</w:t>
      </w:r>
    </w:p>
    <w:p w14:paraId="4D6AEFD8" w14:textId="77777777" w:rsidR="00C52B5B" w:rsidRPr="001D028A" w:rsidRDefault="00C52B5B" w:rsidP="00C52B5B">
      <w:pPr>
        <w:pStyle w:val="NoSpacing"/>
        <w:rPr>
          <w:rFonts w:cstheme="minorHAnsi"/>
          <w:sz w:val="20"/>
          <w:szCs w:val="20"/>
          <w:lang w:val="en-GB"/>
        </w:rPr>
      </w:pPr>
    </w:p>
    <w:p w14:paraId="1A8021C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Han, E 2018 ‘Nestle wipes ‘4.5’ health star rating off flagship Milo product, </w:t>
      </w:r>
      <w:r w:rsidRPr="001D028A">
        <w:rPr>
          <w:rFonts w:cstheme="minorHAnsi"/>
          <w:i/>
          <w:iCs/>
          <w:sz w:val="20"/>
          <w:szCs w:val="20"/>
          <w:lang w:val="en-GB"/>
        </w:rPr>
        <w:t>Sydney Morning Herald</w:t>
      </w:r>
      <w:r w:rsidRPr="001D028A">
        <w:rPr>
          <w:rFonts w:cstheme="minorHAnsi"/>
          <w:sz w:val="20"/>
          <w:szCs w:val="20"/>
          <w:lang w:val="en-GB"/>
        </w:rPr>
        <w:t xml:space="preserve">, 1 March 2018, viewed 1 March 2018, </w:t>
      </w:r>
      <w:hyperlink r:id="rId197" w:history="1">
        <w:r w:rsidRPr="001D028A">
          <w:rPr>
            <w:rStyle w:val="Hyperlink"/>
            <w:rFonts w:cstheme="minorHAnsi"/>
            <w:sz w:val="20"/>
            <w:szCs w:val="20"/>
            <w:lang w:val="en-GB"/>
          </w:rPr>
          <w:t>https://www.smh.com.au/healthcare/nestle-wipes-4-5-health-star-rating-off-flagship-milo-product-20180301-p4z295.html</w:t>
        </w:r>
      </w:hyperlink>
    </w:p>
    <w:p w14:paraId="409D0093" w14:textId="77777777" w:rsidR="00C52B5B" w:rsidRPr="001D028A" w:rsidRDefault="00C52B5B" w:rsidP="00C52B5B">
      <w:pPr>
        <w:pStyle w:val="NoSpacing"/>
        <w:rPr>
          <w:rFonts w:cstheme="minorHAnsi"/>
          <w:sz w:val="20"/>
          <w:szCs w:val="20"/>
          <w:lang w:val="en-GB"/>
        </w:rPr>
      </w:pPr>
    </w:p>
    <w:p w14:paraId="622BD819" w14:textId="77777777" w:rsidR="00C52B5B" w:rsidRPr="001D028A" w:rsidRDefault="00C52B5B" w:rsidP="00C52B5B">
      <w:pPr>
        <w:rPr>
          <w:rFonts w:cstheme="minorHAnsi"/>
          <w:sz w:val="20"/>
          <w:szCs w:val="20"/>
          <w:lang w:val="en-GB"/>
        </w:rPr>
      </w:pPr>
      <w:r w:rsidRPr="001D028A">
        <w:rPr>
          <w:rFonts w:cstheme="minorHAnsi"/>
          <w:sz w:val="20"/>
          <w:szCs w:val="20"/>
          <w:lang w:val="en-GB"/>
        </w:rPr>
        <w:t xml:space="preserve">Han, E 2014, </w:t>
      </w:r>
      <w:hyperlink r:id="rId198" w:history="1">
        <w:r w:rsidRPr="001D028A">
          <w:rPr>
            <w:rStyle w:val="Hyperlink"/>
            <w:rFonts w:cstheme="minorHAnsi"/>
            <w:sz w:val="20"/>
            <w:szCs w:val="20"/>
            <w:lang w:val="en-GB"/>
          </w:rPr>
          <w:t>‘Monster Health Food Company upstages rivals after aiming for the stars’</w:t>
        </w:r>
      </w:hyperlink>
      <w:r w:rsidRPr="001D028A">
        <w:rPr>
          <w:rFonts w:cstheme="minorHAnsi"/>
          <w:sz w:val="20"/>
          <w:szCs w:val="20"/>
          <w:lang w:val="en-GB"/>
        </w:rPr>
        <w:t xml:space="preserve">, </w:t>
      </w:r>
      <w:r w:rsidRPr="001D028A">
        <w:rPr>
          <w:rFonts w:cstheme="minorHAnsi"/>
          <w:i/>
          <w:iCs/>
          <w:sz w:val="20"/>
          <w:szCs w:val="20"/>
          <w:lang w:val="en-GB"/>
        </w:rPr>
        <w:t>The Sydney Morning Herald</w:t>
      </w:r>
      <w:r w:rsidRPr="001D028A">
        <w:rPr>
          <w:rFonts w:cstheme="minorHAnsi"/>
          <w:sz w:val="20"/>
          <w:szCs w:val="20"/>
          <w:lang w:val="en-GB"/>
        </w:rPr>
        <w:t>, 16 April, viewed on 10 July 2018.</w:t>
      </w:r>
    </w:p>
    <w:p w14:paraId="470E28F9" w14:textId="77777777" w:rsidR="00C52B5B" w:rsidRPr="001D028A" w:rsidRDefault="00C52B5B" w:rsidP="00C52B5B">
      <w:pPr>
        <w:pStyle w:val="NoSpacing"/>
        <w:rPr>
          <w:rFonts w:cstheme="minorHAnsi"/>
          <w:sz w:val="20"/>
          <w:szCs w:val="20"/>
          <w:lang w:val="en-GB"/>
        </w:rPr>
      </w:pPr>
    </w:p>
    <w:p w14:paraId="0546B5E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Promotion Agency 2019, </w:t>
      </w:r>
      <w:hyperlink r:id="rId199" w:history="1">
        <w:r w:rsidRPr="001D028A">
          <w:rPr>
            <w:rStyle w:val="Hyperlink"/>
            <w:rFonts w:cstheme="minorHAnsi"/>
            <w:i/>
            <w:sz w:val="20"/>
            <w:szCs w:val="20"/>
            <w:lang w:val="en-GB"/>
          </w:rPr>
          <w:t>Health Star Ratings – Consumer campaign materials, fact sheets, articles, webinar</w:t>
        </w:r>
      </w:hyperlink>
      <w:r w:rsidRPr="001D028A">
        <w:rPr>
          <w:rFonts w:cstheme="minorHAnsi"/>
          <w:i/>
          <w:sz w:val="20"/>
          <w:szCs w:val="20"/>
          <w:lang w:val="en-GB"/>
        </w:rPr>
        <w:t xml:space="preserve">, </w:t>
      </w:r>
      <w:r w:rsidRPr="001D028A">
        <w:rPr>
          <w:rFonts w:cstheme="minorHAnsi"/>
          <w:sz w:val="20"/>
          <w:szCs w:val="20"/>
          <w:lang w:val="en-GB"/>
        </w:rPr>
        <w:t xml:space="preserve">viewed on 31 January 2019. </w:t>
      </w:r>
    </w:p>
    <w:p w14:paraId="04BCD914" w14:textId="77777777" w:rsidR="00C52B5B" w:rsidRPr="001D028A" w:rsidRDefault="00C52B5B" w:rsidP="00C52B5B">
      <w:pPr>
        <w:pStyle w:val="NoSpacing"/>
        <w:rPr>
          <w:rFonts w:cstheme="minorHAnsi"/>
          <w:sz w:val="20"/>
          <w:szCs w:val="20"/>
          <w:lang w:val="en-GB"/>
        </w:rPr>
      </w:pPr>
    </w:p>
    <w:p w14:paraId="5BE0814C" w14:textId="77777777" w:rsidR="00C52B5B" w:rsidRPr="001D028A" w:rsidRDefault="00C52B5B" w:rsidP="00C52B5B">
      <w:pPr>
        <w:rPr>
          <w:rFonts w:cstheme="minorHAnsi"/>
          <w:sz w:val="20"/>
          <w:szCs w:val="20"/>
        </w:rPr>
      </w:pPr>
      <w:r w:rsidRPr="001D028A">
        <w:rPr>
          <w:rFonts w:cstheme="minorHAnsi"/>
          <w:sz w:val="20"/>
          <w:szCs w:val="20"/>
          <w:lang w:val="en-GB"/>
        </w:rPr>
        <w:t>LiveLighter 2012</w:t>
      </w:r>
      <w:r w:rsidRPr="001D028A">
        <w:rPr>
          <w:rFonts w:cstheme="minorHAnsi"/>
          <w:sz w:val="20"/>
          <w:szCs w:val="20"/>
        </w:rPr>
        <w:t xml:space="preserve">, </w:t>
      </w:r>
      <w:hyperlink r:id="rId200" w:history="1">
        <w:r w:rsidRPr="001D028A">
          <w:rPr>
            <w:rStyle w:val="Hyperlink"/>
            <w:rFonts w:cstheme="minorHAnsi"/>
            <w:i/>
            <w:iCs/>
            <w:sz w:val="20"/>
            <w:szCs w:val="20"/>
          </w:rPr>
          <w:t>Your at-a-glance guide to healthier food shopping</w:t>
        </w:r>
      </w:hyperlink>
      <w:r w:rsidRPr="001D028A">
        <w:rPr>
          <w:rFonts w:cstheme="minorHAnsi"/>
          <w:sz w:val="20"/>
          <w:szCs w:val="20"/>
        </w:rPr>
        <w:t>, State of Western Australia, viewed on 31 January 2019.</w:t>
      </w:r>
    </w:p>
    <w:p w14:paraId="4ECD20D1" w14:textId="77777777" w:rsidR="00C52B5B" w:rsidRPr="001D028A" w:rsidRDefault="00C52B5B" w:rsidP="00C52B5B">
      <w:pPr>
        <w:pStyle w:val="NoSpacing"/>
        <w:rPr>
          <w:rFonts w:cstheme="minorHAnsi"/>
          <w:sz w:val="20"/>
          <w:szCs w:val="20"/>
          <w:lang w:val="en-GB"/>
        </w:rPr>
      </w:pPr>
    </w:p>
    <w:p w14:paraId="2E70D47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Metherell, L 2018 </w:t>
      </w:r>
      <w:hyperlink r:id="rId201" w:history="1">
        <w:r w:rsidRPr="001D028A">
          <w:rPr>
            <w:rStyle w:val="Hyperlink"/>
            <w:rFonts w:cstheme="minorHAnsi"/>
            <w:sz w:val="20"/>
            <w:szCs w:val="20"/>
            <w:lang w:val="en-GB"/>
          </w:rPr>
          <w:t>‘Nestle removes Milo’s 4.5 Health Star Rating in response to criticism from public health groups’</w:t>
        </w:r>
      </w:hyperlink>
      <w:r w:rsidRPr="001D028A">
        <w:rPr>
          <w:rFonts w:cstheme="minorHAnsi"/>
          <w:sz w:val="20"/>
          <w:szCs w:val="20"/>
          <w:lang w:val="en-GB"/>
        </w:rPr>
        <w:t xml:space="preserve">, </w:t>
      </w:r>
      <w:r w:rsidRPr="001D028A">
        <w:rPr>
          <w:rFonts w:cstheme="minorHAnsi"/>
          <w:i/>
          <w:iCs/>
          <w:sz w:val="20"/>
          <w:szCs w:val="20"/>
          <w:lang w:val="en-GB"/>
        </w:rPr>
        <w:t>ABC News</w:t>
      </w:r>
      <w:r w:rsidRPr="001D028A">
        <w:rPr>
          <w:rFonts w:cstheme="minorHAnsi"/>
          <w:sz w:val="20"/>
          <w:szCs w:val="20"/>
          <w:lang w:val="en-GB"/>
        </w:rPr>
        <w:t xml:space="preserve">, 1 March 2018, viewed 1 March 2018. </w:t>
      </w:r>
    </w:p>
    <w:p w14:paraId="399360E0" w14:textId="77777777" w:rsidR="00C52B5B" w:rsidRPr="001D028A" w:rsidRDefault="00C52B5B" w:rsidP="00C52B5B">
      <w:pPr>
        <w:pStyle w:val="NoSpacing"/>
        <w:rPr>
          <w:rFonts w:cstheme="minorHAnsi"/>
          <w:sz w:val="20"/>
          <w:szCs w:val="20"/>
          <w:lang w:val="en-GB"/>
        </w:rPr>
      </w:pPr>
    </w:p>
    <w:p w14:paraId="65F83914"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Sullivan, R 2018 ‘</w:t>
      </w:r>
      <w:hyperlink r:id="rId202" w:history="1">
        <w:r w:rsidRPr="001D028A">
          <w:rPr>
            <w:rStyle w:val="Hyperlink"/>
            <w:rFonts w:cstheme="minorHAnsi"/>
            <w:sz w:val="20"/>
            <w:szCs w:val="20"/>
            <w:lang w:val="en-GB"/>
          </w:rPr>
          <w:t>Nestle drops Milo’s 4.5 Health Star Rating after criticism from health experts’</w:t>
        </w:r>
      </w:hyperlink>
      <w:r w:rsidRPr="001D028A">
        <w:rPr>
          <w:rFonts w:cstheme="minorHAnsi"/>
          <w:sz w:val="20"/>
          <w:szCs w:val="20"/>
          <w:lang w:val="en-GB"/>
        </w:rPr>
        <w:t>, 1 March, viewed on 2 March 2018.</w:t>
      </w:r>
    </w:p>
    <w:p w14:paraId="7EB2ADF2" w14:textId="77777777" w:rsidR="00C52B5B" w:rsidRPr="001D028A" w:rsidRDefault="00C52B5B" w:rsidP="00C52B5B">
      <w:pPr>
        <w:rPr>
          <w:rFonts w:eastAsia="Times New Roman" w:cstheme="minorHAnsi"/>
          <w:sz w:val="20"/>
          <w:szCs w:val="20"/>
        </w:rPr>
      </w:pPr>
    </w:p>
    <w:p w14:paraId="27C81C85" w14:textId="77777777" w:rsidR="00C52B5B" w:rsidRPr="001D028A" w:rsidRDefault="00C52B5B" w:rsidP="00C52B5B">
      <w:pPr>
        <w:widowControl w:val="0"/>
        <w:autoSpaceDE w:val="0"/>
        <w:autoSpaceDN w:val="0"/>
        <w:adjustRightInd w:val="0"/>
        <w:rPr>
          <w:rStyle w:val="Hyperlink"/>
          <w:rFonts w:eastAsia="Times New Roman" w:cstheme="minorHAnsi"/>
          <w:i/>
          <w:sz w:val="20"/>
          <w:szCs w:val="20"/>
        </w:rPr>
      </w:pPr>
      <w:r w:rsidRPr="001D028A">
        <w:rPr>
          <w:rFonts w:eastAsia="Times New Roman" w:cstheme="minorHAnsi"/>
          <w:sz w:val="20"/>
          <w:szCs w:val="20"/>
        </w:rPr>
        <w:t xml:space="preserve">Tamma, P 2017 </w:t>
      </w:r>
      <w:hyperlink r:id="rId203" w:history="1">
        <w:r w:rsidRPr="001D028A">
          <w:rPr>
            <w:rStyle w:val="Hyperlink"/>
            <w:rFonts w:eastAsia="Times New Roman" w:cstheme="minorHAnsi"/>
            <w:sz w:val="20"/>
            <w:szCs w:val="20"/>
          </w:rPr>
          <w:t>‘France opts for colour coded nutrition labelling’</w:t>
        </w:r>
      </w:hyperlink>
      <w:r w:rsidRPr="001D028A">
        <w:rPr>
          <w:rFonts w:eastAsia="Times New Roman" w:cstheme="minorHAnsi"/>
          <w:sz w:val="20"/>
          <w:szCs w:val="20"/>
        </w:rPr>
        <w:t xml:space="preserve">, 2 November, viewed on 31 January 2019. </w:t>
      </w:r>
    </w:p>
    <w:p w14:paraId="42FADAAE" w14:textId="77777777" w:rsidR="00C52B5B" w:rsidRPr="001D028A" w:rsidRDefault="00C52B5B" w:rsidP="00C52B5B">
      <w:pPr>
        <w:widowControl w:val="0"/>
        <w:autoSpaceDE w:val="0"/>
        <w:autoSpaceDN w:val="0"/>
        <w:adjustRightInd w:val="0"/>
        <w:rPr>
          <w:rStyle w:val="Hyperlink"/>
          <w:rFonts w:eastAsia="Times New Roman" w:cstheme="minorHAnsi"/>
          <w:i/>
          <w:sz w:val="20"/>
          <w:szCs w:val="20"/>
        </w:rPr>
      </w:pPr>
    </w:p>
    <w:p w14:paraId="2CA4202D" w14:textId="77777777" w:rsidR="00C52B5B" w:rsidRPr="001D028A" w:rsidRDefault="00C52B5B" w:rsidP="00C52B5B">
      <w:pPr>
        <w:autoSpaceDE w:val="0"/>
        <w:autoSpaceDN w:val="0"/>
        <w:adjustRightInd w:val="0"/>
        <w:rPr>
          <w:rFonts w:eastAsia="Times New Roman" w:cstheme="minorHAnsi"/>
          <w:sz w:val="20"/>
          <w:szCs w:val="20"/>
        </w:rPr>
      </w:pPr>
      <w:r w:rsidRPr="001D028A">
        <w:rPr>
          <w:rFonts w:eastAsia="Times New Roman" w:cstheme="minorHAnsi"/>
          <w:sz w:val="20"/>
          <w:szCs w:val="20"/>
        </w:rPr>
        <w:t xml:space="preserve">US Food and Drug Administration, </w:t>
      </w:r>
      <w:hyperlink r:id="rId204" w:history="1">
        <w:r w:rsidRPr="001D028A">
          <w:rPr>
            <w:rStyle w:val="Hyperlink"/>
            <w:rFonts w:eastAsia="Times New Roman" w:cstheme="minorHAnsi"/>
            <w:i/>
            <w:sz w:val="20"/>
            <w:szCs w:val="20"/>
          </w:rPr>
          <w:t>Changes to the Nutrition Facts Label</w:t>
        </w:r>
      </w:hyperlink>
      <w:r w:rsidRPr="001D028A">
        <w:rPr>
          <w:rFonts w:eastAsia="Times New Roman" w:cstheme="minorHAnsi"/>
          <w:i/>
          <w:sz w:val="20"/>
          <w:szCs w:val="20"/>
        </w:rPr>
        <w:t xml:space="preserve">, </w:t>
      </w:r>
      <w:r w:rsidRPr="001D028A">
        <w:rPr>
          <w:rFonts w:eastAsia="Times New Roman" w:cstheme="minorHAnsi"/>
          <w:sz w:val="20"/>
          <w:szCs w:val="20"/>
        </w:rPr>
        <w:t>viewed on 17 January 2019.</w:t>
      </w:r>
      <w:r w:rsidRPr="001D028A">
        <w:rPr>
          <w:rFonts w:eastAsia="Times New Roman" w:cstheme="minorHAnsi"/>
          <w:i/>
          <w:sz w:val="20"/>
          <w:szCs w:val="20"/>
        </w:rPr>
        <w:t xml:space="preserve"> </w:t>
      </w:r>
    </w:p>
    <w:p w14:paraId="2F732575" w14:textId="77777777" w:rsidR="00C52B5B" w:rsidRPr="001D028A" w:rsidRDefault="00C52B5B" w:rsidP="00C52B5B">
      <w:pPr>
        <w:widowControl w:val="0"/>
        <w:autoSpaceDE w:val="0"/>
        <w:autoSpaceDN w:val="0"/>
        <w:adjustRightInd w:val="0"/>
        <w:rPr>
          <w:rFonts w:eastAsia="Times New Roman" w:cstheme="minorHAnsi"/>
          <w:i/>
          <w:sz w:val="20"/>
          <w:szCs w:val="20"/>
        </w:rPr>
      </w:pPr>
    </w:p>
    <w:p w14:paraId="6F70BB70" w14:textId="77777777" w:rsidR="00C52B5B" w:rsidRPr="001D028A" w:rsidRDefault="00C52B5B" w:rsidP="00C52B5B">
      <w:pPr>
        <w:rPr>
          <w:rFonts w:cstheme="minorHAnsi"/>
          <w:b/>
          <w:bCs/>
          <w:sz w:val="20"/>
          <w:szCs w:val="20"/>
        </w:rPr>
      </w:pPr>
      <w:r w:rsidRPr="001D028A">
        <w:rPr>
          <w:rFonts w:cstheme="minorHAnsi"/>
          <w:b/>
          <w:bCs/>
          <w:sz w:val="20"/>
          <w:szCs w:val="20"/>
        </w:rPr>
        <w:t>Other - Government reports, guidelines, policy papers</w:t>
      </w:r>
    </w:p>
    <w:p w14:paraId="52D3B1E5" w14:textId="77777777" w:rsidR="00C52B5B" w:rsidRPr="001D028A" w:rsidRDefault="00C52B5B" w:rsidP="00C52B5B">
      <w:pPr>
        <w:pStyle w:val="NoSpacing"/>
        <w:rPr>
          <w:rFonts w:cstheme="minorHAnsi"/>
          <w:iCs/>
          <w:sz w:val="20"/>
          <w:szCs w:val="20"/>
          <w:lang w:val="en-GB"/>
        </w:rPr>
      </w:pPr>
    </w:p>
    <w:p w14:paraId="1E5C81EC" w14:textId="77777777" w:rsidR="00C52B5B" w:rsidRPr="001D028A" w:rsidRDefault="00C52B5B" w:rsidP="00C52B5B">
      <w:pPr>
        <w:pStyle w:val="NoSpacing"/>
        <w:rPr>
          <w:rFonts w:cstheme="minorHAnsi"/>
          <w:iCs/>
          <w:sz w:val="20"/>
          <w:szCs w:val="20"/>
          <w:lang w:val="en-GB"/>
        </w:rPr>
      </w:pPr>
      <w:r w:rsidRPr="001D028A">
        <w:rPr>
          <w:rFonts w:cstheme="minorHAnsi"/>
          <w:iCs/>
          <w:sz w:val="20"/>
          <w:szCs w:val="20"/>
          <w:lang w:val="en-GB"/>
        </w:rPr>
        <w:t xml:space="preserve">Australia and New Zealand Ministerial Forum on Food Regulation, </w:t>
      </w:r>
      <w:r w:rsidRPr="001D028A">
        <w:rPr>
          <w:rFonts w:cstheme="minorHAnsi"/>
          <w:i/>
          <w:iCs/>
          <w:sz w:val="20"/>
          <w:szCs w:val="20"/>
          <w:lang w:val="en-GB"/>
        </w:rPr>
        <w:t>Australia and New Zealand Ministerial Forum on Food Regulation communiqués</w:t>
      </w:r>
      <w:r w:rsidRPr="001D028A">
        <w:rPr>
          <w:rFonts w:cstheme="minorHAnsi"/>
          <w:iCs/>
          <w:sz w:val="20"/>
          <w:szCs w:val="20"/>
          <w:lang w:val="en-GB"/>
        </w:rPr>
        <w:t>, viewed 14 August 2017.</w:t>
      </w:r>
    </w:p>
    <w:p w14:paraId="5DF10B81" w14:textId="77777777" w:rsidR="00C52B5B" w:rsidRPr="001D028A" w:rsidRDefault="00C52B5B" w:rsidP="00C52B5B">
      <w:pPr>
        <w:pStyle w:val="NoSpacing"/>
        <w:rPr>
          <w:rFonts w:cstheme="minorHAnsi"/>
          <w:iCs/>
          <w:sz w:val="20"/>
          <w:szCs w:val="20"/>
          <w:lang w:val="en-GB"/>
        </w:rPr>
      </w:pPr>
    </w:p>
    <w:p w14:paraId="03534CBA"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Australia and New Zealand Ministerial Forum on Food Regulation,</w:t>
      </w:r>
      <w:r w:rsidRPr="001D028A">
        <w:rPr>
          <w:rFonts w:cstheme="minorHAnsi"/>
          <w:i/>
          <w:sz w:val="20"/>
          <w:szCs w:val="20"/>
          <w:lang w:val="en-GB"/>
        </w:rPr>
        <w:t xml:space="preserve"> Terms of Reference for the Five Year Review of the Health Star Rating System</w:t>
      </w:r>
      <w:r w:rsidRPr="001D028A">
        <w:rPr>
          <w:rFonts w:cstheme="minorHAnsi"/>
          <w:sz w:val="20"/>
          <w:szCs w:val="20"/>
          <w:lang w:val="en-GB"/>
        </w:rPr>
        <w:t xml:space="preserve">, version 6, viewed 24 July 2017. </w:t>
      </w:r>
    </w:p>
    <w:p w14:paraId="2DB32E86" w14:textId="77777777" w:rsidR="00C52B5B" w:rsidRPr="001D028A" w:rsidRDefault="00C52B5B" w:rsidP="00C52B5B">
      <w:pPr>
        <w:pStyle w:val="NoSpacing"/>
        <w:rPr>
          <w:rFonts w:cstheme="minorHAnsi"/>
          <w:sz w:val="20"/>
          <w:szCs w:val="20"/>
          <w:lang w:val="en-GB"/>
        </w:rPr>
      </w:pPr>
    </w:p>
    <w:p w14:paraId="4E0C91F0" w14:textId="77777777" w:rsidR="00C52B5B" w:rsidRPr="001D028A" w:rsidRDefault="00C52B5B" w:rsidP="00C52B5B">
      <w:pPr>
        <w:pStyle w:val="NoSpacing"/>
        <w:rPr>
          <w:rFonts w:cstheme="minorHAnsi"/>
          <w:sz w:val="20"/>
          <w:szCs w:val="20"/>
        </w:rPr>
      </w:pPr>
      <w:r w:rsidRPr="001D028A">
        <w:rPr>
          <w:rFonts w:cstheme="minorHAnsi"/>
          <w:sz w:val="20"/>
          <w:szCs w:val="20"/>
          <w:lang w:val="en-GB"/>
        </w:rPr>
        <w:t>Blewett, N, Goddard, N, Pettigrew, S, Reynolds, C &amp; Yeatman, H 2011,</w:t>
      </w:r>
      <w:r w:rsidRPr="001D028A">
        <w:rPr>
          <w:rFonts w:cstheme="minorHAnsi"/>
          <w:i/>
          <w:iCs/>
          <w:sz w:val="20"/>
          <w:szCs w:val="20"/>
          <w:lang w:val="en-GB"/>
        </w:rPr>
        <w:t xml:space="preserve"> Labelling logic - the final report of the review of food labelling law and policy</w:t>
      </w:r>
      <w:r w:rsidRPr="001D028A">
        <w:rPr>
          <w:rFonts w:cstheme="minorHAnsi"/>
          <w:sz w:val="20"/>
          <w:szCs w:val="20"/>
          <w:lang w:val="en-GB"/>
        </w:rPr>
        <w:t>, Canberra, Commonwealth of Australia.</w:t>
      </w:r>
    </w:p>
    <w:p w14:paraId="53478B10" w14:textId="77777777" w:rsidR="00C52B5B" w:rsidRPr="001D028A" w:rsidRDefault="00C52B5B" w:rsidP="00C52B5B">
      <w:pPr>
        <w:pStyle w:val="NoSpacing"/>
        <w:rPr>
          <w:rFonts w:cstheme="minorHAnsi"/>
          <w:sz w:val="20"/>
          <w:szCs w:val="20"/>
          <w:lang w:val="en-GB"/>
        </w:rPr>
      </w:pPr>
    </w:p>
    <w:p w14:paraId="7AAECDB5"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Codex Alimentarius Commission 2017, </w:t>
      </w:r>
      <w:r w:rsidRPr="001D028A">
        <w:rPr>
          <w:rFonts w:eastAsia="Times New Roman" w:cstheme="minorHAnsi"/>
          <w:i/>
          <w:iCs/>
          <w:sz w:val="20"/>
          <w:szCs w:val="20"/>
        </w:rPr>
        <w:t>Discussion Paper on Consideration of Issues Regarding Front-of-Pack Nutrition Labelling</w:t>
      </w:r>
      <w:r w:rsidRPr="001D028A">
        <w:rPr>
          <w:rFonts w:eastAsia="Times New Roman" w:cstheme="minorHAnsi"/>
          <w:sz w:val="20"/>
          <w:szCs w:val="20"/>
        </w:rPr>
        <w:t>, Agenda Item 7 CX/FL 17/44/7, Codex Committee on Food Labelling Forty-fourth session, Paraguay, 16-20 October.</w:t>
      </w:r>
    </w:p>
    <w:p w14:paraId="1F16A459" w14:textId="77777777" w:rsidR="00C52B5B" w:rsidRPr="001D028A" w:rsidRDefault="00C52B5B" w:rsidP="00C52B5B">
      <w:pPr>
        <w:pStyle w:val="NoSpacing"/>
        <w:rPr>
          <w:rFonts w:eastAsia="Times New Roman" w:cstheme="minorHAnsi"/>
          <w:sz w:val="20"/>
          <w:szCs w:val="20"/>
        </w:rPr>
      </w:pPr>
    </w:p>
    <w:p w14:paraId="42ABAD18"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Codex Alimentarius Commission, </w:t>
      </w:r>
      <w:r w:rsidRPr="001D028A">
        <w:rPr>
          <w:rFonts w:eastAsia="Times New Roman" w:cstheme="minorHAnsi"/>
          <w:i/>
          <w:iCs/>
          <w:sz w:val="20"/>
          <w:szCs w:val="20"/>
        </w:rPr>
        <w:t>Codex Appendix III – Stocktake of FOPL systems</w:t>
      </w:r>
      <w:r w:rsidRPr="001D028A">
        <w:rPr>
          <w:rFonts w:eastAsia="Times New Roman" w:cstheme="minorHAnsi"/>
          <w:sz w:val="20"/>
          <w:szCs w:val="20"/>
        </w:rPr>
        <w:t xml:space="preserve"> (excel spreadsheet).</w:t>
      </w:r>
    </w:p>
    <w:p w14:paraId="4F1C457D" w14:textId="77777777" w:rsidR="00C52B5B" w:rsidRPr="001D028A" w:rsidRDefault="00C52B5B" w:rsidP="00C52B5B">
      <w:pPr>
        <w:pStyle w:val="NoSpacing"/>
        <w:rPr>
          <w:rFonts w:cstheme="minorHAnsi"/>
          <w:sz w:val="20"/>
          <w:szCs w:val="20"/>
          <w:lang w:val="en-GB"/>
        </w:rPr>
      </w:pPr>
    </w:p>
    <w:p w14:paraId="0AA2A91A"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Codex Alimentarius International Food Standards 2017, </w:t>
      </w:r>
      <w:hyperlink r:id="rId205" w:history="1">
        <w:r w:rsidRPr="001D028A">
          <w:rPr>
            <w:rStyle w:val="Hyperlink"/>
            <w:rFonts w:eastAsia="Times New Roman" w:cstheme="minorHAnsi"/>
            <w:i/>
            <w:iCs/>
            <w:sz w:val="20"/>
            <w:szCs w:val="20"/>
          </w:rPr>
          <w:t>Guidelines of Nutrition Labelling CAC/GL 2-1985</w:t>
        </w:r>
      </w:hyperlink>
      <w:r w:rsidRPr="001D028A">
        <w:rPr>
          <w:rFonts w:eastAsia="Times New Roman" w:cstheme="minorHAnsi"/>
          <w:sz w:val="20"/>
          <w:szCs w:val="20"/>
        </w:rPr>
        <w:t>, adopted in 2011, revised in 2013, 2015, 2016 and 2017.</w:t>
      </w:r>
    </w:p>
    <w:p w14:paraId="1D3DF203" w14:textId="77777777" w:rsidR="00C52B5B" w:rsidRPr="001D028A" w:rsidRDefault="00C52B5B" w:rsidP="00C52B5B">
      <w:pPr>
        <w:pStyle w:val="NoSpacing"/>
        <w:rPr>
          <w:rFonts w:cstheme="minorHAnsi"/>
          <w:sz w:val="20"/>
          <w:szCs w:val="20"/>
          <w:lang w:val="en-GB"/>
        </w:rPr>
      </w:pPr>
    </w:p>
    <w:p w14:paraId="6C7A0CF7"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Commonwealth Department of Health 2016, </w:t>
      </w:r>
      <w:hyperlink r:id="rId206" w:history="1">
        <w:r w:rsidRPr="001D028A">
          <w:rPr>
            <w:rStyle w:val="Hyperlink"/>
            <w:rFonts w:cstheme="minorHAnsi"/>
            <w:i/>
            <w:iCs/>
            <w:sz w:val="20"/>
            <w:szCs w:val="20"/>
            <w:lang w:val="en-GB"/>
          </w:rPr>
          <w:t>Guide for industry to the Health Star Rating Calculator</w:t>
        </w:r>
      </w:hyperlink>
      <w:r w:rsidRPr="001D028A">
        <w:rPr>
          <w:rFonts w:cstheme="minorHAnsi"/>
          <w:i/>
          <w:iCs/>
          <w:sz w:val="20"/>
          <w:szCs w:val="20"/>
          <w:lang w:val="en-GB"/>
        </w:rPr>
        <w:t xml:space="preserve"> (HSRC)</w:t>
      </w:r>
      <w:r w:rsidRPr="001D028A">
        <w:rPr>
          <w:rFonts w:cstheme="minorHAnsi"/>
          <w:iCs/>
          <w:sz w:val="20"/>
          <w:szCs w:val="20"/>
          <w:lang w:val="en-GB"/>
        </w:rPr>
        <w:t xml:space="preserve">, version 5, </w:t>
      </w:r>
      <w:r w:rsidRPr="001D028A">
        <w:rPr>
          <w:rFonts w:cstheme="minorHAnsi"/>
          <w:sz w:val="20"/>
          <w:szCs w:val="20"/>
          <w:lang w:val="en-GB"/>
        </w:rPr>
        <w:t>Canberra.</w:t>
      </w:r>
    </w:p>
    <w:p w14:paraId="2150628F" w14:textId="77777777" w:rsidR="00C52B5B" w:rsidRPr="001D028A" w:rsidRDefault="00C52B5B" w:rsidP="00C52B5B">
      <w:pPr>
        <w:pStyle w:val="NoSpacing"/>
        <w:rPr>
          <w:rFonts w:cstheme="minorHAnsi"/>
          <w:sz w:val="20"/>
          <w:szCs w:val="20"/>
          <w:lang w:val="en-GB"/>
        </w:rPr>
      </w:pPr>
    </w:p>
    <w:p w14:paraId="23E1C11F" w14:textId="77777777" w:rsidR="00C52B5B" w:rsidRPr="001D028A" w:rsidRDefault="00C52B5B" w:rsidP="00C52B5B">
      <w:pPr>
        <w:pStyle w:val="NoSpacing"/>
        <w:rPr>
          <w:rFonts w:cstheme="minorHAnsi"/>
          <w:color w:val="000000" w:themeColor="text1"/>
          <w:sz w:val="20"/>
          <w:szCs w:val="20"/>
          <w:lang w:val="en-GB"/>
        </w:rPr>
      </w:pPr>
      <w:r w:rsidRPr="001D028A">
        <w:rPr>
          <w:rFonts w:cstheme="minorHAnsi"/>
          <w:iCs/>
          <w:color w:val="000000" w:themeColor="text1"/>
          <w:sz w:val="20"/>
          <w:szCs w:val="20"/>
          <w:lang w:val="en-GB"/>
        </w:rPr>
        <w:t>Commonwealth Department of Health 2017</w:t>
      </w:r>
      <w:r w:rsidRPr="001D028A">
        <w:rPr>
          <w:rFonts w:eastAsia="Times New Roman" w:cstheme="minorHAnsi"/>
          <w:color w:val="000000" w:themeColor="text1"/>
          <w:sz w:val="20"/>
          <w:szCs w:val="20"/>
          <w:shd w:val="clear" w:color="auto" w:fill="FFFFFF"/>
          <w:lang w:val="en-GB" w:eastAsia="en-GB"/>
        </w:rPr>
        <w:t xml:space="preserve">, </w:t>
      </w:r>
      <w:r w:rsidRPr="001D028A">
        <w:rPr>
          <w:rFonts w:eastAsia="Times New Roman" w:cstheme="minorHAnsi"/>
          <w:i/>
          <w:color w:val="000000" w:themeColor="text1"/>
          <w:sz w:val="20"/>
          <w:szCs w:val="20"/>
          <w:shd w:val="clear" w:color="auto" w:fill="FFFFFF"/>
          <w:lang w:val="en-GB" w:eastAsia="en-GB"/>
        </w:rPr>
        <w:t>Health Star Rating Calculator v 3.3 (released 20 January 2015</w:t>
      </w:r>
      <w:r w:rsidRPr="001D028A">
        <w:rPr>
          <w:rFonts w:eastAsia="Times New Roman" w:cstheme="minorHAnsi"/>
          <w:color w:val="000000" w:themeColor="text1"/>
          <w:sz w:val="20"/>
          <w:szCs w:val="20"/>
          <w:shd w:val="clear" w:color="auto" w:fill="FFFFFF"/>
          <w:lang w:val="en-GB" w:eastAsia="en-GB"/>
        </w:rPr>
        <w:t>).</w:t>
      </w:r>
    </w:p>
    <w:p w14:paraId="26BA8C71" w14:textId="77777777" w:rsidR="00C52B5B" w:rsidRPr="001D028A" w:rsidRDefault="00C52B5B" w:rsidP="00C52B5B">
      <w:pPr>
        <w:pStyle w:val="NoSpacing"/>
        <w:rPr>
          <w:rFonts w:cstheme="minorHAnsi"/>
          <w:sz w:val="20"/>
          <w:szCs w:val="20"/>
          <w:lang w:val="en-GB"/>
        </w:rPr>
      </w:pPr>
    </w:p>
    <w:p w14:paraId="5DAA9E25"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Commonwealth Department of Health 2016, </w:t>
      </w:r>
      <w:hyperlink r:id="rId207" w:history="1">
        <w:r w:rsidRPr="001D028A">
          <w:rPr>
            <w:rStyle w:val="Hyperlink"/>
            <w:rFonts w:cstheme="minorHAnsi"/>
            <w:i/>
            <w:iCs/>
            <w:sz w:val="20"/>
            <w:szCs w:val="20"/>
            <w:lang w:val="en-GB"/>
          </w:rPr>
          <w:t>Health Star Rating System Style Guide</w:t>
        </w:r>
      </w:hyperlink>
      <w:r w:rsidRPr="001D028A">
        <w:rPr>
          <w:rFonts w:cstheme="minorHAnsi"/>
          <w:i/>
          <w:iCs/>
          <w:sz w:val="20"/>
          <w:szCs w:val="20"/>
          <w:lang w:val="en-GB"/>
        </w:rPr>
        <w:t>,</w:t>
      </w:r>
      <w:r w:rsidRPr="001D028A">
        <w:rPr>
          <w:rFonts w:cstheme="minorHAnsi"/>
          <w:iCs/>
          <w:sz w:val="20"/>
          <w:szCs w:val="20"/>
          <w:lang w:val="en-GB"/>
        </w:rPr>
        <w:t xml:space="preserve"> version 4</w:t>
      </w:r>
      <w:r w:rsidRPr="001D028A">
        <w:rPr>
          <w:rFonts w:cstheme="minorHAnsi"/>
          <w:sz w:val="20"/>
          <w:szCs w:val="20"/>
          <w:lang w:val="en-GB"/>
        </w:rPr>
        <w:t>.</w:t>
      </w:r>
    </w:p>
    <w:p w14:paraId="7581DC23" w14:textId="77777777" w:rsidR="00C52B5B" w:rsidRPr="001D028A" w:rsidRDefault="00C52B5B" w:rsidP="00C52B5B">
      <w:pPr>
        <w:pStyle w:val="NoSpacing"/>
        <w:rPr>
          <w:rFonts w:cstheme="minorHAnsi"/>
          <w:sz w:val="20"/>
          <w:szCs w:val="20"/>
          <w:lang w:val="en-GB"/>
        </w:rPr>
      </w:pPr>
    </w:p>
    <w:p w14:paraId="11E71DBC" w14:textId="77777777" w:rsidR="00C52B5B" w:rsidRPr="001D028A" w:rsidRDefault="00C52B5B" w:rsidP="00C52B5B">
      <w:pPr>
        <w:autoSpaceDE w:val="0"/>
        <w:autoSpaceDN w:val="0"/>
        <w:adjustRightInd w:val="0"/>
        <w:rPr>
          <w:rFonts w:cstheme="minorHAnsi"/>
          <w:sz w:val="20"/>
          <w:szCs w:val="20"/>
          <w:lang w:val="en-GB"/>
        </w:rPr>
      </w:pPr>
      <w:r w:rsidRPr="001D028A">
        <w:rPr>
          <w:rFonts w:cstheme="minorHAnsi"/>
          <w:sz w:val="20"/>
          <w:szCs w:val="20"/>
          <w:lang w:val="en-GB"/>
        </w:rPr>
        <w:t xml:space="preserve">Dunford, E, Cobcroft, M, Thomas, M, &amp; Wu, J.H. 2015, </w:t>
      </w:r>
      <w:r w:rsidRPr="001D028A">
        <w:rPr>
          <w:rFonts w:cstheme="minorHAnsi"/>
          <w:i/>
          <w:iCs/>
          <w:sz w:val="20"/>
          <w:szCs w:val="20"/>
          <w:lang w:val="en-GB"/>
        </w:rPr>
        <w:t>Technical Report: Alignment of NSW Healthy Food Provision Policy with the Health Star Rating System</w:t>
      </w:r>
      <w:r w:rsidRPr="001D028A">
        <w:rPr>
          <w:rFonts w:cstheme="minorHAnsi"/>
          <w:sz w:val="20"/>
          <w:szCs w:val="20"/>
          <w:lang w:val="en-GB"/>
        </w:rPr>
        <w:t>, NSW Ministry of Health, Sydney.</w:t>
      </w:r>
    </w:p>
    <w:p w14:paraId="6A6C61E0" w14:textId="77777777" w:rsidR="00C52B5B" w:rsidRPr="001D028A" w:rsidRDefault="00C52B5B" w:rsidP="00C52B5B">
      <w:pPr>
        <w:pStyle w:val="NoSpacing"/>
        <w:rPr>
          <w:rFonts w:cstheme="minorHAnsi"/>
          <w:sz w:val="20"/>
          <w:szCs w:val="20"/>
          <w:lang w:val="en-GB"/>
        </w:rPr>
      </w:pPr>
    </w:p>
    <w:p w14:paraId="5AF3D180"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Food Standards Australia New Zealand 2017, </w:t>
      </w:r>
      <w:hyperlink r:id="rId208" w:history="1">
        <w:r w:rsidRPr="001D028A">
          <w:rPr>
            <w:rStyle w:val="Hyperlink"/>
            <w:rFonts w:cstheme="minorHAnsi"/>
            <w:i/>
            <w:sz w:val="20"/>
            <w:szCs w:val="20"/>
            <w:lang w:val="en-GB"/>
          </w:rPr>
          <w:t>International sugar labelling approaches</w:t>
        </w:r>
      </w:hyperlink>
      <w:r w:rsidRPr="001D028A">
        <w:rPr>
          <w:rFonts w:cstheme="minorHAnsi"/>
          <w:sz w:val="20"/>
          <w:szCs w:val="20"/>
          <w:lang w:val="en-GB"/>
        </w:rPr>
        <w:t>, viewed on 10 January 2019.</w:t>
      </w:r>
    </w:p>
    <w:p w14:paraId="56B8F065" w14:textId="77777777" w:rsidR="00C52B5B" w:rsidRPr="001D028A" w:rsidRDefault="00C52B5B" w:rsidP="00C52B5B">
      <w:pPr>
        <w:pStyle w:val="NoSpacing"/>
        <w:rPr>
          <w:rFonts w:cstheme="minorHAnsi"/>
          <w:sz w:val="20"/>
          <w:szCs w:val="20"/>
          <w:lang w:val="en-GB"/>
        </w:rPr>
      </w:pPr>
    </w:p>
    <w:p w14:paraId="0FEB24D1" w14:textId="77777777" w:rsidR="00C52B5B" w:rsidRPr="001D028A" w:rsidRDefault="00C52B5B" w:rsidP="00C52B5B">
      <w:pPr>
        <w:pStyle w:val="NoSpacing"/>
        <w:rPr>
          <w:rFonts w:cstheme="minorHAnsi"/>
          <w:i/>
          <w:iCs/>
          <w:sz w:val="20"/>
          <w:szCs w:val="20"/>
          <w:lang w:val="en-GB"/>
        </w:rPr>
      </w:pPr>
      <w:r w:rsidRPr="001D028A">
        <w:rPr>
          <w:rFonts w:cstheme="minorHAnsi"/>
          <w:sz w:val="20"/>
          <w:szCs w:val="20"/>
          <w:lang w:val="en-GB"/>
        </w:rPr>
        <w:t xml:space="preserve">Food Standards Australia New Zealand, </w:t>
      </w:r>
      <w:hyperlink r:id="rId209" w:history="1">
        <w:r w:rsidRPr="001D028A">
          <w:rPr>
            <w:rStyle w:val="Hyperlink"/>
            <w:rFonts w:cstheme="minorHAnsi"/>
            <w:i/>
            <w:iCs/>
            <w:sz w:val="20"/>
            <w:szCs w:val="20"/>
            <w:lang w:val="en-GB"/>
          </w:rPr>
          <w:t>Determining the amount of added sugars and free sugars in foods listed in the AUSNUT 2011-13 dataset</w:t>
        </w:r>
      </w:hyperlink>
      <w:r w:rsidRPr="001D028A">
        <w:rPr>
          <w:rFonts w:cstheme="minorHAnsi"/>
          <w:i/>
          <w:iCs/>
          <w:sz w:val="20"/>
          <w:szCs w:val="20"/>
          <w:lang w:val="en-GB"/>
        </w:rPr>
        <w:t xml:space="preserve">, </w:t>
      </w:r>
      <w:r w:rsidRPr="001D028A">
        <w:rPr>
          <w:rFonts w:cstheme="minorHAnsi"/>
          <w:iCs/>
          <w:sz w:val="20"/>
          <w:szCs w:val="20"/>
          <w:lang w:val="en-GB"/>
        </w:rPr>
        <w:t>viewed on 8 January 2019.</w:t>
      </w:r>
      <w:r w:rsidRPr="001D028A">
        <w:rPr>
          <w:rFonts w:cstheme="minorHAnsi"/>
          <w:i/>
          <w:iCs/>
          <w:sz w:val="20"/>
          <w:szCs w:val="20"/>
          <w:lang w:val="en-GB"/>
        </w:rPr>
        <w:t xml:space="preserve"> </w:t>
      </w:r>
    </w:p>
    <w:p w14:paraId="4AF01C66" w14:textId="77777777" w:rsidR="00C52B5B" w:rsidRPr="001D028A" w:rsidRDefault="00C52B5B" w:rsidP="00C52B5B">
      <w:pPr>
        <w:pStyle w:val="NoSpacing"/>
        <w:rPr>
          <w:rFonts w:cstheme="minorHAnsi"/>
          <w:sz w:val="20"/>
          <w:szCs w:val="20"/>
          <w:lang w:val="en-GB"/>
        </w:rPr>
      </w:pPr>
    </w:p>
    <w:p w14:paraId="787E50EA" w14:textId="77777777" w:rsidR="00C52B5B" w:rsidRPr="001D028A" w:rsidRDefault="00C52B5B" w:rsidP="00C52B5B">
      <w:pPr>
        <w:pStyle w:val="NoSpacing"/>
        <w:rPr>
          <w:rFonts w:cstheme="minorHAnsi"/>
          <w:sz w:val="20"/>
          <w:szCs w:val="20"/>
          <w:lang w:val="en-GB"/>
        </w:rPr>
      </w:pPr>
      <w:r w:rsidRPr="001D028A">
        <w:rPr>
          <w:rFonts w:cstheme="minorHAnsi"/>
          <w:sz w:val="20"/>
          <w:szCs w:val="20"/>
        </w:rPr>
        <w:t xml:space="preserve">Food Standards Australian New Zealand, 2018, </w:t>
      </w:r>
      <w:hyperlink r:id="rId210" w:history="1">
        <w:r w:rsidRPr="001D028A">
          <w:rPr>
            <w:rStyle w:val="Hyperlink"/>
            <w:rFonts w:cstheme="minorHAnsi"/>
            <w:i/>
            <w:sz w:val="20"/>
            <w:szCs w:val="20"/>
          </w:rPr>
          <w:t>P1047 – Review of regulatory nutrient reference values</w:t>
        </w:r>
      </w:hyperlink>
      <w:r w:rsidRPr="001D028A">
        <w:rPr>
          <w:rFonts w:cstheme="minorHAnsi"/>
          <w:sz w:val="20"/>
          <w:szCs w:val="20"/>
        </w:rPr>
        <w:t>, accessed 29 January 2019.</w:t>
      </w:r>
    </w:p>
    <w:p w14:paraId="20F31560"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Food Regulation Secretariat 2013, </w:t>
      </w:r>
      <w:r w:rsidRPr="001D028A">
        <w:rPr>
          <w:rFonts w:cstheme="minorHAnsi"/>
          <w:i/>
          <w:sz w:val="20"/>
          <w:szCs w:val="20"/>
          <w:lang w:val="en-GB"/>
        </w:rPr>
        <w:t>Front-of-pack labelling update 14 June 2013</w:t>
      </w:r>
      <w:r w:rsidRPr="001D028A">
        <w:rPr>
          <w:rFonts w:cstheme="minorHAnsi"/>
          <w:sz w:val="20"/>
          <w:szCs w:val="20"/>
          <w:lang w:val="en-GB"/>
        </w:rPr>
        <w:t>, viewed 13 July 2017.</w:t>
      </w:r>
    </w:p>
    <w:p w14:paraId="2887BACD" w14:textId="77777777" w:rsidR="00C52B5B" w:rsidRPr="001D028A" w:rsidRDefault="00C52B5B" w:rsidP="00C52B5B">
      <w:pPr>
        <w:pStyle w:val="NoSpacing"/>
        <w:rPr>
          <w:rFonts w:cstheme="minorHAnsi"/>
          <w:iCs/>
          <w:sz w:val="20"/>
          <w:szCs w:val="20"/>
          <w:lang w:val="en-GB"/>
        </w:rPr>
      </w:pPr>
    </w:p>
    <w:p w14:paraId="7A16036A" w14:textId="77777777" w:rsidR="00C52B5B" w:rsidRPr="001D028A" w:rsidRDefault="00C52B5B" w:rsidP="00C52B5B">
      <w:pPr>
        <w:pStyle w:val="NoSpacing"/>
        <w:rPr>
          <w:rFonts w:cstheme="minorHAnsi"/>
          <w:iCs/>
          <w:sz w:val="20"/>
          <w:szCs w:val="20"/>
          <w:lang w:val="en-GB"/>
        </w:rPr>
      </w:pPr>
      <w:r w:rsidRPr="001D028A">
        <w:rPr>
          <w:rFonts w:cstheme="minorHAnsi"/>
          <w:sz w:val="20"/>
          <w:szCs w:val="20"/>
        </w:rPr>
        <w:t xml:space="preserve">Food Regulation Secretariat, Joint Food Regulation System, 2018, </w:t>
      </w:r>
      <w:r w:rsidRPr="001D028A">
        <w:rPr>
          <w:rFonts w:cstheme="minorHAnsi"/>
          <w:i/>
          <w:sz w:val="20"/>
          <w:szCs w:val="20"/>
        </w:rPr>
        <w:t>Consultation Regulation Impact Statement: Labelling of sugars on packaged foods and drinks</w:t>
      </w:r>
      <w:r w:rsidRPr="001D028A">
        <w:rPr>
          <w:rFonts w:cstheme="minorHAnsi"/>
          <w:sz w:val="20"/>
          <w:szCs w:val="20"/>
        </w:rPr>
        <w:t>, Department of Health.</w:t>
      </w:r>
    </w:p>
    <w:p w14:paraId="398DFB82" w14:textId="77777777" w:rsidR="00C52B5B" w:rsidRPr="001D028A" w:rsidRDefault="00C52B5B" w:rsidP="00C52B5B">
      <w:pPr>
        <w:pStyle w:val="NoSpacing"/>
        <w:rPr>
          <w:rFonts w:cstheme="minorHAnsi"/>
          <w:iCs/>
          <w:sz w:val="20"/>
          <w:szCs w:val="20"/>
          <w:lang w:val="en-GB"/>
        </w:rPr>
      </w:pPr>
    </w:p>
    <w:p w14:paraId="16F689C3"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Hall &amp; Partners Open Mind 2014, </w:t>
      </w:r>
      <w:r w:rsidRPr="001D028A">
        <w:rPr>
          <w:rFonts w:cstheme="minorHAnsi"/>
          <w:i/>
          <w:sz w:val="20"/>
          <w:szCs w:val="20"/>
          <w:lang w:val="en-GB"/>
        </w:rPr>
        <w:t xml:space="preserve">FoPL Stage 2 Research – Measuring the impact of FoPL labelling on consumer food purchase choices, </w:t>
      </w:r>
      <w:r w:rsidRPr="001D028A">
        <w:rPr>
          <w:rFonts w:cstheme="minorHAnsi"/>
          <w:iCs/>
          <w:sz w:val="20"/>
          <w:szCs w:val="20"/>
          <w:lang w:val="en-GB"/>
        </w:rPr>
        <w:t>report submitted to the Commonwealth Department of Health, Canberra, April.</w:t>
      </w:r>
    </w:p>
    <w:p w14:paraId="0B0FC806" w14:textId="77777777" w:rsidR="00C52B5B" w:rsidRPr="001D028A" w:rsidRDefault="00C52B5B" w:rsidP="00C52B5B">
      <w:pPr>
        <w:pStyle w:val="NoSpacing"/>
        <w:rPr>
          <w:rFonts w:cstheme="minorHAnsi"/>
          <w:iCs/>
          <w:sz w:val="20"/>
          <w:szCs w:val="20"/>
          <w:lang w:val="en-GB"/>
        </w:rPr>
      </w:pPr>
    </w:p>
    <w:p w14:paraId="77793AE9" w14:textId="77777777" w:rsidR="00C52B5B" w:rsidRPr="001D028A" w:rsidRDefault="00C52B5B" w:rsidP="00C52B5B">
      <w:pPr>
        <w:pStyle w:val="NoSpacing"/>
        <w:rPr>
          <w:rFonts w:cstheme="minorHAnsi"/>
          <w:iCs/>
          <w:sz w:val="20"/>
          <w:szCs w:val="20"/>
          <w:lang w:val="en-GB"/>
        </w:rPr>
      </w:pPr>
      <w:r w:rsidRPr="001D028A">
        <w:rPr>
          <w:rFonts w:cstheme="minorHAnsi"/>
          <w:sz w:val="20"/>
          <w:szCs w:val="20"/>
          <w:lang w:val="en-GB"/>
        </w:rPr>
        <w:t xml:space="preserve">Hall &amp; Partners Open Mind 2013, </w:t>
      </w:r>
      <w:r w:rsidRPr="001D028A">
        <w:rPr>
          <w:rFonts w:cstheme="minorHAnsi"/>
          <w:i/>
          <w:sz w:val="20"/>
          <w:szCs w:val="20"/>
          <w:lang w:val="en-GB"/>
        </w:rPr>
        <w:t xml:space="preserve">Proposed Front-of-Pack Food Labelling Designs: Qualitative Research Outcomes, </w:t>
      </w:r>
      <w:r w:rsidRPr="001D028A">
        <w:rPr>
          <w:rFonts w:cstheme="minorHAnsi"/>
          <w:iCs/>
          <w:sz w:val="20"/>
          <w:szCs w:val="20"/>
          <w:lang w:val="en-GB"/>
        </w:rPr>
        <w:t>report submitted to the Commonwealth Department of Health and Ageing, Canberra, March.</w:t>
      </w:r>
    </w:p>
    <w:p w14:paraId="00D5E759" w14:textId="77777777" w:rsidR="00C52B5B" w:rsidRPr="001D028A" w:rsidRDefault="00C52B5B" w:rsidP="00C52B5B">
      <w:pPr>
        <w:pStyle w:val="NoSpacing"/>
        <w:rPr>
          <w:rFonts w:cstheme="minorHAnsi"/>
          <w:iCs/>
          <w:sz w:val="20"/>
          <w:szCs w:val="20"/>
          <w:lang w:val="en-GB"/>
        </w:rPr>
      </w:pPr>
    </w:p>
    <w:p w14:paraId="2918E79F"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Promotion Agency 2015, </w:t>
      </w:r>
      <w:r w:rsidRPr="001D028A">
        <w:rPr>
          <w:rFonts w:cstheme="minorHAnsi"/>
          <w:i/>
          <w:sz w:val="20"/>
          <w:szCs w:val="20"/>
          <w:lang w:val="en-GB"/>
        </w:rPr>
        <w:t>Health Star Consumer Research and Message Testing: Report commissioned by the Health Promotion Agency</w:t>
      </w:r>
      <w:r w:rsidRPr="001D028A">
        <w:rPr>
          <w:rFonts w:cstheme="minorHAnsi"/>
          <w:sz w:val="20"/>
          <w:szCs w:val="20"/>
          <w:lang w:val="en-GB"/>
        </w:rPr>
        <w:t>, report prepared by TNS New Zealand, Wellington.</w:t>
      </w:r>
    </w:p>
    <w:p w14:paraId="3B7A91A2" w14:textId="77777777" w:rsidR="00C52B5B" w:rsidRPr="001D028A" w:rsidRDefault="00C52B5B" w:rsidP="00C52B5B">
      <w:pPr>
        <w:pStyle w:val="NoSpacing"/>
        <w:rPr>
          <w:rFonts w:cstheme="minorHAnsi"/>
          <w:sz w:val="20"/>
          <w:szCs w:val="20"/>
          <w:lang w:val="en-GB"/>
        </w:rPr>
      </w:pPr>
    </w:p>
    <w:p w14:paraId="6831D525"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w:t>
      </w:r>
      <w:r w:rsidRPr="001D028A">
        <w:rPr>
          <w:rFonts w:cstheme="minorHAnsi"/>
          <w:i/>
          <w:sz w:val="20"/>
          <w:szCs w:val="20"/>
          <w:lang w:val="en-GB"/>
        </w:rPr>
        <w:t>Dispute Resolution Process</w:t>
      </w:r>
      <w:r w:rsidRPr="001D028A">
        <w:rPr>
          <w:rFonts w:cstheme="minorHAnsi"/>
          <w:sz w:val="20"/>
          <w:szCs w:val="20"/>
          <w:lang w:val="en-GB"/>
        </w:rPr>
        <w:t xml:space="preserve">, viewed 10 August 2017. </w:t>
      </w:r>
    </w:p>
    <w:p w14:paraId="5ACAD424" w14:textId="77777777" w:rsidR="00C52B5B" w:rsidRPr="001D028A" w:rsidRDefault="00C52B5B" w:rsidP="00C52B5B">
      <w:pPr>
        <w:pStyle w:val="NoSpacing"/>
        <w:rPr>
          <w:rFonts w:cstheme="minorHAnsi"/>
          <w:sz w:val="20"/>
          <w:szCs w:val="20"/>
          <w:lang w:val="en-GB"/>
        </w:rPr>
      </w:pPr>
    </w:p>
    <w:p w14:paraId="323951E7"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2017, </w:t>
      </w:r>
      <w:r w:rsidRPr="001D028A">
        <w:rPr>
          <w:rFonts w:cstheme="minorHAnsi"/>
          <w:i/>
          <w:sz w:val="20"/>
          <w:szCs w:val="20"/>
          <w:lang w:val="en-GB"/>
        </w:rPr>
        <w:t>Health Star Rating (HSR) - Five Year Review Timeline</w:t>
      </w:r>
      <w:r w:rsidRPr="001D028A">
        <w:rPr>
          <w:rFonts w:cstheme="minorHAnsi"/>
          <w:sz w:val="20"/>
          <w:szCs w:val="20"/>
          <w:lang w:val="en-GB"/>
        </w:rPr>
        <w:t>, viewed 10 August 2017.</w:t>
      </w:r>
    </w:p>
    <w:p w14:paraId="5C07E92D" w14:textId="77777777" w:rsidR="00C52B5B" w:rsidRPr="001D028A" w:rsidRDefault="00C52B5B" w:rsidP="00C52B5B">
      <w:pPr>
        <w:pStyle w:val="NoSpacing"/>
        <w:rPr>
          <w:rFonts w:cstheme="minorHAnsi"/>
          <w:sz w:val="20"/>
          <w:szCs w:val="20"/>
          <w:lang w:val="en-GB"/>
        </w:rPr>
      </w:pPr>
    </w:p>
    <w:p w14:paraId="36895085"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Health Star Rating Advisory Committee, </w:t>
      </w:r>
      <w:r w:rsidRPr="001D028A">
        <w:rPr>
          <w:rFonts w:cstheme="minorHAnsi"/>
          <w:i/>
          <w:iCs/>
          <w:sz w:val="20"/>
          <w:szCs w:val="20"/>
          <w:lang w:val="en-GB"/>
        </w:rPr>
        <w:t>Outcomes of meetings - Health Star Rating (HSR) Advisory Committee</w:t>
      </w:r>
      <w:r w:rsidRPr="001D028A">
        <w:rPr>
          <w:rFonts w:cstheme="minorHAnsi"/>
          <w:iCs/>
          <w:sz w:val="20"/>
          <w:szCs w:val="20"/>
          <w:lang w:val="en-GB"/>
        </w:rPr>
        <w:t>, viewed 14 August 2017.</w:t>
      </w:r>
    </w:p>
    <w:p w14:paraId="4CE2CABE" w14:textId="77777777" w:rsidR="00C52B5B" w:rsidRPr="001D028A" w:rsidRDefault="00C52B5B" w:rsidP="00C52B5B">
      <w:pPr>
        <w:pStyle w:val="NoSpacing"/>
        <w:rPr>
          <w:rFonts w:cstheme="minorHAnsi"/>
          <w:sz w:val="20"/>
          <w:szCs w:val="20"/>
          <w:lang w:val="en-GB"/>
        </w:rPr>
      </w:pPr>
    </w:p>
    <w:p w14:paraId="3388BF5A"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2016, </w:t>
      </w:r>
      <w:r w:rsidRPr="001D028A">
        <w:rPr>
          <w:rFonts w:cstheme="minorHAnsi"/>
          <w:i/>
          <w:iCs/>
          <w:sz w:val="20"/>
          <w:szCs w:val="20"/>
          <w:lang w:val="en-GB"/>
        </w:rPr>
        <w:t>Process for assessing a potential anomaly</w:t>
      </w:r>
      <w:r w:rsidRPr="001D028A">
        <w:rPr>
          <w:rFonts w:cstheme="minorHAnsi"/>
          <w:iCs/>
          <w:sz w:val="20"/>
          <w:szCs w:val="20"/>
          <w:lang w:val="en-GB"/>
        </w:rPr>
        <w:t>, version 3</w:t>
      </w:r>
      <w:r w:rsidRPr="001D028A">
        <w:rPr>
          <w:rFonts w:cstheme="minorHAnsi"/>
          <w:sz w:val="20"/>
          <w:szCs w:val="20"/>
          <w:lang w:val="en-GB"/>
        </w:rPr>
        <w:t>, viewed 10 August 2017.</w:t>
      </w:r>
    </w:p>
    <w:p w14:paraId="2021C1DB" w14:textId="77777777" w:rsidR="00C52B5B" w:rsidRPr="001D028A" w:rsidRDefault="00C52B5B" w:rsidP="00C52B5B">
      <w:pPr>
        <w:pStyle w:val="NoSpacing"/>
        <w:rPr>
          <w:rFonts w:cstheme="minorHAnsi"/>
          <w:sz w:val="20"/>
          <w:szCs w:val="20"/>
          <w:lang w:val="en-GB"/>
        </w:rPr>
      </w:pPr>
    </w:p>
    <w:p w14:paraId="4A16A016"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Health Star Rating Advisory Committee, </w:t>
      </w:r>
      <w:r w:rsidRPr="001D028A">
        <w:rPr>
          <w:rFonts w:cstheme="minorHAnsi"/>
          <w:i/>
          <w:iCs/>
          <w:sz w:val="20"/>
          <w:szCs w:val="20"/>
          <w:lang w:val="en-GB"/>
        </w:rPr>
        <w:t>Register of potential anomalies,</w:t>
      </w:r>
      <w:r w:rsidRPr="001D028A">
        <w:rPr>
          <w:rFonts w:cstheme="minorHAnsi"/>
          <w:iCs/>
          <w:sz w:val="20"/>
          <w:szCs w:val="20"/>
          <w:lang w:val="en-GB"/>
        </w:rPr>
        <w:t xml:space="preserve"> version 5</w:t>
      </w:r>
      <w:r w:rsidRPr="001D028A">
        <w:rPr>
          <w:rFonts w:cstheme="minorHAnsi"/>
          <w:sz w:val="20"/>
          <w:szCs w:val="20"/>
          <w:lang w:val="en-GB"/>
        </w:rPr>
        <w:t>, viewed 10 August 2017.</w:t>
      </w:r>
    </w:p>
    <w:p w14:paraId="6108484D" w14:textId="77777777" w:rsidR="00C52B5B" w:rsidRPr="001D028A" w:rsidRDefault="00C52B5B" w:rsidP="00C52B5B">
      <w:pPr>
        <w:pStyle w:val="NoSpacing"/>
        <w:rPr>
          <w:rFonts w:cstheme="minorHAnsi"/>
          <w:sz w:val="20"/>
          <w:szCs w:val="20"/>
          <w:lang w:val="en-GB"/>
        </w:rPr>
      </w:pPr>
    </w:p>
    <w:p w14:paraId="15CAA9C9"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Health Star Rating Advisory Committee, </w:t>
      </w:r>
      <w:r w:rsidRPr="001D028A">
        <w:rPr>
          <w:rFonts w:cstheme="minorHAnsi"/>
          <w:i/>
          <w:iCs/>
          <w:sz w:val="20"/>
          <w:szCs w:val="20"/>
          <w:lang w:val="en-GB"/>
        </w:rPr>
        <w:t>Stakeholder Workshops</w:t>
      </w:r>
      <w:r w:rsidRPr="001D028A">
        <w:rPr>
          <w:rFonts w:cstheme="minorHAnsi"/>
          <w:iCs/>
          <w:sz w:val="20"/>
          <w:szCs w:val="20"/>
          <w:lang w:val="en-GB"/>
        </w:rPr>
        <w:t>, viewed 11 August 2017.</w:t>
      </w:r>
    </w:p>
    <w:p w14:paraId="1AE04882" w14:textId="77777777" w:rsidR="00C52B5B" w:rsidRPr="001D028A" w:rsidRDefault="00C52B5B" w:rsidP="00C52B5B">
      <w:pPr>
        <w:pStyle w:val="NoSpacing"/>
        <w:rPr>
          <w:rFonts w:cstheme="minorHAnsi"/>
          <w:sz w:val="20"/>
          <w:szCs w:val="20"/>
          <w:lang w:val="en-GB"/>
        </w:rPr>
      </w:pPr>
    </w:p>
    <w:p w14:paraId="294A5774" w14:textId="77777777" w:rsidR="00C52B5B" w:rsidRPr="001D028A" w:rsidRDefault="00C52B5B" w:rsidP="00C52B5B">
      <w:pPr>
        <w:pStyle w:val="NoSpacing"/>
        <w:rPr>
          <w:rFonts w:cstheme="minorHAnsi"/>
          <w:iCs/>
          <w:sz w:val="20"/>
          <w:szCs w:val="20"/>
          <w:lang w:val="en-GB"/>
        </w:rPr>
      </w:pPr>
      <w:r w:rsidRPr="001D028A">
        <w:rPr>
          <w:rFonts w:cstheme="minorHAnsi"/>
          <w:iCs/>
          <w:sz w:val="20"/>
          <w:szCs w:val="20"/>
          <w:lang w:val="en-GB"/>
        </w:rPr>
        <w:t>Health Star Rating Advisory Committee</w:t>
      </w:r>
      <w:r w:rsidRPr="001D028A">
        <w:rPr>
          <w:rFonts w:cstheme="minorHAnsi"/>
          <w:i/>
          <w:iCs/>
          <w:sz w:val="20"/>
          <w:szCs w:val="20"/>
          <w:lang w:val="en-GB"/>
        </w:rPr>
        <w:t xml:space="preserve">, Terms of Reference - Health Star Rating Advisory Committee, </w:t>
      </w:r>
      <w:r w:rsidRPr="001D028A">
        <w:rPr>
          <w:rFonts w:cstheme="minorHAnsi"/>
          <w:iCs/>
          <w:sz w:val="20"/>
          <w:szCs w:val="20"/>
          <w:lang w:val="en-GB"/>
        </w:rPr>
        <w:t>viewed</w:t>
      </w:r>
      <w:r w:rsidRPr="001D028A">
        <w:rPr>
          <w:rFonts w:cstheme="minorHAnsi"/>
          <w:i/>
          <w:iCs/>
          <w:sz w:val="20"/>
          <w:szCs w:val="20"/>
          <w:lang w:val="en-GB"/>
        </w:rPr>
        <w:t xml:space="preserve"> </w:t>
      </w:r>
      <w:r w:rsidRPr="001D028A">
        <w:rPr>
          <w:rFonts w:cstheme="minorHAnsi"/>
          <w:iCs/>
          <w:sz w:val="20"/>
          <w:szCs w:val="20"/>
          <w:lang w:val="en-GB"/>
        </w:rPr>
        <w:t>10 August 2017.</w:t>
      </w:r>
    </w:p>
    <w:p w14:paraId="2409C7C5" w14:textId="77777777" w:rsidR="00C52B5B" w:rsidRPr="001D028A" w:rsidRDefault="00C52B5B" w:rsidP="00C52B5B">
      <w:pPr>
        <w:pStyle w:val="NoSpacing"/>
        <w:rPr>
          <w:rFonts w:cstheme="minorHAnsi"/>
          <w:i/>
          <w:sz w:val="20"/>
          <w:szCs w:val="20"/>
          <w:lang w:val="en-GB"/>
        </w:rPr>
      </w:pPr>
    </w:p>
    <w:p w14:paraId="2641A71C" w14:textId="77777777" w:rsidR="00C52B5B" w:rsidRPr="001D028A" w:rsidRDefault="00C52B5B" w:rsidP="00C52B5B">
      <w:pPr>
        <w:pStyle w:val="NoSpacing"/>
        <w:rPr>
          <w:rFonts w:cstheme="minorHAnsi"/>
          <w:sz w:val="20"/>
          <w:szCs w:val="20"/>
          <w:lang w:val="en-GB"/>
        </w:rPr>
      </w:pPr>
      <w:r w:rsidRPr="001D028A">
        <w:rPr>
          <w:rFonts w:cstheme="minorHAnsi"/>
          <w:iCs/>
          <w:sz w:val="20"/>
          <w:szCs w:val="20"/>
          <w:lang w:val="en-GB"/>
        </w:rPr>
        <w:t xml:space="preserve">Health Star Rating Technical Advisory Group, </w:t>
      </w:r>
      <w:r w:rsidRPr="001D028A">
        <w:rPr>
          <w:rFonts w:cstheme="minorHAnsi"/>
          <w:i/>
          <w:iCs/>
          <w:sz w:val="20"/>
          <w:szCs w:val="20"/>
          <w:lang w:val="en-GB"/>
        </w:rPr>
        <w:t xml:space="preserve">Health Star Rating Technical Advisory Group Terms of Reference, </w:t>
      </w:r>
      <w:r w:rsidRPr="001D028A">
        <w:rPr>
          <w:rFonts w:cstheme="minorHAnsi"/>
          <w:iCs/>
          <w:sz w:val="20"/>
          <w:szCs w:val="20"/>
          <w:lang w:val="en-GB"/>
        </w:rPr>
        <w:t>viewed 11 August 2017.</w:t>
      </w:r>
    </w:p>
    <w:p w14:paraId="3A945534" w14:textId="77777777" w:rsidR="00F97C01" w:rsidRPr="00F97C01" w:rsidRDefault="00F97C01" w:rsidP="00C52B5B">
      <w:pPr>
        <w:pStyle w:val="NoSpacing"/>
        <w:rPr>
          <w:rFonts w:cstheme="minorHAnsi"/>
          <w:sz w:val="20"/>
          <w:szCs w:val="20"/>
        </w:rPr>
      </w:pPr>
    </w:p>
    <w:p w14:paraId="3FB4AF25" w14:textId="738B1AE9" w:rsidR="00C52B5B" w:rsidRPr="00F97C01" w:rsidRDefault="00F97C01" w:rsidP="00C52B5B">
      <w:pPr>
        <w:pStyle w:val="NoSpacing"/>
        <w:rPr>
          <w:rFonts w:cstheme="minorHAnsi"/>
          <w:sz w:val="20"/>
          <w:szCs w:val="20"/>
        </w:rPr>
      </w:pPr>
      <w:r w:rsidRPr="00F97C01">
        <w:rPr>
          <w:rFonts w:cstheme="minorHAnsi"/>
          <w:sz w:val="20"/>
          <w:szCs w:val="20"/>
        </w:rPr>
        <w:t xml:space="preserve">Kelly B, Jewell J, 2018 </w:t>
      </w:r>
      <w:r w:rsidRPr="00F97C01">
        <w:rPr>
          <w:rFonts w:cstheme="minorHAnsi"/>
          <w:i/>
          <w:sz w:val="20"/>
          <w:szCs w:val="20"/>
        </w:rPr>
        <w:t>What is the evidence on the policy specifications, development processes and effectiveness of existing front-of-pack food labelling policies in the WHO European region?</w:t>
      </w:r>
      <w:r w:rsidRPr="00F97C01">
        <w:rPr>
          <w:rFonts w:cstheme="minorHAnsi"/>
          <w:sz w:val="20"/>
          <w:szCs w:val="20"/>
        </w:rPr>
        <w:t>, WHO Regional Office for Europe: Copenhagen.</w:t>
      </w:r>
    </w:p>
    <w:p w14:paraId="370FC87C" w14:textId="77777777" w:rsidR="00F97C01" w:rsidRPr="00F97C01" w:rsidRDefault="00F97C01" w:rsidP="00C52B5B">
      <w:pPr>
        <w:pStyle w:val="NoSpacing"/>
        <w:rPr>
          <w:rFonts w:cstheme="minorHAnsi"/>
          <w:sz w:val="20"/>
          <w:szCs w:val="20"/>
        </w:rPr>
      </w:pPr>
    </w:p>
    <w:p w14:paraId="11AFED58" w14:textId="77777777" w:rsidR="00C52B5B" w:rsidRPr="001D028A" w:rsidRDefault="00C52B5B" w:rsidP="00C52B5B">
      <w:pPr>
        <w:pStyle w:val="Default"/>
        <w:rPr>
          <w:rFonts w:asciiTheme="minorHAnsi" w:hAnsiTheme="minorHAnsi" w:cstheme="minorHAnsi"/>
          <w:color w:val="auto"/>
          <w:sz w:val="20"/>
          <w:szCs w:val="20"/>
          <w:lang w:val="en-AU"/>
        </w:rPr>
      </w:pPr>
      <w:r w:rsidRPr="001D028A">
        <w:rPr>
          <w:rFonts w:asciiTheme="minorHAnsi" w:hAnsiTheme="minorHAnsi" w:cstheme="minorHAnsi"/>
          <w:color w:val="auto"/>
          <w:sz w:val="20"/>
          <w:szCs w:val="20"/>
          <w:lang w:val="en-AU"/>
        </w:rPr>
        <w:t xml:space="preserve">New Zealand Ministry of Health, </w:t>
      </w:r>
      <w:r w:rsidRPr="001D028A">
        <w:rPr>
          <w:rFonts w:asciiTheme="minorHAnsi" w:hAnsiTheme="minorHAnsi" w:cstheme="minorHAnsi"/>
          <w:i/>
          <w:iCs/>
          <w:color w:val="auto"/>
          <w:sz w:val="20"/>
          <w:szCs w:val="20"/>
          <w:lang w:val="en-AU"/>
        </w:rPr>
        <w:t>Submission on The form of the food (‘as prepared)’ rules for the Health Star Rating system</w:t>
      </w:r>
      <w:r w:rsidRPr="001D028A">
        <w:rPr>
          <w:rFonts w:asciiTheme="minorHAnsi" w:hAnsiTheme="minorHAnsi" w:cstheme="minorHAnsi"/>
          <w:color w:val="auto"/>
          <w:sz w:val="20"/>
          <w:szCs w:val="20"/>
          <w:lang w:val="en-AU"/>
        </w:rPr>
        <w:t>.</w:t>
      </w:r>
    </w:p>
    <w:p w14:paraId="253106B6" w14:textId="77777777" w:rsidR="00C52B5B" w:rsidRPr="001D028A" w:rsidRDefault="00C52B5B" w:rsidP="00C52B5B">
      <w:pPr>
        <w:pStyle w:val="NoSpacing"/>
        <w:rPr>
          <w:rFonts w:cstheme="minorHAnsi"/>
          <w:sz w:val="20"/>
          <w:szCs w:val="20"/>
          <w:lang w:val="en-GB"/>
        </w:rPr>
      </w:pPr>
    </w:p>
    <w:p w14:paraId="64DB415E" w14:textId="4A33EA33" w:rsidR="00C52B5B" w:rsidRPr="001D028A" w:rsidRDefault="00C52B5B" w:rsidP="00C52B5B">
      <w:pPr>
        <w:rPr>
          <w:rFonts w:cstheme="minorHAnsi"/>
          <w:sz w:val="20"/>
          <w:szCs w:val="20"/>
        </w:rPr>
      </w:pPr>
      <w:r w:rsidRPr="001D028A">
        <w:rPr>
          <w:rFonts w:cstheme="minorHAnsi"/>
          <w:sz w:val="20"/>
          <w:szCs w:val="20"/>
        </w:rPr>
        <w:t xml:space="preserve">National Health and Medical Research Council and Department of Health and Ageing, </w:t>
      </w:r>
      <w:hyperlink r:id="rId211" w:history="1">
        <w:r w:rsidRPr="001D028A">
          <w:rPr>
            <w:rStyle w:val="Hyperlink"/>
            <w:rFonts w:cstheme="minorHAnsi"/>
            <w:i/>
            <w:iCs/>
            <w:sz w:val="20"/>
            <w:szCs w:val="20"/>
          </w:rPr>
          <w:t>Factsheet: How to understand food labels</w:t>
        </w:r>
      </w:hyperlink>
      <w:r>
        <w:rPr>
          <w:rFonts w:cstheme="minorHAnsi"/>
          <w:sz w:val="20"/>
          <w:szCs w:val="20"/>
        </w:rPr>
        <w:t>.</w:t>
      </w:r>
    </w:p>
    <w:p w14:paraId="4A679767" w14:textId="77777777" w:rsidR="00C52B5B" w:rsidRPr="001D028A" w:rsidRDefault="00C52B5B" w:rsidP="00C52B5B">
      <w:pPr>
        <w:pStyle w:val="NoSpacing"/>
        <w:rPr>
          <w:rFonts w:cstheme="minorHAnsi"/>
          <w:sz w:val="20"/>
          <w:szCs w:val="20"/>
          <w:lang w:val="en-GB"/>
        </w:rPr>
      </w:pPr>
    </w:p>
    <w:p w14:paraId="0328259C" w14:textId="71EDF2D4" w:rsidR="00C52B5B" w:rsidRPr="001D028A" w:rsidRDefault="00C52B5B" w:rsidP="00C52B5B">
      <w:pPr>
        <w:pStyle w:val="NoSpacing"/>
        <w:rPr>
          <w:rFonts w:cstheme="minorHAnsi"/>
          <w:i/>
          <w:sz w:val="20"/>
          <w:szCs w:val="20"/>
        </w:rPr>
      </w:pPr>
      <w:r w:rsidRPr="001D028A">
        <w:rPr>
          <w:rFonts w:cstheme="minorHAnsi"/>
          <w:sz w:val="20"/>
          <w:szCs w:val="20"/>
        </w:rPr>
        <w:t xml:space="preserve">National Health and Medical Research Council, 2017, </w:t>
      </w:r>
      <w:r w:rsidRPr="001D028A">
        <w:rPr>
          <w:rFonts w:cstheme="minorHAnsi"/>
          <w:i/>
          <w:sz w:val="20"/>
          <w:szCs w:val="20"/>
        </w:rPr>
        <w:t>Nutrient Reference Values for Australia and New Zealand Including Recommended Dietary Intakes version 1.2</w:t>
      </w:r>
      <w:r>
        <w:rPr>
          <w:rFonts w:cstheme="minorHAnsi"/>
          <w:i/>
          <w:sz w:val="20"/>
          <w:szCs w:val="20"/>
        </w:rPr>
        <w:t>.</w:t>
      </w:r>
    </w:p>
    <w:p w14:paraId="36378752" w14:textId="77777777" w:rsidR="00C52B5B" w:rsidRPr="001D028A" w:rsidRDefault="00C52B5B" w:rsidP="00C52B5B">
      <w:pPr>
        <w:pStyle w:val="NoSpacing"/>
        <w:rPr>
          <w:rFonts w:cstheme="minorHAnsi"/>
          <w:i/>
          <w:sz w:val="20"/>
          <w:szCs w:val="20"/>
        </w:rPr>
      </w:pPr>
    </w:p>
    <w:p w14:paraId="0B4F30BB" w14:textId="74FEE6EC" w:rsidR="00C52B5B" w:rsidRPr="001D028A" w:rsidRDefault="00C52B5B" w:rsidP="00C52B5B">
      <w:pPr>
        <w:pStyle w:val="NoSpacing"/>
        <w:rPr>
          <w:rFonts w:cstheme="minorHAnsi"/>
          <w:i/>
          <w:sz w:val="20"/>
          <w:szCs w:val="20"/>
        </w:rPr>
      </w:pPr>
      <w:r w:rsidRPr="001D028A">
        <w:rPr>
          <w:rFonts w:cstheme="minorHAnsi"/>
          <w:sz w:val="20"/>
          <w:szCs w:val="20"/>
        </w:rPr>
        <w:t>New Zealand Government Department of Treasury, April 2017, Government Expectations for Good Regulatory Practice</w:t>
      </w:r>
      <w:r>
        <w:rPr>
          <w:rFonts w:cstheme="minorHAnsi"/>
          <w:sz w:val="20"/>
          <w:szCs w:val="20"/>
        </w:rPr>
        <w:t>.</w:t>
      </w:r>
    </w:p>
    <w:p w14:paraId="780D3B8A" w14:textId="77777777" w:rsidR="00C52B5B" w:rsidRPr="001D028A" w:rsidRDefault="00C52B5B" w:rsidP="00C52B5B">
      <w:pPr>
        <w:pStyle w:val="NoSpacing"/>
        <w:rPr>
          <w:rFonts w:cstheme="minorHAnsi"/>
          <w:sz w:val="20"/>
          <w:szCs w:val="20"/>
          <w:lang w:val="en-GB"/>
        </w:rPr>
      </w:pPr>
    </w:p>
    <w:p w14:paraId="2EB21385" w14:textId="77777777" w:rsidR="00C52B5B" w:rsidRPr="001D028A" w:rsidRDefault="00C52B5B" w:rsidP="00C52B5B">
      <w:pPr>
        <w:pStyle w:val="NoSpacing"/>
        <w:rPr>
          <w:rFonts w:cstheme="minorHAnsi"/>
          <w:sz w:val="20"/>
          <w:szCs w:val="20"/>
        </w:rPr>
      </w:pPr>
      <w:r w:rsidRPr="001D028A">
        <w:rPr>
          <w:rFonts w:cstheme="minorHAnsi"/>
          <w:sz w:val="20"/>
          <w:szCs w:val="20"/>
        </w:rPr>
        <w:t>NSW Government Finance, Services and Innovation, October 2016, NSW Government’s Guide to Better Regulation.</w:t>
      </w:r>
    </w:p>
    <w:p w14:paraId="00A3AEDC" w14:textId="77777777" w:rsidR="00C52B5B" w:rsidRPr="001D028A" w:rsidRDefault="00C52B5B" w:rsidP="00C52B5B">
      <w:pPr>
        <w:pStyle w:val="NoSpacing"/>
        <w:rPr>
          <w:rFonts w:cstheme="minorHAnsi"/>
          <w:sz w:val="20"/>
          <w:szCs w:val="20"/>
          <w:lang w:val="en-GB"/>
        </w:rPr>
      </w:pPr>
    </w:p>
    <w:p w14:paraId="2277E3B9" w14:textId="77777777" w:rsidR="00C52B5B" w:rsidRPr="001D028A" w:rsidRDefault="00C52B5B" w:rsidP="00C52B5B">
      <w:pPr>
        <w:pStyle w:val="NoSpacing"/>
        <w:rPr>
          <w:rFonts w:eastAsia="Times New Roman" w:cstheme="minorHAnsi"/>
          <w:sz w:val="20"/>
          <w:szCs w:val="20"/>
        </w:rPr>
      </w:pPr>
      <w:r w:rsidRPr="001D028A">
        <w:rPr>
          <w:rFonts w:eastAsia="Times New Roman" w:cstheme="minorHAnsi"/>
          <w:sz w:val="20"/>
          <w:szCs w:val="20"/>
        </w:rPr>
        <w:t xml:space="preserve">OECD 2012, </w:t>
      </w:r>
      <w:r w:rsidRPr="001D028A">
        <w:rPr>
          <w:rFonts w:eastAsia="Times New Roman" w:cstheme="minorHAnsi"/>
          <w:i/>
          <w:iCs/>
          <w:sz w:val="20"/>
          <w:szCs w:val="20"/>
        </w:rPr>
        <w:t>Recommendation of the Council on Regulatory Policy and Governance</w:t>
      </w:r>
      <w:r w:rsidRPr="001D028A">
        <w:rPr>
          <w:rFonts w:eastAsia="Times New Roman" w:cstheme="minorHAnsi"/>
          <w:sz w:val="20"/>
          <w:szCs w:val="20"/>
        </w:rPr>
        <w:t xml:space="preserve">, prepared by the Regulatory Policy Committee following the conference </w:t>
      </w:r>
      <w:r w:rsidRPr="001D028A">
        <w:rPr>
          <w:rFonts w:eastAsia="Times New Roman" w:cstheme="minorHAnsi"/>
          <w:i/>
          <w:iCs/>
          <w:sz w:val="20"/>
          <w:szCs w:val="20"/>
        </w:rPr>
        <w:t>Regulatory Policy: Towards a New Policy Agenda, October 2010.</w:t>
      </w:r>
    </w:p>
    <w:p w14:paraId="6C67F3B7" w14:textId="77777777" w:rsidR="00C52B5B" w:rsidRPr="001D028A" w:rsidRDefault="00C52B5B" w:rsidP="00C52B5B">
      <w:pPr>
        <w:pStyle w:val="NoSpacing"/>
        <w:rPr>
          <w:rFonts w:cstheme="minorHAnsi"/>
          <w:sz w:val="20"/>
          <w:szCs w:val="20"/>
          <w:lang w:val="en-GB"/>
        </w:rPr>
      </w:pPr>
    </w:p>
    <w:p w14:paraId="6AFDB212" w14:textId="77777777" w:rsidR="00C52B5B" w:rsidRPr="001D028A" w:rsidRDefault="00C52B5B" w:rsidP="00C52B5B">
      <w:pPr>
        <w:pStyle w:val="NoSpacing"/>
        <w:rPr>
          <w:rFonts w:cstheme="minorHAnsi"/>
          <w:sz w:val="20"/>
          <w:szCs w:val="20"/>
          <w:lang w:val="en-GB"/>
        </w:rPr>
      </w:pPr>
      <w:r w:rsidRPr="001D028A">
        <w:rPr>
          <w:rFonts w:cstheme="minorHAnsi"/>
          <w:sz w:val="20"/>
          <w:szCs w:val="20"/>
          <w:lang w:val="en-GB"/>
        </w:rPr>
        <w:t xml:space="preserve">PricewaterhouseCoopers 2014, </w:t>
      </w:r>
      <w:r w:rsidRPr="001D028A">
        <w:rPr>
          <w:rFonts w:cstheme="minorHAnsi"/>
          <w:i/>
          <w:sz w:val="20"/>
          <w:szCs w:val="20"/>
          <w:lang w:val="en-GB"/>
        </w:rPr>
        <w:t>Health Star Rating System Cost Benefit Analysis,</w:t>
      </w:r>
      <w:r w:rsidRPr="001D028A">
        <w:rPr>
          <w:rFonts w:cstheme="minorHAnsi"/>
          <w:sz w:val="20"/>
          <w:szCs w:val="20"/>
          <w:lang w:val="en-GB"/>
        </w:rPr>
        <w:t xml:space="preserve"> report submitted to the Department of Health, Canberra, 16 May.</w:t>
      </w:r>
    </w:p>
    <w:p w14:paraId="21A54511" w14:textId="77777777" w:rsidR="00C52B5B" w:rsidRPr="001D028A" w:rsidRDefault="00C52B5B" w:rsidP="00C52B5B">
      <w:pPr>
        <w:pStyle w:val="NoSpacing"/>
        <w:rPr>
          <w:rFonts w:cstheme="minorHAnsi"/>
          <w:sz w:val="20"/>
          <w:szCs w:val="20"/>
          <w:lang w:val="en-GB"/>
        </w:rPr>
      </w:pPr>
    </w:p>
    <w:p w14:paraId="5C575FA3" w14:textId="4836AFB1" w:rsidR="00C52B5B" w:rsidRPr="001D028A" w:rsidRDefault="00C52B5B" w:rsidP="00C52B5B">
      <w:pPr>
        <w:pStyle w:val="NoSpacing"/>
        <w:rPr>
          <w:rFonts w:cstheme="minorHAnsi"/>
          <w:i/>
          <w:sz w:val="20"/>
          <w:szCs w:val="20"/>
        </w:rPr>
      </w:pPr>
      <w:r w:rsidRPr="001D028A">
        <w:rPr>
          <w:rFonts w:cstheme="minorHAnsi"/>
          <w:sz w:val="20"/>
          <w:szCs w:val="20"/>
        </w:rPr>
        <w:t xml:space="preserve">Prime Minister and Cabinet, 2014, </w:t>
      </w:r>
      <w:r w:rsidRPr="001D028A">
        <w:rPr>
          <w:rFonts w:cstheme="minorHAnsi"/>
          <w:i/>
          <w:sz w:val="20"/>
          <w:szCs w:val="20"/>
        </w:rPr>
        <w:t>The Australian Government Guide to Regulation</w:t>
      </w:r>
      <w:r>
        <w:rPr>
          <w:rFonts w:cstheme="minorHAnsi"/>
          <w:i/>
          <w:sz w:val="20"/>
          <w:szCs w:val="20"/>
        </w:rPr>
        <w:t>.</w:t>
      </w:r>
    </w:p>
    <w:p w14:paraId="1EFCCE7A" w14:textId="77777777" w:rsidR="00C52B5B" w:rsidRPr="001D028A" w:rsidRDefault="00C52B5B" w:rsidP="00C52B5B">
      <w:pPr>
        <w:pStyle w:val="NoSpacing"/>
        <w:rPr>
          <w:rFonts w:cstheme="minorHAnsi"/>
          <w:sz w:val="20"/>
          <w:szCs w:val="20"/>
          <w:lang w:val="en-GB"/>
        </w:rPr>
      </w:pPr>
    </w:p>
    <w:p w14:paraId="6389E520" w14:textId="77777777" w:rsidR="00C52B5B" w:rsidRPr="001D028A" w:rsidRDefault="00C52B5B" w:rsidP="00C52B5B">
      <w:pPr>
        <w:pStyle w:val="NoSpacing"/>
        <w:rPr>
          <w:rFonts w:cstheme="minorHAnsi"/>
          <w:i/>
          <w:sz w:val="20"/>
          <w:szCs w:val="20"/>
          <w:lang w:val="en-GB"/>
        </w:rPr>
      </w:pPr>
      <w:r w:rsidRPr="001D028A">
        <w:rPr>
          <w:rFonts w:cstheme="minorHAnsi"/>
          <w:sz w:val="20"/>
          <w:szCs w:val="20"/>
          <w:lang w:val="en-GB"/>
        </w:rPr>
        <w:t xml:space="preserve">Senate, December 2018, </w:t>
      </w:r>
      <w:r w:rsidRPr="001D028A">
        <w:rPr>
          <w:rFonts w:cstheme="minorHAnsi"/>
          <w:i/>
          <w:sz w:val="20"/>
          <w:szCs w:val="20"/>
          <w:lang w:val="en-GB"/>
        </w:rPr>
        <w:t>Select Committee into the Obesity Epidemic in Australia, Final Report.</w:t>
      </w:r>
    </w:p>
    <w:p w14:paraId="3C27EF6A" w14:textId="77777777" w:rsidR="00C52B5B" w:rsidRPr="001D028A" w:rsidRDefault="00C52B5B" w:rsidP="00C52B5B">
      <w:pPr>
        <w:pStyle w:val="NoSpacing"/>
        <w:rPr>
          <w:rFonts w:cstheme="minorHAnsi"/>
          <w:i/>
          <w:sz w:val="20"/>
          <w:szCs w:val="20"/>
          <w:lang w:val="en-GB"/>
        </w:rPr>
      </w:pPr>
    </w:p>
    <w:p w14:paraId="631899D6" w14:textId="0E68093A" w:rsidR="00C52B5B" w:rsidRPr="001D028A" w:rsidRDefault="00C52B5B" w:rsidP="00C52B5B">
      <w:pPr>
        <w:pStyle w:val="NoSpacing"/>
        <w:rPr>
          <w:rFonts w:cstheme="minorHAnsi"/>
          <w:sz w:val="20"/>
          <w:szCs w:val="20"/>
          <w:lang w:val="en-GB"/>
        </w:rPr>
      </w:pPr>
      <w:r w:rsidRPr="001D028A">
        <w:rPr>
          <w:rFonts w:cstheme="minorHAnsi"/>
          <w:sz w:val="20"/>
          <w:szCs w:val="20"/>
        </w:rPr>
        <w:t xml:space="preserve">Vidar, M </w:t>
      </w:r>
      <w:r w:rsidRPr="001D028A">
        <w:rPr>
          <w:rFonts w:cstheme="minorHAnsi"/>
          <w:i/>
          <w:sz w:val="20"/>
          <w:szCs w:val="20"/>
        </w:rPr>
        <w:t>International legal frameworks for food labelling and consumer rights</w:t>
      </w:r>
      <w:r w:rsidRPr="001D028A">
        <w:rPr>
          <w:rFonts w:cstheme="minorHAnsi"/>
          <w:sz w:val="20"/>
          <w:szCs w:val="20"/>
        </w:rPr>
        <w:t>, Food and Agriculture Organization of the United Nations (FAO), Italy, p. 33</w:t>
      </w:r>
      <w:r>
        <w:rPr>
          <w:rFonts w:cstheme="minorHAnsi"/>
          <w:sz w:val="20"/>
          <w:szCs w:val="20"/>
        </w:rPr>
        <w:t>.</w:t>
      </w:r>
    </w:p>
    <w:p w14:paraId="28B13748" w14:textId="6C07902A" w:rsidR="00DB42F9" w:rsidRPr="00CC1ADD" w:rsidRDefault="00DB42F9" w:rsidP="00C52B5B">
      <w:pPr>
        <w:pStyle w:val="mpcNormal"/>
      </w:pPr>
    </w:p>
    <w:sectPr w:rsidR="00DB42F9" w:rsidRPr="00CC1ADD" w:rsidSect="00B36208">
      <w:pgSz w:w="11900" w:h="16840"/>
      <w:pgMar w:top="1304" w:right="1077" w:bottom="1304"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952CEA" w14:textId="77777777" w:rsidR="001D37E4" w:rsidRDefault="001D37E4">
      <w:r>
        <w:separator/>
      </w:r>
    </w:p>
  </w:endnote>
  <w:endnote w:type="continuationSeparator" w:id="0">
    <w:p w14:paraId="30AA9BF8" w14:textId="77777777" w:rsidR="001D37E4" w:rsidRDefault="001D37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Optima">
    <w:charset w:val="00"/>
    <w:family w:val="auto"/>
    <w:pitch w:val="variable"/>
    <w:sig w:usb0="80000067" w:usb1="00000000" w:usb2="00000000" w:usb3="00000000" w:csb0="00000001" w:csb1="00000000"/>
  </w:font>
  <w:font w:name="TimesNewRomanPSMT">
    <w:altName w:val="Heiti TC Light"/>
    <w:charset w:val="00"/>
    <w:family w:val="roman"/>
    <w:pitch w:val="variable"/>
    <w:sig w:usb0="E0002AE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Neue">
    <w:charset w:val="00"/>
    <w:family w:val="auto"/>
    <w:pitch w:val="variable"/>
    <w:sig w:usb0="E50002FF" w:usb1="500079DB" w:usb2="00000010" w:usb3="00000000" w:csb0="00000001" w:csb1="00000000"/>
  </w:font>
  <w:font w:name="SymbolMT">
    <w:altName w:val="Cambria"/>
    <w:panose1 w:val="00000000000000000000"/>
    <w:charset w:val="00"/>
    <w:family w:val="roman"/>
    <w:notTrueType/>
    <w:pitch w:val="default"/>
  </w:font>
  <w:font w:name="Calibri (Body)">
    <w:charset w:val="00"/>
    <w:family w:val="roman"/>
    <w:pitch w:val="default"/>
  </w:font>
  <w:font w:name="Times New Roman (Body CS)">
    <w:panose1 w:val="00000000000000000000"/>
    <w:charset w:val="00"/>
    <w:family w:val="roman"/>
    <w:notTrueType/>
    <w:pitch w:val="default"/>
  </w:font>
  <w:font w:name="Arial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B3C5C7" w14:textId="77777777" w:rsidR="00E254FE" w:rsidRPr="0003409A" w:rsidRDefault="00E254FE" w:rsidP="00B362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2173A6" w14:textId="6E727E3F" w:rsidR="00E254FE" w:rsidRPr="00DD1DC7" w:rsidRDefault="00E254FE" w:rsidP="00D82678">
    <w:pPr>
      <w:pStyle w:val="Footer"/>
      <w:pBdr>
        <w:top w:val="single" w:sz="4" w:space="1" w:color="auto"/>
      </w:pBdr>
      <w:tabs>
        <w:tab w:val="right" w:pos="8832"/>
      </w:tabs>
      <w:ind w:right="-99"/>
      <w:jc w:val="center"/>
      <w:rPr>
        <w:color w:val="000000" w:themeColor="text1"/>
        <w:sz w:val="20"/>
        <w:szCs w:val="20"/>
      </w:rPr>
    </w:pPr>
    <w:r>
      <w:rPr>
        <w:color w:val="000000" w:themeColor="text1"/>
        <w:sz w:val="20"/>
        <w:szCs w:val="20"/>
      </w:rPr>
      <w:t xml:space="preserve">Health Star Rating System Five Year Review Report </w:t>
    </w:r>
    <w:r>
      <w:rPr>
        <w:color w:val="000000" w:themeColor="text1"/>
        <w:sz w:val="20"/>
        <w:szCs w:val="20"/>
      </w:rPr>
      <w:tab/>
    </w:r>
    <w:r>
      <w:rPr>
        <w:color w:val="000000" w:themeColor="text1"/>
        <w:sz w:val="20"/>
        <w:szCs w:val="20"/>
      </w:rPr>
      <w:tab/>
    </w:r>
    <w:r w:rsidRPr="00DD1DC7">
      <w:rPr>
        <w:rStyle w:val="PageNumber"/>
        <w:color w:val="000000" w:themeColor="text1"/>
        <w:sz w:val="20"/>
        <w:szCs w:val="20"/>
      </w:rPr>
      <w:t xml:space="preserve">Page </w:t>
    </w:r>
    <w:r w:rsidRPr="00DD1DC7">
      <w:rPr>
        <w:rStyle w:val="PageNumber"/>
        <w:color w:val="000000" w:themeColor="text1"/>
        <w:sz w:val="20"/>
        <w:szCs w:val="20"/>
      </w:rPr>
      <w:fldChar w:fldCharType="begin"/>
    </w:r>
    <w:r w:rsidRPr="00DD1DC7">
      <w:rPr>
        <w:rStyle w:val="PageNumber"/>
        <w:color w:val="000000" w:themeColor="text1"/>
        <w:sz w:val="20"/>
        <w:szCs w:val="20"/>
      </w:rPr>
      <w:instrText xml:space="preserve"> PAGE  \* MERGEFORMAT </w:instrText>
    </w:r>
    <w:r w:rsidRPr="00DD1DC7">
      <w:rPr>
        <w:rStyle w:val="PageNumber"/>
        <w:color w:val="000000" w:themeColor="text1"/>
        <w:sz w:val="20"/>
        <w:szCs w:val="20"/>
      </w:rPr>
      <w:fldChar w:fldCharType="separate"/>
    </w:r>
    <w:r w:rsidR="004F6A4D">
      <w:rPr>
        <w:rStyle w:val="PageNumber"/>
        <w:noProof/>
        <w:color w:val="000000" w:themeColor="text1"/>
        <w:sz w:val="20"/>
        <w:szCs w:val="20"/>
      </w:rPr>
      <w:t>21</w:t>
    </w:r>
    <w:r w:rsidRPr="00DD1DC7">
      <w:rPr>
        <w:rStyle w:val="PageNumber"/>
        <w:color w:val="000000" w:themeColor="text1"/>
        <w:sz w:val="20"/>
        <w:szCs w:val="20"/>
      </w:rPr>
      <w:fldChar w:fldCharType="end"/>
    </w:r>
    <w:r w:rsidRPr="00DD1DC7">
      <w:rPr>
        <w:rStyle w:val="PageNumber"/>
        <w:color w:val="000000" w:themeColor="text1"/>
        <w:sz w:val="20"/>
        <w:szCs w:val="20"/>
      </w:rPr>
      <w:t xml:space="preserve"> of </w:t>
    </w:r>
    <w:r w:rsidRPr="00DD1DC7">
      <w:rPr>
        <w:rStyle w:val="PageNumber"/>
        <w:color w:val="000000" w:themeColor="text1"/>
        <w:sz w:val="20"/>
        <w:szCs w:val="20"/>
      </w:rPr>
      <w:fldChar w:fldCharType="begin"/>
    </w:r>
    <w:r w:rsidRPr="00DD1DC7">
      <w:rPr>
        <w:rStyle w:val="PageNumber"/>
        <w:color w:val="000000" w:themeColor="text1"/>
        <w:sz w:val="20"/>
        <w:szCs w:val="20"/>
      </w:rPr>
      <w:instrText xml:space="preserve"> NUMPAGES  \* MERGEFORMAT </w:instrText>
    </w:r>
    <w:r w:rsidRPr="00DD1DC7">
      <w:rPr>
        <w:rStyle w:val="PageNumber"/>
        <w:color w:val="000000" w:themeColor="text1"/>
        <w:sz w:val="20"/>
        <w:szCs w:val="20"/>
      </w:rPr>
      <w:fldChar w:fldCharType="separate"/>
    </w:r>
    <w:r w:rsidR="004F6A4D">
      <w:rPr>
        <w:rStyle w:val="PageNumber"/>
        <w:noProof/>
        <w:color w:val="000000" w:themeColor="text1"/>
        <w:sz w:val="20"/>
        <w:szCs w:val="20"/>
      </w:rPr>
      <w:t>137</w:t>
    </w:r>
    <w:r w:rsidRPr="00DD1DC7">
      <w:rPr>
        <w:rStyle w:val="PageNumber"/>
        <w:color w:val="000000" w:themeColor="text1"/>
        <w:sz w:val="20"/>
        <w:szCs w:val="20"/>
      </w:rPr>
      <w:fldChar w:fldCharType="end"/>
    </w:r>
  </w:p>
  <w:p w14:paraId="4AEFAAB4" w14:textId="381FAC2D" w:rsidR="00E254FE" w:rsidRPr="000A3464" w:rsidRDefault="00E254FE" w:rsidP="00D82678">
    <w:pPr>
      <w:pStyle w:val="Footer"/>
      <w:tabs>
        <w:tab w:val="right" w:pos="8832"/>
      </w:tabs>
      <w:ind w:left="-142" w:right="-99"/>
      <w:rPr>
        <w:color w:val="FF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DD8E2B" w14:textId="77777777" w:rsidR="001D37E4" w:rsidRDefault="001D37E4">
      <w:r>
        <w:separator/>
      </w:r>
    </w:p>
  </w:footnote>
  <w:footnote w:type="continuationSeparator" w:id="0">
    <w:p w14:paraId="62266E55" w14:textId="77777777" w:rsidR="001D37E4" w:rsidRDefault="001D37E4">
      <w:r>
        <w:continuationSeparator/>
      </w:r>
    </w:p>
  </w:footnote>
  <w:footnote w:id="1">
    <w:p w14:paraId="589B8143" w14:textId="583ECBF0" w:rsidR="00E254FE" w:rsidRPr="00356647" w:rsidRDefault="00E254FE" w:rsidP="009117F5">
      <w:pPr>
        <w:pStyle w:val="mpctabletext"/>
        <w:spacing w:before="60" w:after="60"/>
        <w:rPr>
          <w:sz w:val="18"/>
        </w:rPr>
      </w:pPr>
      <w:r w:rsidRPr="00356647">
        <w:rPr>
          <w:rStyle w:val="FootnoteReference"/>
        </w:rPr>
        <w:footnoteRef/>
      </w:r>
      <w:r w:rsidRPr="00356647">
        <w:rPr>
          <w:sz w:val="18"/>
        </w:rPr>
        <w:t xml:space="preserve"> </w:t>
      </w:r>
      <w:r w:rsidRPr="00356647">
        <w:rPr>
          <w:rFonts w:cstheme="minorHAnsi"/>
          <w:color w:val="000000" w:themeColor="text1"/>
          <w:sz w:val="18"/>
        </w:rPr>
        <w:t xml:space="preserve">FFG foods are described by Dietary Guidelines as the basis of a healthy diet. There are four food groups described in the New Zealand Eating and Activity Guidelines (fruit and vegetables, grain, meats, dairy) and five in the Australian Dietary Guidelines (which separate fruits and vegetables into </w:t>
      </w:r>
      <w:r>
        <w:rPr>
          <w:rFonts w:cstheme="minorHAnsi"/>
          <w:color w:val="000000" w:themeColor="text1"/>
          <w:sz w:val="18"/>
        </w:rPr>
        <w:t>two</w:t>
      </w:r>
      <w:r w:rsidRPr="00356647">
        <w:rPr>
          <w:rFonts w:cstheme="minorHAnsi"/>
          <w:color w:val="000000" w:themeColor="text1"/>
          <w:sz w:val="18"/>
        </w:rPr>
        <w:t xml:space="preserve"> groups).</w:t>
      </w:r>
    </w:p>
  </w:footnote>
  <w:footnote w:id="2">
    <w:p w14:paraId="1ED027E1" w14:textId="77777777" w:rsidR="00E254FE" w:rsidRPr="003C4F9C" w:rsidRDefault="00E254FE" w:rsidP="00C82D90">
      <w:pPr>
        <w:pStyle w:val="NoSpacing"/>
        <w:rPr>
          <w:sz w:val="18"/>
          <w:szCs w:val="18"/>
          <w:lang w:val="en-AU"/>
        </w:rPr>
      </w:pPr>
      <w:r w:rsidRPr="003C4F9C">
        <w:rPr>
          <w:rStyle w:val="FootnoteReference"/>
          <w:szCs w:val="18"/>
        </w:rPr>
        <w:footnoteRef/>
      </w:r>
      <w:r w:rsidRPr="003C4F9C">
        <w:rPr>
          <w:sz w:val="18"/>
          <w:szCs w:val="18"/>
        </w:rPr>
        <w:t xml:space="preserve"> </w:t>
      </w:r>
      <w:r w:rsidRPr="003C4F9C">
        <w:rPr>
          <w:sz w:val="18"/>
          <w:szCs w:val="18"/>
          <w:lang w:val="en-GB"/>
        </w:rPr>
        <w:t>Blewett, N, Goddard, N, Pettigrew, S, Reynolds, C &amp; Yeatman, H 2011,</w:t>
      </w:r>
      <w:r w:rsidRPr="003C4F9C">
        <w:rPr>
          <w:i/>
          <w:iCs/>
          <w:sz w:val="18"/>
          <w:szCs w:val="18"/>
          <w:lang w:val="en-GB"/>
        </w:rPr>
        <w:t xml:space="preserve"> Labelling logic - the final report of the review of food labelling law and policy</w:t>
      </w:r>
      <w:r w:rsidRPr="003C4F9C">
        <w:rPr>
          <w:sz w:val="18"/>
          <w:szCs w:val="18"/>
          <w:lang w:val="en-GB"/>
        </w:rPr>
        <w:t>, Canberra, Commonwealth of Australia</w:t>
      </w:r>
    </w:p>
  </w:footnote>
  <w:footnote w:id="3">
    <w:p w14:paraId="60979FD3" w14:textId="26A7B6EA" w:rsidR="00E254FE" w:rsidRDefault="00E254FE" w:rsidP="003272AE">
      <w:pPr>
        <w:pStyle w:val="FootnoteText"/>
      </w:pPr>
      <w:r w:rsidRPr="003C4F9C">
        <w:rPr>
          <w:rStyle w:val="FootnoteReference"/>
          <w:szCs w:val="18"/>
        </w:rPr>
        <w:footnoteRef/>
      </w:r>
      <w:r w:rsidRPr="003C4F9C">
        <w:rPr>
          <w:szCs w:val="18"/>
        </w:rPr>
        <w:t xml:space="preserve"> Australia and New Zealand Food Regulation Ministerial Council, </w:t>
      </w:r>
      <w:hyperlink r:id="rId1" w:history="1">
        <w:r w:rsidRPr="00FC782A">
          <w:rPr>
            <w:rStyle w:val="Hyperlink"/>
            <w:i/>
            <w:iCs/>
            <w:szCs w:val="18"/>
          </w:rPr>
          <w:t>Front of Pack Labelling Policy Statement</w:t>
        </w:r>
      </w:hyperlink>
      <w:r w:rsidRPr="003C4F9C">
        <w:rPr>
          <w:szCs w:val="18"/>
        </w:rPr>
        <w:t>, endorsed by Ministerial Council on 23 October 2009</w:t>
      </w:r>
      <w:r>
        <w:rPr>
          <w:szCs w:val="18"/>
        </w:rPr>
        <w:t xml:space="preserve"> </w:t>
      </w:r>
    </w:p>
  </w:footnote>
  <w:footnote w:id="4">
    <w:p w14:paraId="54DC85A4" w14:textId="0B6CCAFC" w:rsidR="00E254FE" w:rsidRPr="00121238" w:rsidRDefault="00E254FE" w:rsidP="00121238">
      <w:pPr>
        <w:pStyle w:val="NoSpacing"/>
        <w:rPr>
          <w:rFonts w:cstheme="minorHAnsi"/>
          <w:sz w:val="18"/>
          <w:szCs w:val="18"/>
          <w:lang w:val="en-GB"/>
        </w:rPr>
      </w:pPr>
      <w:r w:rsidRPr="00121238">
        <w:rPr>
          <w:rStyle w:val="FootnoteReference"/>
          <w:szCs w:val="18"/>
        </w:rPr>
        <w:footnoteRef/>
      </w:r>
      <w:r w:rsidRPr="00121238">
        <w:rPr>
          <w:sz w:val="18"/>
          <w:szCs w:val="18"/>
        </w:rPr>
        <w:t xml:space="preserve"> </w:t>
      </w:r>
      <w:r w:rsidRPr="00121238">
        <w:rPr>
          <w:rFonts w:cstheme="minorHAnsi"/>
          <w:iCs/>
          <w:sz w:val="18"/>
          <w:szCs w:val="18"/>
          <w:lang w:val="en-GB"/>
        </w:rPr>
        <w:t xml:space="preserve">Commonwealth Department of Health 2016, </w:t>
      </w:r>
      <w:hyperlink r:id="rId2" w:history="1">
        <w:r w:rsidRPr="00121238">
          <w:rPr>
            <w:rStyle w:val="Hyperlink"/>
            <w:rFonts w:cstheme="minorHAnsi"/>
            <w:i/>
            <w:iCs/>
            <w:sz w:val="18"/>
            <w:szCs w:val="18"/>
            <w:lang w:val="en-GB"/>
          </w:rPr>
          <w:t>Health Star Rating System Style Guide</w:t>
        </w:r>
      </w:hyperlink>
      <w:r w:rsidRPr="00121238">
        <w:rPr>
          <w:rFonts w:cstheme="minorHAnsi"/>
          <w:i/>
          <w:iCs/>
          <w:sz w:val="18"/>
          <w:szCs w:val="18"/>
          <w:lang w:val="en-GB"/>
        </w:rPr>
        <w:t>,</w:t>
      </w:r>
      <w:r w:rsidRPr="00121238">
        <w:rPr>
          <w:rFonts w:cstheme="minorHAnsi"/>
          <w:iCs/>
          <w:sz w:val="18"/>
          <w:szCs w:val="18"/>
          <w:lang w:val="en-GB"/>
        </w:rPr>
        <w:t xml:space="preserve"> version 4</w:t>
      </w:r>
      <w:r w:rsidRPr="00121238">
        <w:rPr>
          <w:rFonts w:cstheme="minorHAnsi"/>
          <w:sz w:val="18"/>
          <w:szCs w:val="18"/>
          <w:lang w:val="en-GB"/>
        </w:rPr>
        <w:t>, p. 1, accessed 29 January 2019</w:t>
      </w:r>
    </w:p>
  </w:footnote>
  <w:footnote w:id="5">
    <w:p w14:paraId="7D43D9E8" w14:textId="21E4C389" w:rsidR="00E254FE" w:rsidRPr="004B53A8" w:rsidRDefault="00E254FE" w:rsidP="003272AE">
      <w:pPr>
        <w:pStyle w:val="FootnoteText"/>
      </w:pPr>
      <w:r w:rsidRPr="001017C5">
        <w:rPr>
          <w:rStyle w:val="FootnoteReference"/>
          <w:szCs w:val="18"/>
        </w:rPr>
        <w:footnoteRef/>
      </w:r>
      <w:r w:rsidRPr="001017C5">
        <w:t xml:space="preserve"> TAG technical paper</w:t>
      </w:r>
      <w:r>
        <w:t>,</w:t>
      </w:r>
      <w:r w:rsidRPr="003A78FF">
        <w:t xml:space="preserve"> </w:t>
      </w:r>
      <w:r w:rsidRPr="001017C5">
        <w:t>October 2018</w:t>
      </w:r>
      <w:r>
        <w:t>,</w:t>
      </w:r>
      <w:r w:rsidRPr="001017C5">
        <w:t xml:space="preserve"> </w:t>
      </w:r>
      <w:r w:rsidRPr="003A78FF">
        <w:rPr>
          <w:i/>
        </w:rPr>
        <w:t>History and development of the HSR algorithm</w:t>
      </w:r>
      <w:r>
        <w:t>, p. 11</w:t>
      </w:r>
    </w:p>
  </w:footnote>
  <w:footnote w:id="6">
    <w:p w14:paraId="29E8D37B" w14:textId="77777777" w:rsidR="00E254FE" w:rsidRPr="00C0655A" w:rsidRDefault="00E254FE" w:rsidP="003272AE">
      <w:pPr>
        <w:pStyle w:val="FootnoteText"/>
      </w:pPr>
      <w:r w:rsidRPr="00C0655A">
        <w:rPr>
          <w:rStyle w:val="FootnoteReference"/>
          <w:szCs w:val="18"/>
        </w:rPr>
        <w:footnoteRef/>
      </w:r>
      <w:r w:rsidRPr="00C0655A">
        <w:t xml:space="preserve"> Australian Bureau of Statistics, </w:t>
      </w:r>
      <w:r w:rsidRPr="00C0655A">
        <w:rPr>
          <w:i/>
        </w:rPr>
        <w:t>Australian Health Survey 2011-12</w:t>
      </w:r>
    </w:p>
  </w:footnote>
  <w:footnote w:id="7">
    <w:p w14:paraId="6405EACD" w14:textId="77777777" w:rsidR="00E254FE" w:rsidRPr="00C0655A" w:rsidRDefault="00E254FE" w:rsidP="003272AE">
      <w:pPr>
        <w:pStyle w:val="FootnoteText"/>
      </w:pPr>
      <w:r w:rsidRPr="00C0655A">
        <w:rPr>
          <w:rStyle w:val="FootnoteReference"/>
          <w:szCs w:val="18"/>
        </w:rPr>
        <w:footnoteRef/>
      </w:r>
      <w:r w:rsidRPr="00C0655A">
        <w:t xml:space="preserve"> Ministry of Health, A Focus on Nutrition: Key Findings of the 2008/09 New Zealand Adult Nutrition Survey</w:t>
      </w:r>
    </w:p>
  </w:footnote>
  <w:footnote w:id="8">
    <w:p w14:paraId="520DA180" w14:textId="0385A31D" w:rsidR="00E254FE" w:rsidRDefault="00E254FE" w:rsidP="003272AE">
      <w:pPr>
        <w:pStyle w:val="FootnoteText"/>
      </w:pPr>
      <w:r w:rsidRPr="00C0655A">
        <w:rPr>
          <w:rStyle w:val="FootnoteReference"/>
          <w:szCs w:val="18"/>
        </w:rPr>
        <w:footnoteRef/>
      </w:r>
      <w:r w:rsidRPr="00C0655A">
        <w:t xml:space="preserve"> </w:t>
      </w:r>
      <w:r w:rsidRPr="00C0655A">
        <w:rPr>
          <w:lang w:val="en-GB"/>
        </w:rPr>
        <w:t>Australian Bureau of Statistics</w:t>
      </w:r>
      <w:r w:rsidRPr="00C0655A">
        <w:t>, 2014, 4363.0.55.001 - Australian Health Survey: Users' Guide, 2011-13, Discretionary Foods</w:t>
      </w:r>
    </w:p>
  </w:footnote>
  <w:footnote w:id="9">
    <w:p w14:paraId="54AB805E" w14:textId="6C41A4AD" w:rsidR="00E254FE" w:rsidRPr="00F54C40" w:rsidRDefault="00E254FE" w:rsidP="00F54C40">
      <w:pPr>
        <w:pStyle w:val="NoSpacing"/>
        <w:rPr>
          <w:rFonts w:cstheme="minorHAnsi"/>
          <w:i/>
          <w:sz w:val="18"/>
          <w:szCs w:val="18"/>
          <w:lang w:val="en-GB"/>
        </w:rPr>
      </w:pPr>
      <w:r w:rsidRPr="00F54C40">
        <w:rPr>
          <w:rStyle w:val="FootnoteReference"/>
          <w:szCs w:val="18"/>
        </w:rPr>
        <w:footnoteRef/>
      </w:r>
      <w:r w:rsidRPr="00F54C40">
        <w:rPr>
          <w:sz w:val="18"/>
          <w:szCs w:val="18"/>
        </w:rPr>
        <w:t xml:space="preserve"> Unless otherwise referenced, all Australian data</w:t>
      </w:r>
      <w:r>
        <w:rPr>
          <w:sz w:val="18"/>
          <w:szCs w:val="18"/>
        </w:rPr>
        <w:t xml:space="preserve"> in this Chapter</w:t>
      </w:r>
      <w:r w:rsidRPr="00F54C40">
        <w:rPr>
          <w:sz w:val="18"/>
          <w:szCs w:val="18"/>
        </w:rPr>
        <w:t xml:space="preserve"> is drawn from </w:t>
      </w:r>
      <w:r w:rsidRPr="00F54C40">
        <w:rPr>
          <w:rFonts w:cstheme="minorHAnsi"/>
          <w:sz w:val="18"/>
          <w:szCs w:val="18"/>
          <w:lang w:val="en-GB"/>
        </w:rPr>
        <w:t>National Heart Foundation 201</w:t>
      </w:r>
      <w:r>
        <w:rPr>
          <w:rFonts w:cstheme="minorHAnsi"/>
          <w:sz w:val="18"/>
          <w:szCs w:val="18"/>
          <w:lang w:val="en-GB"/>
        </w:rPr>
        <w:t>9</w:t>
      </w:r>
      <w:r w:rsidRPr="00F54C40">
        <w:rPr>
          <w:rFonts w:cstheme="minorHAnsi"/>
          <w:sz w:val="18"/>
          <w:szCs w:val="18"/>
          <w:lang w:val="en-GB"/>
        </w:rPr>
        <w:t xml:space="preserve">, </w:t>
      </w:r>
      <w:r w:rsidRPr="00F54C40">
        <w:rPr>
          <w:rFonts w:cstheme="minorHAnsi"/>
          <w:i/>
          <w:sz w:val="18"/>
          <w:szCs w:val="18"/>
        </w:rPr>
        <w:t>Report on the monitoring of the implementation of the HSR System in the first four years of implementation: June 2014 to June 2018</w:t>
      </w:r>
      <w:r w:rsidRPr="00F54C40">
        <w:rPr>
          <w:rFonts w:cstheme="minorHAnsi"/>
          <w:sz w:val="18"/>
          <w:szCs w:val="18"/>
          <w:lang w:val="en-GB"/>
        </w:rPr>
        <w:t>, prepared for the Commonwealth Department of Health, Canberra.</w:t>
      </w:r>
    </w:p>
  </w:footnote>
  <w:footnote w:id="10">
    <w:p w14:paraId="1F31AD74" w14:textId="3831BD93" w:rsidR="00E254FE" w:rsidRPr="00F54C40" w:rsidRDefault="00E254FE" w:rsidP="00F54C40">
      <w:pPr>
        <w:pStyle w:val="NoSpacing"/>
        <w:rPr>
          <w:rFonts w:cstheme="minorHAnsi"/>
          <w:sz w:val="18"/>
          <w:szCs w:val="18"/>
          <w:lang w:val="en-GB"/>
        </w:rPr>
      </w:pPr>
      <w:r w:rsidRPr="00F54C40">
        <w:rPr>
          <w:rStyle w:val="FootnoteReference"/>
          <w:szCs w:val="18"/>
        </w:rPr>
        <w:footnoteRef/>
      </w:r>
      <w:r w:rsidRPr="00F54C40">
        <w:rPr>
          <w:sz w:val="18"/>
          <w:szCs w:val="18"/>
        </w:rPr>
        <w:t xml:space="preserve"> Unless otherwise referenced, all New Zealand data </w:t>
      </w:r>
      <w:r>
        <w:rPr>
          <w:sz w:val="18"/>
          <w:szCs w:val="18"/>
        </w:rPr>
        <w:t>in this Chapter</w:t>
      </w:r>
      <w:r w:rsidRPr="00F54C40">
        <w:rPr>
          <w:sz w:val="18"/>
          <w:szCs w:val="18"/>
        </w:rPr>
        <w:t xml:space="preserve"> is drawn from </w:t>
      </w:r>
      <w:r w:rsidRPr="00F54C40">
        <w:rPr>
          <w:rFonts w:cstheme="minorHAnsi"/>
          <w:sz w:val="18"/>
          <w:szCs w:val="18"/>
          <w:lang w:val="en-GB"/>
        </w:rPr>
        <w:t xml:space="preserve">New Zealand Food Safety 2018, </w:t>
      </w:r>
      <w:r w:rsidRPr="00F54C40">
        <w:rPr>
          <w:rFonts w:cstheme="minorHAnsi"/>
          <w:i/>
          <w:sz w:val="18"/>
          <w:szCs w:val="18"/>
          <w:lang w:val="en-GB"/>
        </w:rPr>
        <w:t xml:space="preserve">Health Star Rating – Monitoring implementation for the Five Year Review, </w:t>
      </w:r>
      <w:r w:rsidRPr="00F54C40">
        <w:rPr>
          <w:rFonts w:cstheme="minorHAnsi"/>
          <w:sz w:val="18"/>
          <w:szCs w:val="18"/>
          <w:lang w:val="en-GB"/>
        </w:rPr>
        <w:t xml:space="preserve">New Zealand Ministry for Primary Industries. </w:t>
      </w:r>
    </w:p>
  </w:footnote>
  <w:footnote w:id="11">
    <w:p w14:paraId="60E4A49C" w14:textId="6D7292DC" w:rsidR="00E254FE" w:rsidRDefault="00E254FE" w:rsidP="00C27720">
      <w:pPr>
        <w:pStyle w:val="mpcNormal"/>
        <w:keepNext w:val="0"/>
      </w:pPr>
      <w:r>
        <w:rPr>
          <w:rStyle w:val="FootnoteReference"/>
        </w:rPr>
        <w:footnoteRef/>
      </w:r>
      <w:r>
        <w:t xml:space="preserve"> </w:t>
      </w:r>
      <w:r w:rsidRPr="008E0D7F">
        <w:rPr>
          <w:rFonts w:eastAsiaTheme="minorEastAsia" w:cstheme="minorBidi"/>
          <w:sz w:val="18"/>
          <w:szCs w:val="18"/>
          <w:lang w:val="en-US" w:eastAsia="zh-CN"/>
        </w:rPr>
        <w:t xml:space="preserve">Note that there is a lag in the availability of formal monitoring results. To enable comparison between Australia and New Zealand (and best reflect trends since the HSR </w:t>
      </w:r>
      <w:r>
        <w:rPr>
          <w:rFonts w:eastAsiaTheme="minorEastAsia" w:cstheme="minorBidi"/>
          <w:sz w:val="18"/>
          <w:szCs w:val="18"/>
          <w:lang w:val="en-US" w:eastAsia="zh-CN"/>
        </w:rPr>
        <w:t xml:space="preserve">System </w:t>
      </w:r>
      <w:r w:rsidRPr="008E0D7F">
        <w:rPr>
          <w:rFonts w:eastAsiaTheme="minorEastAsia" w:cstheme="minorBidi"/>
          <w:sz w:val="18"/>
          <w:szCs w:val="18"/>
          <w:lang w:val="en-US" w:eastAsia="zh-CN"/>
        </w:rPr>
        <w:t>was implemented), monitoring data to end June 2018 has been used.</w:t>
      </w:r>
      <w:r>
        <w:t xml:space="preserve"> </w:t>
      </w:r>
    </w:p>
  </w:footnote>
  <w:footnote w:id="12">
    <w:p w14:paraId="687532AA" w14:textId="4B5C4F0A" w:rsidR="00E254FE" w:rsidRPr="00F54C40" w:rsidRDefault="00E254FE" w:rsidP="00F54C40">
      <w:pPr>
        <w:pStyle w:val="NoSpacing"/>
        <w:rPr>
          <w:rFonts w:cstheme="minorHAnsi"/>
          <w:sz w:val="20"/>
          <w:szCs w:val="20"/>
          <w:lang w:val="en-GB"/>
        </w:rPr>
      </w:pPr>
      <w:r w:rsidRPr="00F54C40">
        <w:rPr>
          <w:rStyle w:val="FootnoteReference"/>
          <w:szCs w:val="18"/>
        </w:rPr>
        <w:footnoteRef/>
      </w:r>
      <w:r w:rsidRPr="00F54C40">
        <w:rPr>
          <w:sz w:val="18"/>
          <w:szCs w:val="18"/>
        </w:rPr>
        <w:t xml:space="preserve"> </w:t>
      </w:r>
      <w:r w:rsidRPr="00F54C40">
        <w:rPr>
          <w:rFonts w:cstheme="minorHAnsi"/>
          <w:sz w:val="18"/>
          <w:szCs w:val="18"/>
          <w:lang w:val="en-GB"/>
        </w:rPr>
        <w:t xml:space="preserve">Jones, A, Radholm, K &amp; Neal, B </w:t>
      </w:r>
      <w:r w:rsidRPr="00F54C40">
        <w:rPr>
          <w:rFonts w:cstheme="minorHAnsi"/>
          <w:iCs/>
          <w:sz w:val="18"/>
          <w:szCs w:val="18"/>
          <w:lang w:val="en-GB"/>
        </w:rPr>
        <w:t>2018,</w:t>
      </w:r>
      <w:r w:rsidRPr="00F54C40">
        <w:rPr>
          <w:rFonts w:cstheme="minorHAnsi"/>
          <w:sz w:val="18"/>
          <w:szCs w:val="18"/>
          <w:lang w:val="en-GB"/>
        </w:rPr>
        <w:t xml:space="preserve"> ‘Defining ‘Unhealthy’: a systematic analysis of alignment between the Australian Dietary Guidelines and the Health Star Rating System’, </w:t>
      </w:r>
      <w:r w:rsidRPr="00F54C40">
        <w:rPr>
          <w:rFonts w:cstheme="minorHAnsi"/>
          <w:i/>
          <w:iCs/>
          <w:sz w:val="18"/>
          <w:szCs w:val="18"/>
          <w:lang w:val="en-GB"/>
        </w:rPr>
        <w:t xml:space="preserve">Nutrients, </w:t>
      </w:r>
      <w:r w:rsidRPr="00F54C40">
        <w:rPr>
          <w:rFonts w:cstheme="minorHAnsi"/>
          <w:iCs/>
          <w:sz w:val="18"/>
          <w:szCs w:val="18"/>
          <w:lang w:val="en-GB"/>
        </w:rPr>
        <w:t>vol.</w:t>
      </w:r>
      <w:r w:rsidRPr="00F54C40">
        <w:rPr>
          <w:rFonts w:cstheme="minorHAnsi"/>
          <w:sz w:val="18"/>
          <w:szCs w:val="18"/>
          <w:lang w:val="en-GB"/>
        </w:rPr>
        <w:t xml:space="preserve"> 10, no. 501.</w:t>
      </w:r>
    </w:p>
  </w:footnote>
  <w:footnote w:id="13">
    <w:p w14:paraId="696BFAAB" w14:textId="77777777" w:rsidR="00E254FE" w:rsidRPr="00F54C40" w:rsidRDefault="00E254FE" w:rsidP="00014C55">
      <w:pPr>
        <w:pStyle w:val="NoSpacing"/>
        <w:rPr>
          <w:rFonts w:cstheme="minorHAnsi"/>
          <w:sz w:val="18"/>
          <w:szCs w:val="18"/>
          <w:lang w:val="en-GB"/>
        </w:rPr>
      </w:pPr>
      <w:r w:rsidRPr="00F54C40">
        <w:rPr>
          <w:rStyle w:val="FootnoteReference"/>
          <w:szCs w:val="18"/>
        </w:rPr>
        <w:footnoteRef/>
      </w:r>
      <w:r w:rsidRPr="00F54C40">
        <w:rPr>
          <w:sz w:val="18"/>
          <w:szCs w:val="18"/>
        </w:rPr>
        <w:t xml:space="preserve"> </w:t>
      </w:r>
      <w:r w:rsidRPr="00F54C40">
        <w:rPr>
          <w:rFonts w:cstheme="minorHAnsi"/>
          <w:sz w:val="18"/>
          <w:szCs w:val="18"/>
          <w:lang w:val="en-GB"/>
        </w:rPr>
        <w:t xml:space="preserve">National Heart Foundation 2017, </w:t>
      </w:r>
      <w:r w:rsidRPr="00F54C40">
        <w:rPr>
          <w:rFonts w:cstheme="minorHAnsi"/>
          <w:i/>
          <w:sz w:val="18"/>
          <w:szCs w:val="18"/>
          <w:lang w:val="en-GB"/>
        </w:rPr>
        <w:t>Report on the monitoring of the implementation of the Health Star Rating system in the first two years of implementation: June 2014 to June 2016</w:t>
      </w:r>
      <w:r w:rsidRPr="00F54C40">
        <w:rPr>
          <w:rFonts w:cstheme="minorHAnsi"/>
          <w:sz w:val="18"/>
          <w:szCs w:val="18"/>
          <w:lang w:val="en-GB"/>
        </w:rPr>
        <w:t>, prepared for the Commonwealth Department of Health, Canberra.</w:t>
      </w:r>
    </w:p>
  </w:footnote>
  <w:footnote w:id="14">
    <w:p w14:paraId="01ABF89C" w14:textId="1B9B5962" w:rsidR="00E254FE" w:rsidRPr="00F54C40" w:rsidRDefault="00E254FE" w:rsidP="00F54C40">
      <w:pPr>
        <w:pStyle w:val="NoSpacing"/>
        <w:rPr>
          <w:rFonts w:cstheme="minorHAnsi"/>
          <w:sz w:val="20"/>
          <w:szCs w:val="20"/>
        </w:rPr>
      </w:pPr>
      <w:r w:rsidRPr="00F54C40">
        <w:rPr>
          <w:rStyle w:val="FootnoteReference"/>
          <w:rFonts w:cstheme="minorHAnsi"/>
          <w:szCs w:val="18"/>
        </w:rPr>
        <w:footnoteRef/>
      </w:r>
      <w:r w:rsidRPr="00F54C40">
        <w:rPr>
          <w:rFonts w:cstheme="minorHAnsi"/>
          <w:sz w:val="18"/>
          <w:szCs w:val="18"/>
        </w:rPr>
        <w:t xml:space="preserve"> Mantilla Herrera, A, Crino, M, Erskin, H, Sacks, G, Anathapavan, J, Ni Mhurchu, C &amp; Lee, Y 2018 ‘Cost-effectiveness of product reformulation in response to the Health Start Rating food labelling system in Australia</w:t>
      </w:r>
      <w:r>
        <w:rPr>
          <w:rFonts w:cstheme="minorHAnsi"/>
          <w:sz w:val="18"/>
          <w:szCs w:val="18"/>
        </w:rPr>
        <w:t>’</w:t>
      </w:r>
      <w:r w:rsidRPr="00F54C40">
        <w:rPr>
          <w:rFonts w:cstheme="minorHAnsi"/>
          <w:sz w:val="18"/>
          <w:szCs w:val="18"/>
        </w:rPr>
        <w:t xml:space="preserve">, </w:t>
      </w:r>
      <w:r w:rsidRPr="00F54C40">
        <w:rPr>
          <w:rFonts w:cstheme="minorHAnsi"/>
          <w:i/>
          <w:iCs/>
          <w:sz w:val="18"/>
          <w:szCs w:val="18"/>
        </w:rPr>
        <w:t>Nutrients</w:t>
      </w:r>
      <w:r w:rsidRPr="00F54C40">
        <w:rPr>
          <w:rFonts w:cstheme="minorHAnsi"/>
          <w:sz w:val="18"/>
          <w:szCs w:val="18"/>
        </w:rPr>
        <w:t>, vol. 10, no. 614, pp. 2-16.</w:t>
      </w:r>
    </w:p>
  </w:footnote>
  <w:footnote w:id="15">
    <w:p w14:paraId="28D89707" w14:textId="76A0F407" w:rsidR="00E254FE" w:rsidRPr="00AE7B1D" w:rsidRDefault="00E254FE" w:rsidP="003272AE">
      <w:pPr>
        <w:pStyle w:val="FootnoteText"/>
      </w:pPr>
      <w:r w:rsidRPr="00AE7B1D">
        <w:rPr>
          <w:rStyle w:val="FootnoteReference"/>
          <w:szCs w:val="18"/>
        </w:rPr>
        <w:footnoteRef/>
      </w:r>
      <w:r w:rsidRPr="00AE7B1D">
        <w:t xml:space="preserve"> </w:t>
      </w:r>
      <w:r w:rsidRPr="00AE7B1D">
        <w:rPr>
          <w:lang w:val="en-GB"/>
        </w:rPr>
        <w:t>National Heart Foundation 201</w:t>
      </w:r>
      <w:r>
        <w:rPr>
          <w:lang w:val="en-GB"/>
        </w:rPr>
        <w:t>9</w:t>
      </w:r>
      <w:r w:rsidRPr="00AE7B1D">
        <w:rPr>
          <w:lang w:val="en-GB"/>
        </w:rPr>
        <w:t xml:space="preserve">, </w:t>
      </w:r>
      <w:r w:rsidRPr="00AE7B1D">
        <w:t>Report on the monitoring of the implementation of the HSR System in the first four years of implementation: June 2014 to June 2018</w:t>
      </w:r>
      <w:r w:rsidRPr="00AE7B1D">
        <w:rPr>
          <w:lang w:val="en-GB"/>
        </w:rPr>
        <w:t>, prepared for the Commonwealth Department of Health, Canberra.</w:t>
      </w:r>
    </w:p>
  </w:footnote>
  <w:footnote w:id="16">
    <w:p w14:paraId="2123B6D6" w14:textId="327139D8" w:rsidR="00E254FE" w:rsidRPr="00243FD7" w:rsidRDefault="00E254FE" w:rsidP="003272AE">
      <w:pPr>
        <w:pStyle w:val="FootnoteText"/>
      </w:pPr>
      <w:r w:rsidRPr="00AE7B1D">
        <w:rPr>
          <w:rStyle w:val="FootnoteReference"/>
          <w:szCs w:val="18"/>
        </w:rPr>
        <w:footnoteRef/>
      </w:r>
      <w:r w:rsidRPr="00AE7B1D">
        <w:t xml:space="preserve"> </w:t>
      </w:r>
      <w:r w:rsidRPr="00AE7B1D">
        <w:rPr>
          <w:lang w:val="en-GB"/>
        </w:rPr>
        <w:t xml:space="preserve">New Zealand Food Safety 2018, </w:t>
      </w:r>
      <w:r w:rsidRPr="00AE7B1D">
        <w:rPr>
          <w:i/>
          <w:lang w:val="en-GB"/>
        </w:rPr>
        <w:t xml:space="preserve">Health Star Rating – Monitoring implementation for the Five Year Review, </w:t>
      </w:r>
      <w:r w:rsidRPr="00AE7B1D">
        <w:rPr>
          <w:lang w:val="en-GB"/>
        </w:rPr>
        <w:t xml:space="preserve">New Zealand Ministry </w:t>
      </w:r>
      <w:r w:rsidRPr="00243FD7">
        <w:rPr>
          <w:lang w:val="en-GB"/>
        </w:rPr>
        <w:t>for Primary Industries, October.</w:t>
      </w:r>
    </w:p>
  </w:footnote>
  <w:footnote w:id="17">
    <w:p w14:paraId="5CC96806" w14:textId="0BEE61E7" w:rsidR="00E254FE" w:rsidRPr="00243FD7" w:rsidRDefault="00E254FE" w:rsidP="00243FD7">
      <w:pPr>
        <w:autoSpaceDE w:val="0"/>
        <w:autoSpaceDN w:val="0"/>
        <w:adjustRightInd w:val="0"/>
        <w:rPr>
          <w:rFonts w:cstheme="minorHAnsi"/>
          <w:sz w:val="20"/>
          <w:szCs w:val="20"/>
          <w:lang w:val="en-GB"/>
        </w:rPr>
      </w:pPr>
      <w:r w:rsidRPr="00243FD7">
        <w:rPr>
          <w:rStyle w:val="FootnoteReference"/>
          <w:szCs w:val="18"/>
        </w:rPr>
        <w:footnoteRef/>
      </w:r>
      <w:r w:rsidRPr="00243FD7">
        <w:rPr>
          <w:sz w:val="18"/>
          <w:szCs w:val="18"/>
        </w:rPr>
        <w:t xml:space="preserve"> </w:t>
      </w:r>
      <w:r w:rsidRPr="00243FD7">
        <w:rPr>
          <w:rFonts w:cstheme="minorHAnsi"/>
          <w:sz w:val="18"/>
          <w:szCs w:val="18"/>
          <w:lang w:val="en-GB"/>
        </w:rPr>
        <w:t>Jones, A, Shahid, M &amp; Neal, B 2018</w:t>
      </w:r>
      <w:r w:rsidRPr="00243FD7">
        <w:rPr>
          <w:rFonts w:cstheme="minorHAnsi"/>
          <w:i/>
          <w:iCs/>
          <w:sz w:val="18"/>
          <w:szCs w:val="18"/>
          <w:lang w:val="en-GB"/>
        </w:rPr>
        <w:t xml:space="preserve"> </w:t>
      </w:r>
      <w:r w:rsidRPr="00243FD7">
        <w:rPr>
          <w:rFonts w:cstheme="minorHAnsi"/>
          <w:sz w:val="18"/>
          <w:szCs w:val="18"/>
          <w:lang w:val="en-GB"/>
        </w:rPr>
        <w:t xml:space="preserve">Uptake of Australia’s Health Star Rating System, The George Institute for Global Health, </w:t>
      </w:r>
      <w:r w:rsidRPr="00243FD7">
        <w:rPr>
          <w:rFonts w:cstheme="minorHAnsi"/>
          <w:i/>
          <w:iCs/>
          <w:sz w:val="18"/>
          <w:szCs w:val="18"/>
          <w:lang w:val="en-GB"/>
        </w:rPr>
        <w:t>Nutrients</w:t>
      </w:r>
      <w:r w:rsidRPr="00243FD7">
        <w:rPr>
          <w:rFonts w:cstheme="minorHAnsi"/>
          <w:sz w:val="18"/>
          <w:szCs w:val="18"/>
          <w:lang w:val="en-GB"/>
        </w:rPr>
        <w:t>, vol. 10, no. 8, 997, pp. 1-13.</w:t>
      </w:r>
    </w:p>
  </w:footnote>
  <w:footnote w:id="18">
    <w:p w14:paraId="0A9428C5" w14:textId="77777777" w:rsidR="00E254FE" w:rsidRPr="00243FD7" w:rsidRDefault="00E254FE" w:rsidP="009915BD">
      <w:pPr>
        <w:autoSpaceDE w:val="0"/>
        <w:autoSpaceDN w:val="0"/>
        <w:adjustRightInd w:val="0"/>
        <w:rPr>
          <w:rFonts w:cstheme="minorHAnsi"/>
          <w:color w:val="000000"/>
          <w:sz w:val="18"/>
          <w:szCs w:val="18"/>
          <w:lang w:val="en-US"/>
        </w:rPr>
      </w:pPr>
      <w:r w:rsidRPr="00243FD7">
        <w:rPr>
          <w:rStyle w:val="FootnoteReference"/>
          <w:rFonts w:cstheme="minorHAnsi"/>
          <w:szCs w:val="18"/>
        </w:rPr>
        <w:footnoteRef/>
      </w:r>
      <w:r w:rsidRPr="00243FD7">
        <w:rPr>
          <w:rFonts w:cstheme="minorHAnsi"/>
          <w:sz w:val="18"/>
          <w:szCs w:val="18"/>
        </w:rPr>
        <w:t xml:space="preserve"> </w:t>
      </w:r>
      <w:r w:rsidRPr="00243FD7">
        <w:rPr>
          <w:rFonts w:cstheme="minorHAnsi"/>
          <w:color w:val="000000"/>
          <w:sz w:val="18"/>
          <w:szCs w:val="18"/>
          <w:lang w:val="en-US"/>
        </w:rPr>
        <w:t>Neal, B, Crino, M, Dunford, E, Gao, A, Greenland, R, Li, N, Ngai, J, Ni Mhurchu, C, Pettigrew, S, Sacks, G, Webster, J &amp; Wu JHY November 2017, ‘Effects of different types of Front-of-Pack Labelling information on the healthiness of food purchases – a Randomised Controlled Trial’,</w:t>
      </w:r>
      <w:r w:rsidRPr="00243FD7">
        <w:rPr>
          <w:rFonts w:cstheme="minorHAnsi"/>
          <w:i/>
          <w:iCs/>
          <w:color w:val="000000"/>
          <w:sz w:val="18"/>
          <w:szCs w:val="18"/>
          <w:lang w:val="en-US"/>
        </w:rPr>
        <w:t xml:space="preserve"> Nutrients</w:t>
      </w:r>
      <w:r w:rsidRPr="00243FD7">
        <w:rPr>
          <w:rFonts w:cstheme="minorHAnsi"/>
          <w:color w:val="000000"/>
          <w:sz w:val="18"/>
          <w:szCs w:val="18"/>
          <w:lang w:val="en-US"/>
        </w:rPr>
        <w:t>, vol. 9, no. 12, p. 1284.</w:t>
      </w:r>
    </w:p>
  </w:footnote>
  <w:footnote w:id="19">
    <w:p w14:paraId="2C71EC76" w14:textId="6A1E743B" w:rsidR="00E254FE" w:rsidRPr="00243FD7" w:rsidRDefault="00E254FE" w:rsidP="00243FD7">
      <w:pPr>
        <w:pStyle w:val="mpcNormal"/>
        <w:keepNext w:val="0"/>
        <w:rPr>
          <w:sz w:val="18"/>
          <w:szCs w:val="18"/>
          <w:lang w:val="en-GB"/>
        </w:rPr>
      </w:pPr>
      <w:r w:rsidRPr="00243FD7">
        <w:rPr>
          <w:rStyle w:val="FootnoteReference"/>
          <w:szCs w:val="18"/>
        </w:rPr>
        <w:footnoteRef/>
      </w:r>
      <w:r w:rsidRPr="00243FD7">
        <w:rPr>
          <w:sz w:val="18"/>
          <w:szCs w:val="18"/>
        </w:rPr>
        <w:t xml:space="preserve"> </w:t>
      </w:r>
      <w:r w:rsidRPr="00243FD7">
        <w:rPr>
          <w:sz w:val="18"/>
          <w:szCs w:val="18"/>
          <w:lang w:val="en-GB"/>
        </w:rPr>
        <w:t xml:space="preserve">Talati, Z, Pettigrew, S, Kelly, B &amp; Ball, K, 2016 ‘Consumers’ responses to front-of-pack labels that vary by interpretive content’, </w:t>
      </w:r>
      <w:r w:rsidRPr="00243FD7">
        <w:rPr>
          <w:i/>
          <w:iCs/>
          <w:sz w:val="18"/>
          <w:szCs w:val="18"/>
          <w:lang w:val="en-GB"/>
        </w:rPr>
        <w:t>Appetite</w:t>
      </w:r>
      <w:r w:rsidRPr="00243FD7">
        <w:rPr>
          <w:sz w:val="18"/>
          <w:szCs w:val="18"/>
          <w:lang w:val="en-GB"/>
        </w:rPr>
        <w:t>, vol. 101, pp. 205-213.</w:t>
      </w:r>
    </w:p>
  </w:footnote>
  <w:footnote w:id="20">
    <w:p w14:paraId="4FC28DFD" w14:textId="530BDF2F" w:rsidR="00E254FE" w:rsidRPr="00243FD7" w:rsidRDefault="00E254FE" w:rsidP="003A051A">
      <w:pPr>
        <w:pStyle w:val="mpcNormal"/>
        <w:rPr>
          <w:sz w:val="18"/>
          <w:szCs w:val="18"/>
          <w:lang w:val="en-GB"/>
        </w:rPr>
      </w:pPr>
      <w:r w:rsidRPr="00243FD7">
        <w:rPr>
          <w:rStyle w:val="FootnoteReference"/>
          <w:szCs w:val="18"/>
        </w:rPr>
        <w:footnoteRef/>
      </w:r>
      <w:r w:rsidRPr="00243FD7">
        <w:rPr>
          <w:sz w:val="18"/>
          <w:szCs w:val="18"/>
        </w:rPr>
        <w:t xml:space="preserve"> </w:t>
      </w:r>
      <w:r w:rsidRPr="00243FD7">
        <w:rPr>
          <w:sz w:val="18"/>
          <w:szCs w:val="18"/>
          <w:lang w:val="en-GB"/>
        </w:rPr>
        <w:t xml:space="preserve">Pettigrew, S, Talati, Z, Miller, C, Dixon, H, Kelly, B, &amp; Ball, K 2017 ‘The types and aspects of front-of-pack food labelling schemes preferred by adults and children’, </w:t>
      </w:r>
      <w:r w:rsidRPr="00243FD7">
        <w:rPr>
          <w:i/>
          <w:iCs/>
          <w:sz w:val="18"/>
          <w:szCs w:val="18"/>
          <w:lang w:val="en-GB"/>
        </w:rPr>
        <w:t>Appetite</w:t>
      </w:r>
      <w:r w:rsidRPr="00243FD7">
        <w:rPr>
          <w:sz w:val="18"/>
          <w:szCs w:val="18"/>
          <w:lang w:val="en-GB"/>
        </w:rPr>
        <w:t>, vol. 109, pp. 115-123</w:t>
      </w:r>
    </w:p>
  </w:footnote>
  <w:footnote w:id="21">
    <w:p w14:paraId="5C1803E1" w14:textId="52EA84CE" w:rsidR="00E254FE" w:rsidRPr="00243FD7" w:rsidRDefault="00E254FE" w:rsidP="003272AE">
      <w:pPr>
        <w:pStyle w:val="FootnoteText"/>
      </w:pPr>
      <w:r w:rsidRPr="00243FD7">
        <w:rPr>
          <w:rStyle w:val="FootnoteReference"/>
          <w:szCs w:val="18"/>
        </w:rPr>
        <w:footnoteRef/>
      </w:r>
      <w:r w:rsidRPr="00243FD7">
        <w:t xml:space="preserve"> </w:t>
      </w:r>
      <w:r w:rsidRPr="00243FD7">
        <w:rPr>
          <w:lang w:val="en-GB"/>
        </w:rPr>
        <w:t xml:space="preserve">Talati, Z, Pettigrew, S, Kelly, B, Ball, K, Hughes, C, Kelly, B, Neal, B, &amp; Dixon, H, 2017 ‘The relative ability of different front-of-pack labels to assist consumers discriminate between healthy, moderately healthy, and unhealthy foods’, </w:t>
      </w:r>
      <w:r w:rsidRPr="00243FD7">
        <w:rPr>
          <w:i/>
          <w:iCs/>
          <w:lang w:val="en-GB"/>
        </w:rPr>
        <w:t>Food quality and preference</w:t>
      </w:r>
      <w:r w:rsidRPr="00243FD7">
        <w:rPr>
          <w:lang w:val="en-GB"/>
        </w:rPr>
        <w:t>, vol. 59, pp. 109-113</w:t>
      </w:r>
    </w:p>
  </w:footnote>
  <w:footnote w:id="22">
    <w:p w14:paraId="6F5D91E0" w14:textId="51D7A23A" w:rsidR="00E254FE" w:rsidRPr="00243FD7" w:rsidRDefault="00E254FE" w:rsidP="003272AE">
      <w:pPr>
        <w:pStyle w:val="FootnoteText"/>
      </w:pPr>
      <w:r w:rsidRPr="00243FD7">
        <w:rPr>
          <w:rStyle w:val="FootnoteReference"/>
          <w:szCs w:val="18"/>
        </w:rPr>
        <w:footnoteRef/>
      </w:r>
      <w:r w:rsidRPr="00243FD7">
        <w:t xml:space="preserve"> </w:t>
      </w:r>
      <w:r w:rsidRPr="00243FD7">
        <w:rPr>
          <w:lang w:val="en-GB"/>
        </w:rPr>
        <w:t xml:space="preserve">Talati, Z, Norman, R, Pettigrew, S, Neal, B, Kelly, B, Dixon, H, Ball, K, Miller, C, &amp; Shilton, T 2017 ‘The impact of interpretive and reductive front-of-pack labels on food choice and willingness to pay’ </w:t>
      </w:r>
      <w:r w:rsidRPr="00243FD7">
        <w:rPr>
          <w:i/>
          <w:lang w:val="en-GB"/>
        </w:rPr>
        <w:t>International Journal of Behavioural Nutrition and Physical Activity</w:t>
      </w:r>
      <w:r w:rsidRPr="00243FD7">
        <w:rPr>
          <w:lang w:val="en-GB"/>
        </w:rPr>
        <w:t>, vol. 14, no. 1, p. 171</w:t>
      </w:r>
    </w:p>
  </w:footnote>
  <w:footnote w:id="23">
    <w:p w14:paraId="5FC8991A" w14:textId="6070DBAE" w:rsidR="00E254FE" w:rsidRPr="00243FD7" w:rsidRDefault="00E254FE" w:rsidP="000D5F6E">
      <w:pPr>
        <w:pStyle w:val="NoSpacing"/>
        <w:rPr>
          <w:rFonts w:cstheme="minorHAnsi"/>
          <w:sz w:val="18"/>
          <w:szCs w:val="18"/>
          <w:lang w:val="en-GB"/>
        </w:rPr>
      </w:pPr>
      <w:r w:rsidRPr="00243FD7">
        <w:rPr>
          <w:rStyle w:val="FootnoteReference"/>
          <w:szCs w:val="18"/>
        </w:rPr>
        <w:footnoteRef/>
      </w:r>
      <w:r w:rsidRPr="00243FD7">
        <w:rPr>
          <w:sz w:val="18"/>
          <w:szCs w:val="18"/>
        </w:rPr>
        <w:t xml:space="preserve"> </w:t>
      </w:r>
      <w:r w:rsidRPr="00243FD7">
        <w:rPr>
          <w:rFonts w:cstheme="minorHAnsi"/>
          <w:sz w:val="18"/>
          <w:szCs w:val="18"/>
          <w:lang w:val="en-GB"/>
        </w:rPr>
        <w:t xml:space="preserve">Ni Mhurchu, C, Volkova, K, Jiang, Y, Eyles, H, Michie, J, Neal, B, Blakely, T, Swinburn, B &amp; Rayner, M ‘Effects of interpretive nutrition labels on consumer food purchases: the Starlight randomized controlled trial’, </w:t>
      </w:r>
      <w:r w:rsidRPr="00243FD7">
        <w:rPr>
          <w:rFonts w:cstheme="minorHAnsi"/>
          <w:i/>
          <w:sz w:val="18"/>
          <w:szCs w:val="18"/>
          <w:lang w:val="en-GB"/>
        </w:rPr>
        <w:t>The American Journal of Clinical Nutrition</w:t>
      </w:r>
      <w:r w:rsidRPr="00243FD7">
        <w:rPr>
          <w:rFonts w:cstheme="minorHAnsi"/>
          <w:sz w:val="18"/>
          <w:szCs w:val="18"/>
          <w:lang w:val="en-GB"/>
        </w:rPr>
        <w:t>, vol. 105, pp. 695-704.</w:t>
      </w:r>
    </w:p>
  </w:footnote>
  <w:footnote w:id="24">
    <w:p w14:paraId="159CDB24" w14:textId="6B292908" w:rsidR="00E254FE" w:rsidRPr="00243FD7" w:rsidRDefault="00E254FE" w:rsidP="000D5F6E">
      <w:pPr>
        <w:pStyle w:val="NoSpacing"/>
        <w:rPr>
          <w:rFonts w:cstheme="minorHAnsi"/>
          <w:sz w:val="20"/>
          <w:szCs w:val="20"/>
          <w:lang w:val="en-GB"/>
        </w:rPr>
      </w:pPr>
      <w:r w:rsidRPr="00243FD7">
        <w:rPr>
          <w:rStyle w:val="FootnoteReference"/>
          <w:szCs w:val="18"/>
        </w:rPr>
        <w:footnoteRef/>
      </w:r>
      <w:r w:rsidRPr="00243FD7">
        <w:rPr>
          <w:sz w:val="18"/>
          <w:szCs w:val="18"/>
        </w:rPr>
        <w:t xml:space="preserve"> </w:t>
      </w:r>
      <w:r w:rsidRPr="00243FD7">
        <w:rPr>
          <w:rFonts w:cstheme="minorHAnsi"/>
          <w:sz w:val="18"/>
          <w:szCs w:val="18"/>
          <w:lang w:val="en-GB"/>
        </w:rPr>
        <w:t xml:space="preserve">Ni Mhurchu, C, Eyles, H, Jiang, Y &amp; Blakely, T 2018, ‘Do nutrition labels influence healthier food choices? Analysis of label viewing behaviour and subsequent food purchases in a labelling intervention trial’, </w:t>
      </w:r>
      <w:r w:rsidRPr="00243FD7">
        <w:rPr>
          <w:rFonts w:cstheme="minorHAnsi"/>
          <w:i/>
          <w:iCs/>
          <w:sz w:val="18"/>
          <w:szCs w:val="18"/>
          <w:lang w:val="en-GB"/>
        </w:rPr>
        <w:t>Appetite</w:t>
      </w:r>
      <w:r w:rsidRPr="00243FD7">
        <w:rPr>
          <w:rFonts w:cstheme="minorHAnsi"/>
          <w:sz w:val="18"/>
          <w:szCs w:val="18"/>
          <w:lang w:val="en-GB"/>
        </w:rPr>
        <w:t>, vol. 121, pp 360-365.</w:t>
      </w:r>
    </w:p>
  </w:footnote>
  <w:footnote w:id="25">
    <w:p w14:paraId="4D777AD8" w14:textId="531543AD" w:rsidR="00E254FE" w:rsidRPr="00C626CB" w:rsidRDefault="00E254FE" w:rsidP="00243FD7">
      <w:pPr>
        <w:pStyle w:val="NoSpacing"/>
        <w:rPr>
          <w:rFonts w:cstheme="minorHAnsi"/>
          <w:sz w:val="18"/>
          <w:szCs w:val="18"/>
        </w:rPr>
      </w:pPr>
      <w:r w:rsidRPr="00C626CB">
        <w:rPr>
          <w:rStyle w:val="FootnoteReference"/>
          <w:rFonts w:cstheme="minorHAnsi"/>
          <w:szCs w:val="18"/>
        </w:rPr>
        <w:footnoteRef/>
      </w:r>
      <w:r w:rsidRPr="00C626CB">
        <w:rPr>
          <w:rFonts w:cstheme="minorHAnsi"/>
          <w:sz w:val="18"/>
          <w:szCs w:val="18"/>
        </w:rPr>
        <w:t xml:space="preserve"> Mantilla Herrera, A, Crino, M, Erskin, H, Sacks, G, Anathapavan, J, Ni Mhurchu, C &amp; Lee, Y 2018 ‘Cost-effectiveness of product reformulation in response to the Health Start Rating food labelling system in Australia’, </w:t>
      </w:r>
      <w:r w:rsidRPr="00C626CB">
        <w:rPr>
          <w:rFonts w:cstheme="minorHAnsi"/>
          <w:i/>
          <w:iCs/>
          <w:sz w:val="18"/>
          <w:szCs w:val="18"/>
        </w:rPr>
        <w:t>Nutrients</w:t>
      </w:r>
      <w:r w:rsidRPr="00C626CB">
        <w:rPr>
          <w:rFonts w:cstheme="minorHAnsi"/>
          <w:sz w:val="18"/>
          <w:szCs w:val="18"/>
        </w:rPr>
        <w:t>, vol. 10, no. 614, pp. 2-16.</w:t>
      </w:r>
    </w:p>
  </w:footnote>
  <w:footnote w:id="26">
    <w:p w14:paraId="7BB09FA9" w14:textId="2C6B8B12" w:rsidR="00E254FE" w:rsidRPr="00C626CB" w:rsidRDefault="00E254FE" w:rsidP="00C626CB">
      <w:pPr>
        <w:pStyle w:val="NoSpacing"/>
        <w:rPr>
          <w:rFonts w:cstheme="minorHAnsi"/>
          <w:sz w:val="20"/>
          <w:szCs w:val="20"/>
          <w:lang w:val="en-GB"/>
        </w:rPr>
      </w:pPr>
      <w:r w:rsidRPr="00C626CB">
        <w:rPr>
          <w:rStyle w:val="FootnoteReference"/>
          <w:rFonts w:cstheme="minorHAnsi"/>
          <w:szCs w:val="18"/>
        </w:rPr>
        <w:footnoteRef/>
      </w:r>
      <w:r w:rsidRPr="00C626CB">
        <w:rPr>
          <w:rFonts w:cstheme="minorHAnsi"/>
          <w:sz w:val="18"/>
          <w:szCs w:val="18"/>
        </w:rPr>
        <w:t xml:space="preserve"> </w:t>
      </w:r>
      <w:r w:rsidRPr="00C626CB">
        <w:rPr>
          <w:rFonts w:cstheme="minorHAnsi"/>
          <w:sz w:val="18"/>
          <w:szCs w:val="18"/>
          <w:lang w:val="en-GB"/>
        </w:rPr>
        <w:t xml:space="preserve">Ni Mhurchu, C, Eyles, H &amp; Choi, Y, 2017 ‘Effects of a Voluntary Front-of-Pack Nutrition Labelling System on packaged food reformulation: the Health Star Rating system in New Zealand’, </w:t>
      </w:r>
      <w:r w:rsidRPr="00C626CB">
        <w:rPr>
          <w:rFonts w:cstheme="minorHAnsi"/>
          <w:i/>
          <w:iCs/>
          <w:sz w:val="18"/>
          <w:szCs w:val="18"/>
          <w:lang w:val="en-GB"/>
        </w:rPr>
        <w:t>Nutrients</w:t>
      </w:r>
      <w:r w:rsidRPr="00C626CB">
        <w:rPr>
          <w:rFonts w:cstheme="minorHAnsi"/>
          <w:sz w:val="18"/>
          <w:szCs w:val="18"/>
          <w:lang w:val="en-GB"/>
        </w:rPr>
        <w:t>, vol. 9, no. 918.</w:t>
      </w:r>
    </w:p>
  </w:footnote>
  <w:footnote w:id="27">
    <w:p w14:paraId="41EA0583" w14:textId="77777777" w:rsidR="00E254FE" w:rsidRPr="00F26AAA" w:rsidRDefault="00E254FE" w:rsidP="003272AE">
      <w:pPr>
        <w:pStyle w:val="FootnoteText"/>
      </w:pPr>
      <w:r w:rsidRPr="00F26AAA">
        <w:rPr>
          <w:rStyle w:val="FootnoteReference"/>
          <w:szCs w:val="18"/>
        </w:rPr>
        <w:footnoteRef/>
      </w:r>
      <w:r w:rsidRPr="00F26AAA">
        <w:t xml:space="preserve"> TAG technical paper, October 2018, </w:t>
      </w:r>
      <w:r w:rsidRPr="003039F9">
        <w:rPr>
          <w:i/>
          <w:iCs/>
        </w:rPr>
        <w:t>History and development of the HSR algorithm</w:t>
      </w:r>
      <w:r w:rsidRPr="00F26AAA">
        <w:t>, p.11</w:t>
      </w:r>
    </w:p>
  </w:footnote>
  <w:footnote w:id="28">
    <w:p w14:paraId="49E25AD1" w14:textId="4599B130" w:rsidR="00E254FE" w:rsidRPr="00F26AAA" w:rsidRDefault="00E254FE" w:rsidP="003272AE">
      <w:pPr>
        <w:pStyle w:val="FootnoteText"/>
      </w:pPr>
      <w:r w:rsidRPr="00F26AAA">
        <w:rPr>
          <w:rStyle w:val="FootnoteReference"/>
          <w:szCs w:val="18"/>
        </w:rPr>
        <w:footnoteRef/>
      </w:r>
      <w:r w:rsidRPr="00F26AAA">
        <w:t xml:space="preserve"> National Heart Foundation, 2018, </w:t>
      </w:r>
      <w:r w:rsidRPr="003039F9">
        <w:rPr>
          <w:i/>
          <w:iCs/>
        </w:rPr>
        <w:t>Report on the monitoring of the implementation of the Health Star Rating system: Area of Enquiry 2 – Consumer awareness and ability to use the Health Star Rating system correctly</w:t>
      </w:r>
      <w:r w:rsidRPr="00F26AAA">
        <w:t>, prepared for the Department of Health</w:t>
      </w:r>
    </w:p>
  </w:footnote>
  <w:footnote w:id="29">
    <w:p w14:paraId="0BC2D0CE" w14:textId="66BD5CC3" w:rsidR="00E254FE" w:rsidRPr="00F26AAA" w:rsidRDefault="00E254FE" w:rsidP="00F26AAA">
      <w:pPr>
        <w:pStyle w:val="NoSpacing"/>
        <w:rPr>
          <w:rFonts w:cstheme="minorHAnsi"/>
          <w:sz w:val="18"/>
          <w:szCs w:val="18"/>
          <w:lang w:val="en-GB"/>
        </w:rPr>
      </w:pPr>
      <w:r w:rsidRPr="00F26AAA">
        <w:rPr>
          <w:rStyle w:val="FootnoteReference"/>
          <w:szCs w:val="18"/>
        </w:rPr>
        <w:footnoteRef/>
      </w:r>
      <w:r w:rsidRPr="00F26AAA">
        <w:rPr>
          <w:sz w:val="18"/>
          <w:szCs w:val="18"/>
        </w:rPr>
        <w:t xml:space="preserve"> </w:t>
      </w:r>
      <w:r w:rsidRPr="00F26AAA">
        <w:rPr>
          <w:rFonts w:cstheme="minorHAnsi"/>
          <w:sz w:val="18"/>
          <w:szCs w:val="18"/>
          <w:lang w:val="en-GB"/>
        </w:rPr>
        <w:t xml:space="preserve">Jones, A, Radholm, K &amp; Neal, B </w:t>
      </w:r>
      <w:r w:rsidRPr="00F26AAA">
        <w:rPr>
          <w:rFonts w:cstheme="minorHAnsi"/>
          <w:iCs/>
          <w:sz w:val="18"/>
          <w:szCs w:val="18"/>
          <w:lang w:val="en-GB"/>
        </w:rPr>
        <w:t>2018,</w:t>
      </w:r>
      <w:r w:rsidRPr="00F26AAA">
        <w:rPr>
          <w:rFonts w:cstheme="minorHAnsi"/>
          <w:sz w:val="18"/>
          <w:szCs w:val="18"/>
          <w:lang w:val="en-GB"/>
        </w:rPr>
        <w:t xml:space="preserve"> ‘Defining ‘Unhealthy’: a systematic analysis of alignment between the Australian Dietary Guidelines and the Health Star Rating System’, </w:t>
      </w:r>
      <w:r w:rsidRPr="00F26AAA">
        <w:rPr>
          <w:rFonts w:cstheme="minorHAnsi"/>
          <w:i/>
          <w:iCs/>
          <w:sz w:val="18"/>
          <w:szCs w:val="18"/>
          <w:lang w:val="en-GB"/>
        </w:rPr>
        <w:t xml:space="preserve">Nutrients, </w:t>
      </w:r>
      <w:r w:rsidRPr="00F26AAA">
        <w:rPr>
          <w:rFonts w:cstheme="minorHAnsi"/>
          <w:iCs/>
          <w:sz w:val="18"/>
          <w:szCs w:val="18"/>
          <w:lang w:val="en-GB"/>
        </w:rPr>
        <w:t>vol.</w:t>
      </w:r>
      <w:r w:rsidRPr="00F26AAA">
        <w:rPr>
          <w:rFonts w:cstheme="minorHAnsi"/>
          <w:sz w:val="18"/>
          <w:szCs w:val="18"/>
          <w:lang w:val="en-GB"/>
        </w:rPr>
        <w:t xml:space="preserve"> 10, no. 501.</w:t>
      </w:r>
    </w:p>
  </w:footnote>
  <w:footnote w:id="30">
    <w:p w14:paraId="4BD1303F" w14:textId="4BAA4A62" w:rsidR="00E254FE" w:rsidRPr="00F26AAA" w:rsidRDefault="00E254FE" w:rsidP="00F26AAA">
      <w:pPr>
        <w:pStyle w:val="NoSpacing"/>
        <w:rPr>
          <w:rFonts w:cstheme="minorHAnsi"/>
          <w:sz w:val="18"/>
          <w:szCs w:val="18"/>
          <w:lang w:val="en-GB"/>
        </w:rPr>
      </w:pPr>
      <w:r w:rsidRPr="00F26AAA">
        <w:rPr>
          <w:rStyle w:val="FootnoteReference"/>
          <w:szCs w:val="18"/>
        </w:rPr>
        <w:footnoteRef/>
      </w:r>
      <w:r w:rsidRPr="00F26AAA">
        <w:rPr>
          <w:sz w:val="18"/>
          <w:szCs w:val="18"/>
        </w:rPr>
        <w:t xml:space="preserve"> </w:t>
      </w:r>
      <w:r w:rsidRPr="00F26AAA">
        <w:rPr>
          <w:rFonts w:cstheme="minorHAnsi"/>
          <w:sz w:val="18"/>
          <w:szCs w:val="18"/>
          <w:lang w:val="en-GB"/>
        </w:rPr>
        <w:t>Lawrence, M, Dickie, S &amp; Woods, J 2018, ‘Do nutrient-based front-of-pack labelling schemes support or undermine food-based dietary guideline recommendations? Lessons from the Australian Health Star Rating System’,</w:t>
      </w:r>
      <w:r w:rsidRPr="00F26AAA">
        <w:rPr>
          <w:rFonts w:cstheme="minorHAnsi"/>
          <w:i/>
          <w:iCs/>
          <w:sz w:val="18"/>
          <w:szCs w:val="18"/>
          <w:lang w:val="en-GB"/>
        </w:rPr>
        <w:t xml:space="preserve"> Nutrients</w:t>
      </w:r>
      <w:r w:rsidRPr="00F26AAA">
        <w:rPr>
          <w:rFonts w:cstheme="minorHAnsi"/>
          <w:sz w:val="18"/>
          <w:szCs w:val="18"/>
          <w:lang w:val="en-GB"/>
        </w:rPr>
        <w:t xml:space="preserve">, vol. 5. </w:t>
      </w:r>
    </w:p>
  </w:footnote>
  <w:footnote w:id="31">
    <w:p w14:paraId="3334D0AE" w14:textId="3E7C013B" w:rsidR="00E254FE" w:rsidRPr="00F26AAA" w:rsidRDefault="00E254FE" w:rsidP="00F26AAA">
      <w:pPr>
        <w:autoSpaceDE w:val="0"/>
        <w:autoSpaceDN w:val="0"/>
        <w:adjustRightInd w:val="0"/>
        <w:rPr>
          <w:rFonts w:cstheme="minorHAnsi"/>
          <w:sz w:val="18"/>
          <w:szCs w:val="18"/>
          <w:lang w:val="en-GB"/>
        </w:rPr>
      </w:pPr>
      <w:r w:rsidRPr="00F26AAA">
        <w:rPr>
          <w:rStyle w:val="FootnoteReference"/>
          <w:szCs w:val="18"/>
        </w:rPr>
        <w:footnoteRef/>
      </w:r>
      <w:r w:rsidRPr="00F26AAA">
        <w:rPr>
          <w:sz w:val="18"/>
          <w:szCs w:val="18"/>
        </w:rPr>
        <w:t xml:space="preserve"> </w:t>
      </w:r>
      <w:r w:rsidRPr="00F26AAA">
        <w:rPr>
          <w:rFonts w:cstheme="minorHAnsi"/>
          <w:sz w:val="18"/>
          <w:szCs w:val="18"/>
          <w:lang w:val="en-GB"/>
        </w:rPr>
        <w:t xml:space="preserve">Dunford, E, Cobcroft, M, Thomas, M, &amp; Wu, J.H. 2015, </w:t>
      </w:r>
      <w:r w:rsidRPr="00F26AAA">
        <w:rPr>
          <w:rFonts w:cstheme="minorHAnsi"/>
          <w:i/>
          <w:iCs/>
          <w:sz w:val="18"/>
          <w:szCs w:val="18"/>
          <w:lang w:val="en-GB"/>
        </w:rPr>
        <w:t>Technical Report: Alignment of NSW Healthy Food Provision Policy with the Health Star Rating System</w:t>
      </w:r>
      <w:r w:rsidRPr="00F26AAA">
        <w:rPr>
          <w:rFonts w:cstheme="minorHAnsi"/>
          <w:sz w:val="18"/>
          <w:szCs w:val="18"/>
          <w:lang w:val="en-GB"/>
        </w:rPr>
        <w:t>, NSW Ministry of Health, Sydney.</w:t>
      </w:r>
    </w:p>
  </w:footnote>
  <w:footnote w:id="32">
    <w:p w14:paraId="0C367D5A" w14:textId="2C410FC8" w:rsidR="00E254FE" w:rsidRPr="00F26AAA" w:rsidRDefault="00E254FE" w:rsidP="00F26AAA">
      <w:pPr>
        <w:pStyle w:val="NoSpacing"/>
        <w:rPr>
          <w:rFonts w:cstheme="minorHAnsi"/>
          <w:sz w:val="18"/>
          <w:szCs w:val="18"/>
          <w:lang w:val="en-GB"/>
        </w:rPr>
      </w:pPr>
      <w:r w:rsidRPr="00F26AAA">
        <w:rPr>
          <w:sz w:val="18"/>
          <w:szCs w:val="18"/>
          <w:vertAlign w:val="superscript"/>
          <w:lang w:val="en-GB"/>
        </w:rPr>
        <w:footnoteRef/>
      </w:r>
      <w:r w:rsidRPr="00F26AAA">
        <w:rPr>
          <w:sz w:val="18"/>
          <w:szCs w:val="18"/>
          <w:vertAlign w:val="superscript"/>
          <w:lang w:val="en-GB"/>
        </w:rPr>
        <w:t xml:space="preserve"> </w:t>
      </w:r>
      <w:r w:rsidRPr="00F26AAA">
        <w:rPr>
          <w:rFonts w:cstheme="minorHAnsi"/>
          <w:sz w:val="18"/>
          <w:szCs w:val="18"/>
          <w:lang w:val="en-GB"/>
        </w:rPr>
        <w:t>Wellard, L, Hughes, C &amp; Watson, W 2016, ‘Investigating nutrient profiling and Health Star Ratings on core dairy products in Australia</w:t>
      </w:r>
      <w:r>
        <w:rPr>
          <w:rFonts w:cstheme="minorHAnsi"/>
          <w:sz w:val="18"/>
          <w:szCs w:val="18"/>
          <w:lang w:val="en-GB"/>
        </w:rPr>
        <w:t>’</w:t>
      </w:r>
      <w:r w:rsidRPr="00F26AAA">
        <w:rPr>
          <w:rFonts w:cstheme="minorHAnsi"/>
          <w:sz w:val="18"/>
          <w:szCs w:val="18"/>
          <w:lang w:val="en-GB"/>
        </w:rPr>
        <w:t xml:space="preserve">, </w:t>
      </w:r>
      <w:r w:rsidRPr="00F26AAA">
        <w:rPr>
          <w:rFonts w:cstheme="minorHAnsi"/>
          <w:i/>
          <w:iCs/>
          <w:sz w:val="18"/>
          <w:szCs w:val="18"/>
          <w:lang w:val="en-GB"/>
        </w:rPr>
        <w:t>Public Health Nutrition</w:t>
      </w:r>
      <w:r w:rsidRPr="00F26AAA">
        <w:rPr>
          <w:rFonts w:cstheme="minorHAnsi"/>
          <w:sz w:val="18"/>
          <w:szCs w:val="18"/>
          <w:lang w:val="en-GB"/>
        </w:rPr>
        <w:t>, vol. 19, no. 15, pp. 2860-2865.</w:t>
      </w:r>
    </w:p>
  </w:footnote>
  <w:footnote w:id="33">
    <w:p w14:paraId="2173ACE1" w14:textId="7E62D2C6" w:rsidR="00E254FE" w:rsidRPr="00F26AAA" w:rsidRDefault="00E254FE" w:rsidP="00F26AAA">
      <w:pPr>
        <w:pStyle w:val="Default"/>
        <w:rPr>
          <w:rFonts w:asciiTheme="minorHAnsi" w:hAnsiTheme="minorHAnsi" w:cstheme="minorHAnsi"/>
          <w:color w:val="auto"/>
          <w:sz w:val="18"/>
          <w:szCs w:val="18"/>
          <w:lang w:val="en-GB"/>
        </w:rPr>
      </w:pPr>
      <w:r w:rsidRPr="00F26AAA">
        <w:rPr>
          <w:rStyle w:val="FootnoteReference"/>
          <w:szCs w:val="18"/>
        </w:rPr>
        <w:footnoteRef/>
      </w:r>
      <w:r w:rsidRPr="00F26AAA">
        <w:rPr>
          <w:sz w:val="18"/>
          <w:szCs w:val="18"/>
        </w:rPr>
        <w:t xml:space="preserve"> </w:t>
      </w:r>
      <w:r w:rsidRPr="00F26AAA">
        <w:rPr>
          <w:rFonts w:asciiTheme="minorHAnsi" w:hAnsiTheme="minorHAnsi" w:cstheme="minorHAnsi"/>
          <w:color w:val="auto"/>
          <w:sz w:val="18"/>
          <w:szCs w:val="18"/>
          <w:lang w:val="en-GB"/>
        </w:rPr>
        <w:t xml:space="preserve">Carrad, A, Louie, JCY, Yeatman, HR, Dunford, EK, Neal, BC &amp; Flood, VM 2016 ‘A nutrient profiling assessment of packaged foods using two star-based front-of-pack labels’, </w:t>
      </w:r>
      <w:r w:rsidRPr="00F26AAA">
        <w:rPr>
          <w:rFonts w:asciiTheme="minorHAnsi" w:hAnsiTheme="minorHAnsi" w:cstheme="minorHAnsi"/>
          <w:i/>
          <w:iCs/>
          <w:color w:val="auto"/>
          <w:sz w:val="18"/>
          <w:szCs w:val="18"/>
          <w:lang w:val="en-GB"/>
        </w:rPr>
        <w:t>Public Health Nutrition</w:t>
      </w:r>
      <w:r w:rsidRPr="00F26AAA">
        <w:rPr>
          <w:rFonts w:asciiTheme="minorHAnsi" w:hAnsiTheme="minorHAnsi" w:cstheme="minorHAnsi"/>
          <w:color w:val="auto"/>
          <w:sz w:val="18"/>
          <w:szCs w:val="18"/>
          <w:lang w:val="en-GB"/>
        </w:rPr>
        <w:t>, vol. 19, no. 12, pp. 2165-2174.</w:t>
      </w:r>
    </w:p>
  </w:footnote>
  <w:footnote w:id="34">
    <w:p w14:paraId="6DBBFCA4" w14:textId="4F1C8E8D" w:rsidR="00E254FE" w:rsidRPr="00C14D9F" w:rsidRDefault="00E254FE" w:rsidP="003272AE">
      <w:pPr>
        <w:pStyle w:val="FootnoteText"/>
      </w:pPr>
      <w:r w:rsidRPr="00F26AAA">
        <w:rPr>
          <w:rStyle w:val="FootnoteReference"/>
          <w:szCs w:val="18"/>
        </w:rPr>
        <w:footnoteRef/>
      </w:r>
      <w:r w:rsidRPr="00F26AAA">
        <w:t xml:space="preserve"> TAG technical paper, October 2018, </w:t>
      </w:r>
      <w:r w:rsidRPr="003039F9">
        <w:rPr>
          <w:i/>
          <w:iCs/>
        </w:rPr>
        <w:t>Alignment of the HSR System with the Australian and New Zealand Dietary Guidelines: Analysis of alignment and identification of outliers</w:t>
      </w:r>
      <w:r>
        <w:rPr>
          <w:i/>
          <w:iCs/>
        </w:rPr>
        <w:t>.</w:t>
      </w:r>
    </w:p>
  </w:footnote>
  <w:footnote w:id="35">
    <w:p w14:paraId="5FB5BBEA" w14:textId="07CE7D35" w:rsidR="00E254FE" w:rsidRDefault="00E254FE" w:rsidP="003272AE">
      <w:pPr>
        <w:pStyle w:val="FootnoteText"/>
      </w:pPr>
      <w:r>
        <w:rPr>
          <w:rStyle w:val="FootnoteReference"/>
        </w:rPr>
        <w:footnoteRef/>
      </w:r>
      <w:r>
        <w:t xml:space="preserve"> </w:t>
      </w:r>
      <w:r w:rsidRPr="00980BD1">
        <w:rPr>
          <w:szCs w:val="18"/>
        </w:rPr>
        <w:t>FSANZ, 2017,</w:t>
      </w:r>
      <w:r>
        <w:rPr>
          <w:szCs w:val="18"/>
        </w:rPr>
        <w:t xml:space="preserve"> </w:t>
      </w:r>
      <w:r w:rsidRPr="005A3631">
        <w:rPr>
          <w:i/>
          <w:szCs w:val="18"/>
        </w:rPr>
        <w:t>Australia</w:t>
      </w:r>
      <w:r w:rsidRPr="001C7B7D">
        <w:rPr>
          <w:i/>
          <w:szCs w:val="18"/>
        </w:rPr>
        <w:t xml:space="preserve"> New Zealand Food Standards Code – </w:t>
      </w:r>
      <w:hyperlink r:id="rId3" w:history="1">
        <w:r w:rsidRPr="00980BD1">
          <w:rPr>
            <w:rStyle w:val="Hyperlink"/>
            <w:i/>
            <w:szCs w:val="18"/>
          </w:rPr>
          <w:t>Schedule 4 Nutrition, health and related claims</w:t>
        </w:r>
      </w:hyperlink>
    </w:p>
  </w:footnote>
  <w:footnote w:id="36">
    <w:p w14:paraId="0F16A0B1" w14:textId="150E9B5C" w:rsidR="00E254FE" w:rsidRDefault="00E254FE" w:rsidP="000F02E6">
      <w:pPr>
        <w:pStyle w:val="NoSpacing"/>
      </w:pPr>
      <w:r>
        <w:rPr>
          <w:rStyle w:val="FootnoteReference"/>
        </w:rPr>
        <w:footnoteRef/>
      </w:r>
      <w:r>
        <w:t xml:space="preserve"> </w:t>
      </w:r>
      <w:r w:rsidRPr="000F02E6">
        <w:rPr>
          <w:sz w:val="18"/>
          <w:szCs w:val="18"/>
        </w:rPr>
        <w:t>Lawrence</w:t>
      </w:r>
      <w:r>
        <w:rPr>
          <w:sz w:val="18"/>
          <w:szCs w:val="18"/>
        </w:rPr>
        <w:t>,</w:t>
      </w:r>
      <w:r w:rsidRPr="000F02E6">
        <w:rPr>
          <w:sz w:val="18"/>
          <w:szCs w:val="18"/>
        </w:rPr>
        <w:t xml:space="preserve"> M, Pollard</w:t>
      </w:r>
      <w:r>
        <w:rPr>
          <w:sz w:val="18"/>
          <w:szCs w:val="18"/>
        </w:rPr>
        <w:t>,</w:t>
      </w:r>
      <w:r w:rsidRPr="000F02E6">
        <w:rPr>
          <w:sz w:val="18"/>
          <w:szCs w:val="18"/>
        </w:rPr>
        <w:t xml:space="preserve"> C, Vidgen</w:t>
      </w:r>
      <w:r>
        <w:rPr>
          <w:sz w:val="18"/>
          <w:szCs w:val="18"/>
        </w:rPr>
        <w:t>,</w:t>
      </w:r>
      <w:r w:rsidRPr="000F02E6">
        <w:rPr>
          <w:sz w:val="18"/>
          <w:szCs w:val="18"/>
        </w:rPr>
        <w:t xml:space="preserve"> H, Woods</w:t>
      </w:r>
      <w:r>
        <w:rPr>
          <w:sz w:val="18"/>
          <w:szCs w:val="18"/>
        </w:rPr>
        <w:t>,</w:t>
      </w:r>
      <w:r w:rsidRPr="000F02E6">
        <w:rPr>
          <w:sz w:val="18"/>
          <w:szCs w:val="18"/>
        </w:rPr>
        <w:t xml:space="preserve"> J</w:t>
      </w:r>
      <w:r>
        <w:rPr>
          <w:sz w:val="18"/>
          <w:szCs w:val="18"/>
        </w:rPr>
        <w:t xml:space="preserve"> 2019</w:t>
      </w:r>
      <w:r w:rsidRPr="000F02E6">
        <w:rPr>
          <w:sz w:val="18"/>
          <w:szCs w:val="18"/>
        </w:rPr>
        <w:t xml:space="preserve"> </w:t>
      </w:r>
      <w:r>
        <w:rPr>
          <w:sz w:val="18"/>
          <w:szCs w:val="18"/>
        </w:rPr>
        <w:t>‘</w:t>
      </w:r>
      <w:r w:rsidRPr="000F02E6">
        <w:rPr>
          <w:sz w:val="18"/>
          <w:szCs w:val="18"/>
        </w:rPr>
        <w:t>The Health Star Rating system – is its reductionist (nutrient) approach a benefit or risk for tackling dietary risk</w:t>
      </w:r>
      <w:r>
        <w:rPr>
          <w:sz w:val="18"/>
          <w:szCs w:val="18"/>
        </w:rPr>
        <w:t xml:space="preserve"> </w:t>
      </w:r>
      <w:r w:rsidRPr="000F02E6">
        <w:rPr>
          <w:sz w:val="18"/>
          <w:szCs w:val="18"/>
        </w:rPr>
        <w:t>factors?</w:t>
      </w:r>
      <w:r>
        <w:rPr>
          <w:sz w:val="18"/>
          <w:szCs w:val="18"/>
        </w:rPr>
        <w:t>’</w:t>
      </w:r>
      <w:r w:rsidRPr="000F02E6">
        <w:rPr>
          <w:sz w:val="18"/>
          <w:szCs w:val="18"/>
        </w:rPr>
        <w:t xml:space="preserve"> </w:t>
      </w:r>
      <w:r w:rsidRPr="000F02E6">
        <w:rPr>
          <w:i/>
          <w:sz w:val="18"/>
          <w:szCs w:val="18"/>
        </w:rPr>
        <w:t>Public Health Res Pract</w:t>
      </w:r>
      <w:r w:rsidRPr="000F02E6">
        <w:rPr>
          <w:sz w:val="18"/>
          <w:szCs w:val="18"/>
        </w:rPr>
        <w:t>.</w:t>
      </w:r>
      <w:r>
        <w:rPr>
          <w:sz w:val="18"/>
          <w:szCs w:val="18"/>
        </w:rPr>
        <w:t xml:space="preserve">, vol. </w:t>
      </w:r>
      <w:r w:rsidRPr="000F02E6">
        <w:rPr>
          <w:sz w:val="18"/>
          <w:szCs w:val="18"/>
        </w:rPr>
        <w:t>29</w:t>
      </w:r>
      <w:r>
        <w:rPr>
          <w:sz w:val="18"/>
          <w:szCs w:val="18"/>
        </w:rPr>
        <w:t xml:space="preserve"> no. </w:t>
      </w:r>
      <w:r w:rsidRPr="000F02E6">
        <w:rPr>
          <w:sz w:val="18"/>
          <w:szCs w:val="18"/>
        </w:rPr>
        <w:t>1.</w:t>
      </w:r>
    </w:p>
  </w:footnote>
  <w:footnote w:id="37">
    <w:p w14:paraId="7FC3FEC9" w14:textId="36F1D51B" w:rsidR="00E254FE" w:rsidRPr="00090135" w:rsidRDefault="00E254FE" w:rsidP="00F26AAA">
      <w:pPr>
        <w:pStyle w:val="NoSpacing"/>
        <w:rPr>
          <w:rFonts w:cstheme="minorHAnsi"/>
          <w:sz w:val="18"/>
          <w:szCs w:val="18"/>
          <w:lang w:val="en-GB"/>
        </w:rPr>
      </w:pPr>
      <w:r w:rsidRPr="00C004F2">
        <w:rPr>
          <w:rStyle w:val="FootnoteReference"/>
          <w:szCs w:val="18"/>
        </w:rPr>
        <w:footnoteRef/>
      </w:r>
      <w:r w:rsidRPr="00560CB6">
        <w:rPr>
          <w:sz w:val="18"/>
          <w:szCs w:val="18"/>
        </w:rPr>
        <w:t xml:space="preserve"> </w:t>
      </w:r>
      <w:r w:rsidRPr="00090135">
        <w:rPr>
          <w:sz w:val="18"/>
          <w:szCs w:val="18"/>
        </w:rPr>
        <w:t xml:space="preserve">Watson, W, Chapman, K, King, L, Kelly, B, Hughes, C, Chun Yu Louie, J, Crawford, J, Gill, T, 2011 ‘How well do Australian shoppers understand energy terms on food labels?’ </w:t>
      </w:r>
      <w:r w:rsidRPr="00090135">
        <w:rPr>
          <w:i/>
          <w:sz w:val="18"/>
          <w:szCs w:val="18"/>
        </w:rPr>
        <w:t>Public Health Nutrition</w:t>
      </w:r>
      <w:r w:rsidRPr="00090135">
        <w:rPr>
          <w:sz w:val="18"/>
          <w:szCs w:val="18"/>
        </w:rPr>
        <w:t>, vol. 16, no. 3, pp. 409-417.</w:t>
      </w:r>
    </w:p>
  </w:footnote>
  <w:footnote w:id="38">
    <w:p w14:paraId="1D1251AB" w14:textId="715B914C" w:rsidR="00E254FE" w:rsidRPr="00090135" w:rsidRDefault="00E254FE" w:rsidP="00F26AAA">
      <w:pPr>
        <w:pStyle w:val="NoSpacing"/>
        <w:rPr>
          <w:sz w:val="18"/>
          <w:szCs w:val="18"/>
        </w:rPr>
      </w:pPr>
      <w:r w:rsidRPr="00090135">
        <w:rPr>
          <w:rStyle w:val="FootnoteReference"/>
          <w:szCs w:val="18"/>
        </w:rPr>
        <w:footnoteRef/>
      </w:r>
      <w:r w:rsidRPr="00090135">
        <w:rPr>
          <w:sz w:val="18"/>
          <w:szCs w:val="18"/>
        </w:rPr>
        <w:t xml:space="preserve"> Cowburn, G, &amp; Stockley, L 2005 ‘Consumer understanding and use of nutrition labelling: A systematic review’ </w:t>
      </w:r>
      <w:r w:rsidRPr="00090135">
        <w:rPr>
          <w:i/>
          <w:sz w:val="18"/>
          <w:szCs w:val="18"/>
        </w:rPr>
        <w:t>Public Health Nutrition</w:t>
      </w:r>
      <w:r w:rsidRPr="00090135">
        <w:rPr>
          <w:sz w:val="18"/>
          <w:szCs w:val="18"/>
        </w:rPr>
        <w:t>, vol. 8, no.1, pp. 21-28. </w:t>
      </w:r>
    </w:p>
  </w:footnote>
  <w:footnote w:id="39">
    <w:p w14:paraId="72C3E5E7" w14:textId="4EF6CB52" w:rsidR="00E254FE" w:rsidRPr="00090135" w:rsidRDefault="00E254FE" w:rsidP="00F26AAA">
      <w:pPr>
        <w:rPr>
          <w:rFonts w:cstheme="minorHAnsi"/>
          <w:sz w:val="18"/>
          <w:szCs w:val="18"/>
          <w:lang w:val="en-GB"/>
        </w:rPr>
      </w:pPr>
      <w:r w:rsidRPr="00090135">
        <w:rPr>
          <w:rStyle w:val="FootnoteReference"/>
          <w:szCs w:val="18"/>
        </w:rPr>
        <w:footnoteRef/>
      </w:r>
      <w:r w:rsidRPr="00090135">
        <w:rPr>
          <w:sz w:val="18"/>
          <w:szCs w:val="18"/>
        </w:rPr>
        <w:t xml:space="preserve"> Kelly, B, Jewell, Jo 2018 </w:t>
      </w:r>
      <w:r w:rsidRPr="00090135">
        <w:rPr>
          <w:i/>
          <w:sz w:val="18"/>
          <w:szCs w:val="18"/>
        </w:rPr>
        <w:t>What is the evidence on policy specifications, development processes and effectiveness of existing front-of-pack labelling policies in the WHO European Region?</w:t>
      </w:r>
      <w:r w:rsidRPr="00090135">
        <w:rPr>
          <w:sz w:val="18"/>
          <w:szCs w:val="18"/>
        </w:rPr>
        <w:t xml:space="preserve"> Copenhagen: WHO Regional Office for Europe, Health Evidence Network (HEN) synthesis report 61</w:t>
      </w:r>
    </w:p>
  </w:footnote>
  <w:footnote w:id="40">
    <w:p w14:paraId="769ECC18" w14:textId="6AD28EB2" w:rsidR="00E254FE" w:rsidRDefault="00E254FE" w:rsidP="004F5DF8">
      <w:r>
        <w:rPr>
          <w:rStyle w:val="FootnoteReference"/>
        </w:rPr>
        <w:footnoteRef/>
      </w:r>
      <w:r>
        <w:t xml:space="preserve"> </w:t>
      </w:r>
      <w:r w:rsidRPr="004F5DF8">
        <w:rPr>
          <w:sz w:val="18"/>
          <w:szCs w:val="18"/>
        </w:rPr>
        <w:t>Kleef</w:t>
      </w:r>
      <w:r>
        <w:rPr>
          <w:sz w:val="18"/>
          <w:szCs w:val="18"/>
        </w:rPr>
        <w:t>,</w:t>
      </w:r>
      <w:r w:rsidRPr="004F5DF8">
        <w:rPr>
          <w:sz w:val="18"/>
          <w:szCs w:val="18"/>
        </w:rPr>
        <w:t xml:space="preserve"> EV, Dagevos</w:t>
      </w:r>
      <w:r>
        <w:rPr>
          <w:sz w:val="18"/>
          <w:szCs w:val="18"/>
        </w:rPr>
        <w:t>,</w:t>
      </w:r>
      <w:r w:rsidRPr="004F5DF8">
        <w:rPr>
          <w:sz w:val="18"/>
          <w:szCs w:val="18"/>
        </w:rPr>
        <w:t xml:space="preserve"> H</w:t>
      </w:r>
      <w:r>
        <w:rPr>
          <w:sz w:val="18"/>
          <w:szCs w:val="18"/>
        </w:rPr>
        <w:t xml:space="preserve"> 2015 ‘</w:t>
      </w:r>
      <w:r w:rsidRPr="004F5DF8">
        <w:rPr>
          <w:sz w:val="18"/>
          <w:szCs w:val="18"/>
        </w:rPr>
        <w:t>The Growing Role of Front-of-Pack Nutrition Profile Label</w:t>
      </w:r>
      <w:r>
        <w:rPr>
          <w:sz w:val="18"/>
          <w:szCs w:val="18"/>
        </w:rPr>
        <w:t>l</w:t>
      </w:r>
      <w:r w:rsidRPr="004F5DF8">
        <w:rPr>
          <w:sz w:val="18"/>
          <w:szCs w:val="18"/>
        </w:rPr>
        <w:t>ing: A Consumer Perspective on Key Issues and Controversies</w:t>
      </w:r>
      <w:r>
        <w:rPr>
          <w:sz w:val="18"/>
          <w:szCs w:val="18"/>
        </w:rPr>
        <w:t>’</w:t>
      </w:r>
      <w:r w:rsidRPr="004F5DF8">
        <w:rPr>
          <w:sz w:val="18"/>
          <w:szCs w:val="18"/>
        </w:rPr>
        <w:t xml:space="preserve"> </w:t>
      </w:r>
      <w:r w:rsidRPr="004F5DF8">
        <w:rPr>
          <w:i/>
          <w:sz w:val="18"/>
          <w:szCs w:val="18"/>
        </w:rPr>
        <w:t>Crit Rev Food Sci Nutr</w:t>
      </w:r>
      <w:r w:rsidRPr="004F5DF8">
        <w:rPr>
          <w:sz w:val="18"/>
          <w:szCs w:val="18"/>
        </w:rPr>
        <w:t>.</w:t>
      </w:r>
      <w:r>
        <w:rPr>
          <w:sz w:val="18"/>
          <w:szCs w:val="18"/>
        </w:rPr>
        <w:t xml:space="preserve">, vol. </w:t>
      </w:r>
      <w:r w:rsidRPr="004F5DF8">
        <w:rPr>
          <w:sz w:val="18"/>
          <w:szCs w:val="18"/>
        </w:rPr>
        <w:t>55</w:t>
      </w:r>
      <w:r>
        <w:rPr>
          <w:sz w:val="18"/>
          <w:szCs w:val="18"/>
        </w:rPr>
        <w:t>, no. 3, pp.</w:t>
      </w:r>
      <w:r w:rsidRPr="004F5DF8">
        <w:rPr>
          <w:sz w:val="18"/>
          <w:szCs w:val="18"/>
        </w:rPr>
        <w:t>291-303.</w:t>
      </w:r>
    </w:p>
  </w:footnote>
  <w:footnote w:id="41">
    <w:p w14:paraId="5F225C19" w14:textId="49572F75" w:rsidR="00E254FE" w:rsidRDefault="00E254FE" w:rsidP="003272AE">
      <w:pPr>
        <w:pStyle w:val="FootnoteText"/>
      </w:pPr>
      <w:r>
        <w:rPr>
          <w:rStyle w:val="FootnoteReference"/>
        </w:rPr>
        <w:footnoteRef/>
      </w:r>
      <w:r>
        <w:t xml:space="preserve"> </w:t>
      </w:r>
      <w:r w:rsidRPr="00243FD7">
        <w:rPr>
          <w:lang w:val="en-GB"/>
        </w:rPr>
        <w:t xml:space="preserve">Talati, Z, Pettigrew, S, Kelly, B &amp; Ball, K, 2016 ‘Consumers’ responses to front-of-pack labels that vary by interpretive content’, </w:t>
      </w:r>
      <w:r w:rsidRPr="00243FD7">
        <w:rPr>
          <w:i/>
          <w:iCs/>
          <w:lang w:val="en-GB"/>
        </w:rPr>
        <w:t>Appetite</w:t>
      </w:r>
      <w:r w:rsidRPr="00243FD7">
        <w:rPr>
          <w:lang w:val="en-GB"/>
        </w:rPr>
        <w:t>, vol. 101, pp. 205-213.</w:t>
      </w:r>
    </w:p>
  </w:footnote>
  <w:footnote w:id="42">
    <w:p w14:paraId="6057CC92" w14:textId="75C2ED71" w:rsidR="00E254FE" w:rsidRPr="00090135" w:rsidRDefault="00E254FE" w:rsidP="00090135">
      <w:pPr>
        <w:pStyle w:val="NoSpacing"/>
        <w:rPr>
          <w:rFonts w:cstheme="minorHAnsi"/>
          <w:bCs/>
          <w:sz w:val="20"/>
          <w:szCs w:val="20"/>
          <w:lang w:val="en-GB"/>
        </w:rPr>
      </w:pPr>
      <w:r w:rsidRPr="00090135">
        <w:rPr>
          <w:rStyle w:val="FootnoteReference"/>
          <w:szCs w:val="18"/>
        </w:rPr>
        <w:footnoteRef/>
      </w:r>
      <w:r w:rsidRPr="00090135">
        <w:rPr>
          <w:sz w:val="18"/>
          <w:szCs w:val="18"/>
        </w:rPr>
        <w:t xml:space="preserve"> </w:t>
      </w:r>
      <w:r w:rsidRPr="00090135">
        <w:rPr>
          <w:rFonts w:cstheme="minorHAnsi"/>
          <w:bCs/>
          <w:sz w:val="18"/>
          <w:szCs w:val="18"/>
          <w:lang w:val="en-GB"/>
        </w:rPr>
        <w:t xml:space="preserve">Brownbill, A, Braunack-Meye, A &amp; Miller, C 2018, ‘Health Star Ratings: What’s on the labels of Australian beverages?’, </w:t>
      </w:r>
      <w:r w:rsidRPr="00090135">
        <w:rPr>
          <w:rFonts w:cstheme="minorHAnsi"/>
          <w:bCs/>
          <w:i/>
          <w:iCs/>
          <w:sz w:val="18"/>
          <w:szCs w:val="18"/>
          <w:lang w:val="en-GB"/>
        </w:rPr>
        <w:t xml:space="preserve">Health Promotion Journal of Australia, </w:t>
      </w:r>
      <w:r w:rsidRPr="00090135">
        <w:rPr>
          <w:rFonts w:cstheme="minorHAnsi"/>
          <w:bCs/>
          <w:iCs/>
          <w:sz w:val="18"/>
          <w:szCs w:val="18"/>
          <w:lang w:val="en-GB"/>
        </w:rPr>
        <w:t>vol. 29,</w:t>
      </w:r>
      <w:r w:rsidRPr="00090135">
        <w:rPr>
          <w:rFonts w:cstheme="minorHAnsi"/>
          <w:bCs/>
          <w:sz w:val="18"/>
          <w:szCs w:val="18"/>
          <w:lang w:val="en-GB"/>
        </w:rPr>
        <w:t xml:space="preserve"> pp. 1-5.</w:t>
      </w:r>
    </w:p>
  </w:footnote>
  <w:footnote w:id="43">
    <w:p w14:paraId="7E43BC06" w14:textId="77777777" w:rsidR="00EA6A8C" w:rsidRPr="00DC4980" w:rsidRDefault="00EA6A8C" w:rsidP="00EA6A8C">
      <w:pPr>
        <w:pStyle w:val="FootnoteText"/>
        <w:rPr>
          <w:szCs w:val="18"/>
        </w:rPr>
      </w:pPr>
      <w:r w:rsidRPr="005A3631">
        <w:rPr>
          <w:rStyle w:val="FootnoteReference"/>
          <w:szCs w:val="18"/>
        </w:rPr>
        <w:footnoteRef/>
      </w:r>
      <w:r w:rsidRPr="00DC4980">
        <w:rPr>
          <w:szCs w:val="18"/>
        </w:rPr>
        <w:t xml:space="preserve"> Vermeer, W, Bruins, B, Steenhuis, I, 2010 ‘Two pack king size chocolate bars. Can we manage our consumption?’ </w:t>
      </w:r>
      <w:r w:rsidRPr="00DC4980">
        <w:rPr>
          <w:i/>
          <w:szCs w:val="18"/>
        </w:rPr>
        <w:t>Appetite</w:t>
      </w:r>
      <w:r w:rsidRPr="00DC4980">
        <w:rPr>
          <w:szCs w:val="18"/>
        </w:rPr>
        <w:t>, vol. 54, pp. 414-417</w:t>
      </w:r>
      <w:r>
        <w:rPr>
          <w:szCs w:val="18"/>
        </w:rPr>
        <w:t>.</w:t>
      </w:r>
    </w:p>
  </w:footnote>
  <w:footnote w:id="44">
    <w:p w14:paraId="07913AED" w14:textId="77777777" w:rsidR="00EA6A8C" w:rsidRPr="00DC4980" w:rsidRDefault="00EA6A8C" w:rsidP="00EA6A8C">
      <w:pPr>
        <w:pStyle w:val="FootnoteText"/>
        <w:rPr>
          <w:szCs w:val="18"/>
        </w:rPr>
      </w:pPr>
      <w:r w:rsidRPr="005A3631">
        <w:rPr>
          <w:rStyle w:val="FootnoteReference"/>
          <w:szCs w:val="18"/>
        </w:rPr>
        <w:footnoteRef/>
      </w:r>
      <w:r w:rsidRPr="00DC4980">
        <w:rPr>
          <w:szCs w:val="18"/>
        </w:rPr>
        <w:t xml:space="preserve"> Hieke, S, Palascha, A, Jola, C, Wills, J, Raats, M 2016 ‘The pack size effect: influence on consumer perceptions of potion sizes’ </w:t>
      </w:r>
      <w:r w:rsidRPr="00DC4980">
        <w:rPr>
          <w:i/>
          <w:szCs w:val="18"/>
        </w:rPr>
        <w:t>Appetite</w:t>
      </w:r>
      <w:r w:rsidRPr="00DC4980">
        <w:rPr>
          <w:szCs w:val="18"/>
        </w:rPr>
        <w:t>, vol. 96, pp. 225-238</w:t>
      </w:r>
      <w:r>
        <w:rPr>
          <w:szCs w:val="18"/>
        </w:rPr>
        <w:t>.</w:t>
      </w:r>
    </w:p>
  </w:footnote>
  <w:footnote w:id="45">
    <w:p w14:paraId="16D1FC73" w14:textId="3F80F9FE" w:rsidR="00E254FE" w:rsidRPr="009E3B34" w:rsidRDefault="00E254FE" w:rsidP="003272AE">
      <w:pPr>
        <w:pStyle w:val="FootnoteText"/>
        <w:rPr>
          <w:rFonts w:cstheme="minorHAnsi"/>
          <w:szCs w:val="18"/>
        </w:rPr>
      </w:pPr>
      <w:r>
        <w:rPr>
          <w:rStyle w:val="FootnoteReference"/>
        </w:rPr>
        <w:footnoteRef/>
      </w:r>
      <w:r>
        <w:t xml:space="preserve"> </w:t>
      </w:r>
      <w:hyperlink r:id="rId4" w:history="1">
        <w:r w:rsidRPr="0030513A">
          <w:rPr>
            <w:rStyle w:val="Hyperlink"/>
            <w:i/>
            <w:szCs w:val="18"/>
          </w:rPr>
          <w:t>Objectives of the HSR campaign in Australia</w:t>
        </w:r>
      </w:hyperlink>
      <w:r w:rsidRPr="004501B3">
        <w:rPr>
          <w:szCs w:val="18"/>
        </w:rPr>
        <w:t xml:space="preserve">, </w:t>
      </w:r>
      <w:r>
        <w:rPr>
          <w:szCs w:val="18"/>
        </w:rPr>
        <w:t>accessed 29 January 2019</w:t>
      </w:r>
      <w:r w:rsidRPr="004501B3">
        <w:rPr>
          <w:szCs w:val="18"/>
        </w:rPr>
        <w:t xml:space="preserve"> </w:t>
      </w:r>
    </w:p>
  </w:footnote>
  <w:footnote w:id="46">
    <w:p w14:paraId="24FB796A" w14:textId="2B1597CF" w:rsidR="00E254FE" w:rsidRPr="00357932" w:rsidRDefault="00E254FE" w:rsidP="003272AE">
      <w:pPr>
        <w:pStyle w:val="FootnoteText"/>
      </w:pPr>
      <w:r w:rsidRPr="00357932">
        <w:rPr>
          <w:rStyle w:val="FootnoteReference"/>
          <w:rFonts w:cstheme="minorHAnsi"/>
          <w:szCs w:val="18"/>
        </w:rPr>
        <w:footnoteRef/>
      </w:r>
      <w:r w:rsidRPr="00357932">
        <w:t xml:space="preserve"> Note that a significant amount of funding was rolled over to the 2018-19 financial year such that total funding for social marketing and education in Australia to June 2019 is likely to be $1</w:t>
      </w:r>
      <w:r>
        <w:t>2</w:t>
      </w:r>
      <w:r w:rsidRPr="00357932">
        <w:t xml:space="preserve"> million.</w:t>
      </w:r>
    </w:p>
  </w:footnote>
  <w:footnote w:id="47">
    <w:p w14:paraId="10CE97A7" w14:textId="4C1E3EFC" w:rsidR="00E254FE" w:rsidRPr="009E3B34" w:rsidRDefault="00E254FE" w:rsidP="003272AE">
      <w:pPr>
        <w:pStyle w:val="FootnoteText"/>
      </w:pPr>
      <w:r>
        <w:rPr>
          <w:rStyle w:val="FootnoteReference"/>
        </w:rPr>
        <w:footnoteRef/>
      </w:r>
      <w:r>
        <w:t xml:space="preserve"> </w:t>
      </w:r>
      <w:r w:rsidRPr="009E3B34">
        <w:t>Brown,</w:t>
      </w:r>
      <w:r>
        <w:t xml:space="preserve"> G 2017, Health Star Rating System: Campaign Evaluation Report June 2017,</w:t>
      </w:r>
      <w:r w:rsidRPr="00C21A49">
        <w:t xml:space="preserve"> </w:t>
      </w:r>
      <w:r>
        <w:t>Pollinate Research, NSW.</w:t>
      </w:r>
    </w:p>
  </w:footnote>
  <w:footnote w:id="48">
    <w:p w14:paraId="609CAD45" w14:textId="3F631899" w:rsidR="00E254FE" w:rsidRPr="001C6E51" w:rsidRDefault="00E254FE" w:rsidP="003272AE">
      <w:pPr>
        <w:pStyle w:val="FootnoteText"/>
      </w:pPr>
      <w:r w:rsidRPr="00CB73E4">
        <w:rPr>
          <w:rStyle w:val="FootnoteReference"/>
          <w:rFonts w:cstheme="minorHAnsi"/>
          <w:szCs w:val="18"/>
        </w:rPr>
        <w:footnoteRef/>
      </w:r>
      <w:r w:rsidRPr="00CB73E4">
        <w:t xml:space="preserve"> Health Star Rating Advisory Committee, </w:t>
      </w:r>
      <w:r>
        <w:t xml:space="preserve">April 2017, </w:t>
      </w:r>
      <w:r w:rsidRPr="001C6E51">
        <w:t>Two year progress review report on the implementation of the Health Star Rating system – June 2014 – June 2016</w:t>
      </w:r>
      <w:r>
        <w:t>, p. 25.</w:t>
      </w:r>
    </w:p>
  </w:footnote>
  <w:footnote w:id="49">
    <w:p w14:paraId="75B01478" w14:textId="1A0CDC5A" w:rsidR="00E254FE" w:rsidRPr="003F253E" w:rsidRDefault="00E254FE" w:rsidP="00B36208">
      <w:pPr>
        <w:rPr>
          <w:rFonts w:ascii="Times New Roman" w:hAnsi="Times New Roman"/>
        </w:rPr>
      </w:pPr>
      <w:r>
        <w:rPr>
          <w:rStyle w:val="FootnoteReference"/>
        </w:rPr>
        <w:footnoteRef/>
      </w:r>
      <w:r>
        <w:t xml:space="preserve"> </w:t>
      </w:r>
      <w:r w:rsidRPr="003F253E">
        <w:rPr>
          <w:rFonts w:cstheme="minorHAnsi"/>
          <w:sz w:val="18"/>
          <w:szCs w:val="18"/>
          <w:shd w:val="clear" w:color="auto" w:fill="FFFFFF"/>
        </w:rPr>
        <w:t>Colmar Brunton</w:t>
      </w:r>
      <w:r>
        <w:rPr>
          <w:rFonts w:cstheme="minorHAnsi"/>
          <w:sz w:val="18"/>
          <w:szCs w:val="18"/>
          <w:shd w:val="clear" w:color="auto" w:fill="FFFFFF"/>
        </w:rPr>
        <w:t xml:space="preserve"> </w:t>
      </w:r>
      <w:r w:rsidRPr="003F253E">
        <w:rPr>
          <w:rFonts w:cstheme="minorHAnsi"/>
          <w:sz w:val="18"/>
          <w:szCs w:val="18"/>
          <w:shd w:val="clear" w:color="auto" w:fill="FFFFFF"/>
        </w:rPr>
        <w:t>2018</w:t>
      </w:r>
      <w:r>
        <w:rPr>
          <w:rFonts w:cstheme="minorHAnsi"/>
          <w:sz w:val="18"/>
          <w:szCs w:val="18"/>
          <w:shd w:val="clear" w:color="auto" w:fill="FFFFFF"/>
        </w:rPr>
        <w:t>,</w:t>
      </w:r>
      <w:r w:rsidRPr="003F253E">
        <w:rPr>
          <w:rFonts w:cstheme="minorHAnsi"/>
          <w:sz w:val="18"/>
          <w:szCs w:val="18"/>
          <w:shd w:val="clear" w:color="auto" w:fill="FFFFFF"/>
        </w:rPr>
        <w:t> </w:t>
      </w:r>
      <w:r w:rsidRPr="003F253E">
        <w:rPr>
          <w:rFonts w:cstheme="minorHAnsi"/>
          <w:i/>
          <w:iCs/>
          <w:sz w:val="18"/>
          <w:szCs w:val="18"/>
        </w:rPr>
        <w:t>2018 Health Star Rating monitoring and evaluation: Year 2 follow-up research report. </w:t>
      </w:r>
      <w:r w:rsidRPr="003F253E">
        <w:rPr>
          <w:rFonts w:cstheme="minorHAnsi"/>
          <w:sz w:val="18"/>
          <w:szCs w:val="18"/>
          <w:shd w:val="clear" w:color="auto" w:fill="FFFFFF"/>
        </w:rPr>
        <w:t>Wellington: Health Promotion Agency</w:t>
      </w:r>
      <w:r>
        <w:rPr>
          <w:rFonts w:cstheme="minorHAnsi"/>
          <w:sz w:val="18"/>
          <w:szCs w:val="18"/>
          <w:shd w:val="clear" w:color="auto" w:fill="FFFFFF"/>
        </w:rPr>
        <w:t>, p. 5.</w:t>
      </w:r>
    </w:p>
  </w:footnote>
  <w:footnote w:id="50">
    <w:p w14:paraId="53D21496" w14:textId="38F05838" w:rsidR="00E254FE" w:rsidRDefault="00E254FE" w:rsidP="003272AE">
      <w:pPr>
        <w:pStyle w:val="FootnoteText"/>
      </w:pPr>
      <w:r>
        <w:rPr>
          <w:rStyle w:val="FootnoteReference"/>
        </w:rPr>
        <w:footnoteRef/>
      </w:r>
      <w:r>
        <w:t xml:space="preserve"> </w:t>
      </w:r>
      <w:r w:rsidRPr="004C20D5">
        <w:t>Kelly B</w:t>
      </w:r>
      <w:r>
        <w:t>,</w:t>
      </w:r>
      <w:r w:rsidRPr="004C20D5">
        <w:t xml:space="preserve"> Jewell J</w:t>
      </w:r>
      <w:r>
        <w:t>,</w:t>
      </w:r>
      <w:r w:rsidRPr="004C20D5">
        <w:t xml:space="preserve"> 2018</w:t>
      </w:r>
      <w:r>
        <w:t xml:space="preserve"> </w:t>
      </w:r>
      <w:r w:rsidRPr="008D2A83">
        <w:t>What is the evidence on the policy specifications, development processes and effectiveness of existing front-of-pack food labelling policies in the WHO European region?</w:t>
      </w:r>
      <w:r>
        <w:t>,</w:t>
      </w:r>
      <w:r w:rsidRPr="004C20D5">
        <w:t xml:space="preserve"> WHO Regional Office for Europe: Copenhagen</w:t>
      </w:r>
      <w:r>
        <w:t>.</w:t>
      </w:r>
    </w:p>
  </w:footnote>
  <w:footnote w:id="51">
    <w:p w14:paraId="6089F734" w14:textId="5244441E" w:rsidR="00E254FE" w:rsidRDefault="00E254FE" w:rsidP="003272AE">
      <w:pPr>
        <w:pStyle w:val="FootnoteText"/>
      </w:pPr>
      <w:r>
        <w:rPr>
          <w:rStyle w:val="FootnoteReference"/>
        </w:rPr>
        <w:footnoteRef/>
      </w:r>
      <w:r>
        <w:t xml:space="preserve"> </w:t>
      </w:r>
      <w:r w:rsidRPr="00C63897">
        <w:rPr>
          <w:lang w:val="en-GB"/>
        </w:rPr>
        <w:t>National Heart Foundation 201</w:t>
      </w:r>
      <w:r>
        <w:rPr>
          <w:lang w:val="en-GB"/>
        </w:rPr>
        <w:t>9</w:t>
      </w:r>
      <w:r w:rsidRPr="00C63897">
        <w:rPr>
          <w:lang w:val="en-GB"/>
        </w:rPr>
        <w:t xml:space="preserve">, </w:t>
      </w:r>
      <w:r w:rsidRPr="00C63897">
        <w:t>Report on the monitoring of the implementation of the HSR System in the first four years of implementation: June 2014 to June 2018</w:t>
      </w:r>
      <w:r w:rsidRPr="00C63897">
        <w:rPr>
          <w:lang w:val="en-GB"/>
        </w:rPr>
        <w:t xml:space="preserve">, prepared for the </w:t>
      </w:r>
      <w:r>
        <w:rPr>
          <w:lang w:val="en-GB"/>
        </w:rPr>
        <w:t xml:space="preserve">Commonwealth </w:t>
      </w:r>
      <w:r w:rsidRPr="00C63897">
        <w:rPr>
          <w:lang w:val="en-GB"/>
        </w:rPr>
        <w:t xml:space="preserve">Department of Health, </w:t>
      </w:r>
      <w:r>
        <w:rPr>
          <w:lang w:val="en-GB"/>
        </w:rPr>
        <w:t>p. 48</w:t>
      </w:r>
      <w:r w:rsidRPr="00C63897">
        <w:rPr>
          <w:lang w:val="en-GB"/>
        </w:rPr>
        <w:t>.</w:t>
      </w:r>
    </w:p>
  </w:footnote>
  <w:footnote w:id="52">
    <w:p w14:paraId="774605B5" w14:textId="75A644DF" w:rsidR="00E254FE" w:rsidRPr="00090135" w:rsidRDefault="00E254FE" w:rsidP="003272AE">
      <w:pPr>
        <w:pStyle w:val="FootnoteText"/>
      </w:pPr>
      <w:r w:rsidRPr="00090135">
        <w:rPr>
          <w:rStyle w:val="FootnoteReference"/>
          <w:szCs w:val="18"/>
        </w:rPr>
        <w:footnoteRef/>
      </w:r>
      <w:r w:rsidRPr="00090135">
        <w:t xml:space="preserve"> Australian Bureau of Statistics, </w:t>
      </w:r>
      <w:r w:rsidRPr="00090135">
        <w:rPr>
          <w:i/>
        </w:rPr>
        <w:t>Australian Health Survey 2011-12.</w:t>
      </w:r>
    </w:p>
  </w:footnote>
  <w:footnote w:id="53">
    <w:p w14:paraId="5455F2FA" w14:textId="76E17234" w:rsidR="00E254FE" w:rsidRPr="00090135" w:rsidRDefault="00E254FE" w:rsidP="00090135">
      <w:pPr>
        <w:pStyle w:val="NoSpacing"/>
        <w:rPr>
          <w:rFonts w:cstheme="minorHAnsi"/>
          <w:sz w:val="18"/>
          <w:szCs w:val="18"/>
        </w:rPr>
      </w:pPr>
      <w:r w:rsidRPr="00090135">
        <w:rPr>
          <w:rStyle w:val="FootnoteReference"/>
          <w:szCs w:val="18"/>
        </w:rPr>
        <w:footnoteRef/>
      </w:r>
      <w:r w:rsidRPr="00090135">
        <w:rPr>
          <w:sz w:val="18"/>
          <w:szCs w:val="18"/>
        </w:rPr>
        <w:t xml:space="preserve"> </w:t>
      </w:r>
      <w:r w:rsidRPr="00090135">
        <w:rPr>
          <w:rFonts w:cstheme="minorHAnsi"/>
          <w:sz w:val="18"/>
          <w:szCs w:val="18"/>
        </w:rPr>
        <w:t xml:space="preserve">Ministry of Health, </w:t>
      </w:r>
      <w:r w:rsidRPr="00090135">
        <w:rPr>
          <w:rFonts w:cstheme="minorHAnsi"/>
          <w:i/>
          <w:sz w:val="18"/>
          <w:szCs w:val="18"/>
        </w:rPr>
        <w:t>A Focus on Nutrition: Key Findings of the 2008/09 New Zealand Adult Nutrition Survey.</w:t>
      </w:r>
    </w:p>
  </w:footnote>
  <w:footnote w:id="54">
    <w:p w14:paraId="00575557" w14:textId="4EE47504" w:rsidR="00E254FE" w:rsidRPr="00090135" w:rsidRDefault="00E254FE" w:rsidP="003272AE">
      <w:pPr>
        <w:pStyle w:val="FootnoteText"/>
      </w:pPr>
      <w:r w:rsidRPr="00090135">
        <w:rPr>
          <w:rStyle w:val="FootnoteReference"/>
          <w:szCs w:val="18"/>
        </w:rPr>
        <w:footnoteRef/>
      </w:r>
      <w:r w:rsidRPr="00090135">
        <w:t xml:space="preserve"> Australian Bureau of Statistics, </w:t>
      </w:r>
      <w:r w:rsidRPr="00090135">
        <w:rPr>
          <w:i/>
        </w:rPr>
        <w:t>Australian Health Survey 2011-12.</w:t>
      </w:r>
    </w:p>
  </w:footnote>
  <w:footnote w:id="55">
    <w:p w14:paraId="2190337B" w14:textId="3D715FA7" w:rsidR="00E254FE" w:rsidRDefault="00E254FE" w:rsidP="003272AE">
      <w:pPr>
        <w:pStyle w:val="FootnoteText"/>
      </w:pPr>
      <w:r>
        <w:rPr>
          <w:rStyle w:val="FootnoteReference"/>
        </w:rPr>
        <w:footnoteRef/>
      </w:r>
      <w:r>
        <w:t xml:space="preserve"> mpconsulting, 2018, </w:t>
      </w:r>
      <w:hyperlink r:id="rId5" w:history="1">
        <w:r w:rsidRPr="00CC1ADD">
          <w:rPr>
            <w:rStyle w:val="Hyperlink"/>
            <w:rFonts w:cstheme="minorHAnsi"/>
          </w:rPr>
          <w:t>Consultation Paper: Options for System Enhancement</w:t>
        </w:r>
      </w:hyperlink>
    </w:p>
  </w:footnote>
  <w:footnote w:id="56">
    <w:p w14:paraId="6BA2A1A4" w14:textId="386288EA" w:rsidR="00E254FE" w:rsidRPr="00090135" w:rsidRDefault="00E254FE" w:rsidP="003272AE">
      <w:pPr>
        <w:pStyle w:val="FootnoteText"/>
      </w:pPr>
      <w:r w:rsidRPr="00090135">
        <w:rPr>
          <w:rStyle w:val="FootnoteReference"/>
          <w:szCs w:val="18"/>
        </w:rPr>
        <w:footnoteRef/>
      </w:r>
      <w:r w:rsidRPr="00090135">
        <w:t xml:space="preserve"> TAG technical paper, October 2018, </w:t>
      </w:r>
      <w:r w:rsidRPr="003039F9">
        <w:rPr>
          <w:i/>
          <w:iCs/>
        </w:rPr>
        <w:t>History and development of the HSR algorithm</w:t>
      </w:r>
      <w:r w:rsidRPr="00090135">
        <w:t>, p. 11.</w:t>
      </w:r>
    </w:p>
  </w:footnote>
  <w:footnote w:id="57">
    <w:p w14:paraId="7B72F1C9" w14:textId="294242B3" w:rsidR="00E254FE" w:rsidRPr="00090135" w:rsidRDefault="00E254FE" w:rsidP="00090135">
      <w:pPr>
        <w:widowControl w:val="0"/>
        <w:autoSpaceDE w:val="0"/>
        <w:autoSpaceDN w:val="0"/>
        <w:adjustRightInd w:val="0"/>
        <w:rPr>
          <w:rFonts w:eastAsia="Times New Roman" w:cstheme="minorHAnsi"/>
          <w:i/>
          <w:sz w:val="18"/>
          <w:szCs w:val="18"/>
        </w:rPr>
      </w:pPr>
      <w:r w:rsidRPr="00090135">
        <w:rPr>
          <w:rStyle w:val="FootnoteReference"/>
          <w:rFonts w:cstheme="minorHAnsi"/>
          <w:color w:val="000000" w:themeColor="text1"/>
          <w:szCs w:val="18"/>
        </w:rPr>
        <w:footnoteRef/>
      </w:r>
      <w:r w:rsidRPr="00090135">
        <w:rPr>
          <w:rFonts w:cstheme="minorHAnsi"/>
          <w:color w:val="000000" w:themeColor="text1"/>
          <w:sz w:val="18"/>
          <w:szCs w:val="18"/>
        </w:rPr>
        <w:t xml:space="preserve"> </w:t>
      </w:r>
      <w:r w:rsidRPr="00090135">
        <w:rPr>
          <w:rFonts w:eastAsia="Times New Roman" w:cstheme="minorHAnsi"/>
          <w:sz w:val="18"/>
          <w:szCs w:val="18"/>
        </w:rPr>
        <w:t>Scarborough, P, Arambepola, C, Kaur, A, Bhatnagar, P &amp; Rayner, M</w:t>
      </w:r>
      <w:r w:rsidRPr="00090135">
        <w:rPr>
          <w:rFonts w:eastAsia="Times New Roman" w:cstheme="minorHAnsi"/>
          <w:i/>
          <w:sz w:val="18"/>
          <w:szCs w:val="18"/>
        </w:rPr>
        <w:t xml:space="preserve"> </w:t>
      </w:r>
      <w:r w:rsidRPr="00090135">
        <w:rPr>
          <w:rFonts w:eastAsia="Times New Roman" w:cstheme="minorHAnsi"/>
          <w:iCs/>
          <w:sz w:val="18"/>
          <w:szCs w:val="18"/>
        </w:rPr>
        <w:t>2010, ‘Should nutrient profile models be ‘category specific’ or ‘across-the-board’? A comparison of the two systems using diets of British adults’</w:t>
      </w:r>
      <w:r w:rsidRPr="00090135">
        <w:rPr>
          <w:rFonts w:eastAsia="Times New Roman" w:cstheme="minorHAnsi"/>
          <w:i/>
          <w:sz w:val="18"/>
          <w:szCs w:val="18"/>
        </w:rPr>
        <w:t>, European Journal of Clinical Nutrition</w:t>
      </w:r>
      <w:r w:rsidRPr="00090135">
        <w:rPr>
          <w:rFonts w:eastAsia="Times New Roman" w:cstheme="minorHAnsi"/>
          <w:iCs/>
          <w:sz w:val="18"/>
          <w:szCs w:val="18"/>
        </w:rPr>
        <w:t>, vol. 64, pp. 553-560.</w:t>
      </w:r>
    </w:p>
  </w:footnote>
  <w:footnote w:id="58">
    <w:p w14:paraId="3B989834" w14:textId="1E38FAD2" w:rsidR="00E254FE" w:rsidRPr="0059693D" w:rsidRDefault="00E254FE" w:rsidP="003272AE">
      <w:pPr>
        <w:pStyle w:val="FootnoteText"/>
        <w:rPr>
          <w:szCs w:val="18"/>
        </w:rPr>
      </w:pPr>
      <w:r w:rsidRPr="00090135">
        <w:rPr>
          <w:rStyle w:val="FootnoteReference"/>
          <w:szCs w:val="18"/>
        </w:rPr>
        <w:footnoteRef/>
      </w:r>
      <w:r w:rsidRPr="00090135">
        <w:rPr>
          <w:szCs w:val="18"/>
        </w:rPr>
        <w:t xml:space="preserve"> </w:t>
      </w:r>
      <w:hyperlink r:id="rId6" w:history="1"/>
      <w:r w:rsidRPr="00090135">
        <w:rPr>
          <w:szCs w:val="18"/>
        </w:rPr>
        <w:t xml:space="preserve">Department of Health, 8 August 2018, </w:t>
      </w:r>
      <w:r w:rsidRPr="00090135">
        <w:rPr>
          <w:i/>
          <w:szCs w:val="18"/>
        </w:rPr>
        <w:t>Form of the Food (‘As Prepared’) Rules</w:t>
      </w:r>
      <w:r w:rsidRPr="00090135">
        <w:rPr>
          <w:szCs w:val="18"/>
        </w:rPr>
        <w:t>, accessed 27 August 2018</w:t>
      </w:r>
    </w:p>
  </w:footnote>
  <w:footnote w:id="59">
    <w:p w14:paraId="65D0EC09" w14:textId="740BEA90" w:rsidR="00E254FE" w:rsidRPr="0059693D" w:rsidRDefault="00E254FE" w:rsidP="003272AE">
      <w:pPr>
        <w:pStyle w:val="FootnoteText"/>
      </w:pPr>
      <w:r w:rsidRPr="0059693D">
        <w:rPr>
          <w:rStyle w:val="FootnoteReference"/>
          <w:szCs w:val="18"/>
        </w:rPr>
        <w:footnoteRef/>
      </w:r>
      <w:r w:rsidRPr="0059693D">
        <w:t xml:space="preserve"> TAG technical paper, October 2018, </w:t>
      </w:r>
      <w:r w:rsidRPr="00090135">
        <w:rPr>
          <w:i/>
        </w:rPr>
        <w:t>History and development of the HSR algorithm</w:t>
      </w:r>
      <w:r w:rsidRPr="0059693D">
        <w:t>, p</w:t>
      </w:r>
      <w:r>
        <w:t xml:space="preserve">. </w:t>
      </w:r>
      <w:r w:rsidRPr="0059693D">
        <w:t>11</w:t>
      </w:r>
      <w:r>
        <w:t>.</w:t>
      </w:r>
    </w:p>
  </w:footnote>
  <w:footnote w:id="60">
    <w:p w14:paraId="0C2023BF" w14:textId="3FEB203F" w:rsidR="00E254FE" w:rsidRPr="00090135" w:rsidRDefault="00E254FE" w:rsidP="00090135">
      <w:pPr>
        <w:rPr>
          <w:rFonts w:cstheme="minorHAnsi"/>
          <w:sz w:val="20"/>
          <w:szCs w:val="20"/>
          <w:lang w:val="en-GB"/>
        </w:rPr>
      </w:pPr>
      <w:r w:rsidRPr="0059693D">
        <w:rPr>
          <w:rStyle w:val="FootnoteReference"/>
          <w:rFonts w:cstheme="minorHAnsi"/>
          <w:szCs w:val="18"/>
        </w:rPr>
        <w:footnoteRef/>
      </w:r>
      <w:r w:rsidRPr="0059693D">
        <w:rPr>
          <w:rFonts w:cstheme="minorHAnsi"/>
          <w:sz w:val="18"/>
          <w:szCs w:val="18"/>
        </w:rPr>
        <w:t xml:space="preserve"> </w:t>
      </w:r>
      <w:r w:rsidRPr="00C004F2">
        <w:rPr>
          <w:sz w:val="18"/>
          <w:szCs w:val="18"/>
        </w:rPr>
        <w:t>Kelly, B, Jewell, Jo</w:t>
      </w:r>
      <w:r>
        <w:rPr>
          <w:sz w:val="18"/>
          <w:szCs w:val="18"/>
        </w:rPr>
        <w:t xml:space="preserve"> 2018</w:t>
      </w:r>
      <w:r w:rsidRPr="00C004F2">
        <w:rPr>
          <w:sz w:val="18"/>
          <w:szCs w:val="18"/>
        </w:rPr>
        <w:t xml:space="preserve"> </w:t>
      </w:r>
      <w:r w:rsidRPr="009D276C">
        <w:rPr>
          <w:i/>
          <w:sz w:val="18"/>
          <w:szCs w:val="18"/>
        </w:rPr>
        <w:t>What is the evidence on policy specifications, development processes and effectiveness of existing front-of-pack labelling policies in the WHO European Region?</w:t>
      </w:r>
      <w:r w:rsidRPr="00C004F2">
        <w:rPr>
          <w:sz w:val="18"/>
          <w:szCs w:val="18"/>
        </w:rPr>
        <w:t xml:space="preserve"> Copenhagen: WHO Regional Office for Europe</w:t>
      </w:r>
      <w:r>
        <w:rPr>
          <w:sz w:val="18"/>
          <w:szCs w:val="18"/>
        </w:rPr>
        <w:t>,</w:t>
      </w:r>
      <w:r w:rsidRPr="00C004F2">
        <w:rPr>
          <w:sz w:val="18"/>
          <w:szCs w:val="18"/>
        </w:rPr>
        <w:t xml:space="preserve"> Health Evidence Network (HEN) synthesis report 61</w:t>
      </w:r>
      <w:r>
        <w:rPr>
          <w:sz w:val="18"/>
          <w:szCs w:val="18"/>
        </w:rPr>
        <w:t>, p. 41.</w:t>
      </w:r>
    </w:p>
  </w:footnote>
  <w:footnote w:id="61">
    <w:p w14:paraId="4807FEC6" w14:textId="71CFAF8E" w:rsidR="00E254FE" w:rsidRPr="0059693D" w:rsidRDefault="00E254FE" w:rsidP="003272AE">
      <w:pPr>
        <w:pStyle w:val="FootnoteText"/>
      </w:pPr>
      <w:r w:rsidRPr="0059693D">
        <w:rPr>
          <w:rStyle w:val="FootnoteReference"/>
          <w:szCs w:val="18"/>
        </w:rPr>
        <w:footnoteRef/>
      </w:r>
      <w:r w:rsidRPr="0059693D">
        <w:t xml:space="preserve"> TAG technical paper, October 2018, </w:t>
      </w:r>
      <w:r w:rsidRPr="00090135">
        <w:rPr>
          <w:i/>
        </w:rPr>
        <w:t>Fruit, vegetable, nut and legume content</w:t>
      </w:r>
      <w:r>
        <w:t>, p. 3.</w:t>
      </w:r>
    </w:p>
  </w:footnote>
  <w:footnote w:id="62">
    <w:p w14:paraId="75C5C818" w14:textId="6825C709" w:rsidR="00E254FE" w:rsidRPr="00C14D9F" w:rsidRDefault="00E254FE" w:rsidP="003272AE">
      <w:pPr>
        <w:pStyle w:val="FootnoteText"/>
      </w:pPr>
      <w:r w:rsidRPr="0059693D">
        <w:rPr>
          <w:rStyle w:val="FootnoteReference"/>
          <w:rFonts w:cstheme="minorHAnsi"/>
          <w:szCs w:val="18"/>
        </w:rPr>
        <w:footnoteRef/>
      </w:r>
      <w:r w:rsidRPr="0059693D">
        <w:rPr>
          <w:rFonts w:cstheme="minorHAnsi"/>
        </w:rPr>
        <w:t xml:space="preserve"> </w:t>
      </w:r>
      <w:r w:rsidRPr="00C004F2">
        <w:t>Kelly, B, Jewell, Jo</w:t>
      </w:r>
      <w:r>
        <w:t xml:space="preserve"> 2018</w:t>
      </w:r>
      <w:r w:rsidRPr="00C004F2">
        <w:t xml:space="preserve"> </w:t>
      </w:r>
      <w:r w:rsidRPr="009D276C">
        <w:t>What is the evidence on policy specifications, development processes and effectiveness of existing front-of-pack labelling policies in the WHO European Region?</w:t>
      </w:r>
      <w:r w:rsidRPr="00C004F2">
        <w:t xml:space="preserve"> Copenhagen: WHO Regional Office for Europe</w:t>
      </w:r>
      <w:r>
        <w:t>,</w:t>
      </w:r>
      <w:r w:rsidRPr="00C004F2">
        <w:t xml:space="preserve"> Health Evidence Network (HEN) synthesis report 61</w:t>
      </w:r>
      <w:r>
        <w:t>, p. 41.</w:t>
      </w:r>
    </w:p>
  </w:footnote>
  <w:footnote w:id="63">
    <w:p w14:paraId="3F9A3C93" w14:textId="2692B33D" w:rsidR="00E254FE" w:rsidRPr="00047AB6" w:rsidRDefault="00E254FE" w:rsidP="003272AE">
      <w:pPr>
        <w:pStyle w:val="FootnoteText"/>
      </w:pPr>
      <w:r w:rsidRPr="00C14D9F">
        <w:rPr>
          <w:rStyle w:val="FootnoteReference"/>
          <w:szCs w:val="18"/>
        </w:rPr>
        <w:footnoteRef/>
      </w:r>
      <w:r w:rsidRPr="00C14D9F">
        <w:t xml:space="preserve"> </w:t>
      </w:r>
      <w:r w:rsidRPr="00C14D9F">
        <w:rPr>
          <w:iCs/>
        </w:rPr>
        <w:t>Rayner, M., Scarborough, P. &amp; Lobstein, T</w:t>
      </w:r>
      <w:r>
        <w:rPr>
          <w:iCs/>
        </w:rPr>
        <w:t xml:space="preserve"> </w:t>
      </w:r>
      <w:r w:rsidRPr="00C14D9F">
        <w:rPr>
          <w:iCs/>
        </w:rPr>
        <w:t>2009</w:t>
      </w:r>
      <w:r>
        <w:rPr>
          <w:iCs/>
        </w:rPr>
        <w:t xml:space="preserve"> </w:t>
      </w:r>
      <w:r w:rsidRPr="00C14D9F">
        <w:t>The UK Ofcom Nutrient Profiling Model: Defining ‘healthy’ and ‘unhealthy’ foods and drinks for TV advertising for children</w:t>
      </w:r>
    </w:p>
  </w:footnote>
  <w:footnote w:id="64">
    <w:p w14:paraId="1B12B6FC" w14:textId="74E29BCE" w:rsidR="00E254FE" w:rsidRPr="00C14D9F" w:rsidRDefault="00E254FE" w:rsidP="003272AE">
      <w:pPr>
        <w:pStyle w:val="FootnoteText"/>
      </w:pPr>
      <w:r w:rsidRPr="00C14D9F">
        <w:rPr>
          <w:rStyle w:val="FootnoteReference"/>
          <w:szCs w:val="18"/>
        </w:rPr>
        <w:footnoteRef/>
      </w:r>
      <w:r w:rsidRPr="00C14D9F">
        <w:t xml:space="preserve"> NHMRC 2006 </w:t>
      </w:r>
      <w:hyperlink r:id="rId7" w:history="1">
        <w:r w:rsidRPr="00B664F4">
          <w:rPr>
            <w:rStyle w:val="Hyperlink"/>
            <w:szCs w:val="18"/>
          </w:rPr>
          <w:t>Nutrient Reference Values for Australia and New Zealand</w:t>
        </w:r>
      </w:hyperlink>
      <w:r>
        <w:t>, a</w:t>
      </w:r>
      <w:r w:rsidRPr="00C14D9F">
        <w:t>ccessed 10 January 2018</w:t>
      </w:r>
      <w:r>
        <w:t>.</w:t>
      </w:r>
    </w:p>
  </w:footnote>
  <w:footnote w:id="65">
    <w:p w14:paraId="3802A462" w14:textId="48B22281" w:rsidR="00E254FE" w:rsidRPr="00C14D9F" w:rsidRDefault="00E254FE" w:rsidP="003272AE">
      <w:pPr>
        <w:pStyle w:val="FootnoteText"/>
      </w:pPr>
      <w:r w:rsidRPr="00C14D9F">
        <w:rPr>
          <w:rStyle w:val="FootnoteReference"/>
          <w:szCs w:val="18"/>
        </w:rPr>
        <w:footnoteRef/>
      </w:r>
      <w:r w:rsidRPr="00C14D9F">
        <w:t xml:space="preserve"> NHMRC 2013 </w:t>
      </w:r>
      <w:hyperlink r:id="rId8" w:history="1">
        <w:r w:rsidRPr="00B664F4">
          <w:rPr>
            <w:rStyle w:val="Hyperlink"/>
            <w:szCs w:val="18"/>
          </w:rPr>
          <w:t>Australian Dietary Guidelines (2013)</w:t>
        </w:r>
      </w:hyperlink>
      <w:r>
        <w:t>,</w:t>
      </w:r>
      <w:r w:rsidRPr="00C14D9F">
        <w:t xml:space="preserve"> </w:t>
      </w:r>
      <w:r>
        <w:t>a</w:t>
      </w:r>
      <w:r w:rsidRPr="00C14D9F">
        <w:t>ccessed 10 January 2018</w:t>
      </w:r>
      <w:r>
        <w:t>.</w:t>
      </w:r>
    </w:p>
  </w:footnote>
  <w:footnote w:id="66">
    <w:p w14:paraId="3FAA2195" w14:textId="18B82A48" w:rsidR="00E254FE" w:rsidRPr="00363447" w:rsidRDefault="00E254FE" w:rsidP="00363447">
      <w:pPr>
        <w:pStyle w:val="NoSpacing"/>
        <w:rPr>
          <w:rFonts w:cstheme="minorHAnsi"/>
          <w:sz w:val="18"/>
          <w:szCs w:val="18"/>
          <w:lang w:val="en-GB"/>
        </w:rPr>
      </w:pPr>
      <w:r w:rsidRPr="00363447">
        <w:rPr>
          <w:rStyle w:val="FootnoteReference"/>
          <w:szCs w:val="18"/>
        </w:rPr>
        <w:footnoteRef/>
      </w:r>
      <w:r w:rsidRPr="00363447">
        <w:rPr>
          <w:sz w:val="18"/>
          <w:szCs w:val="18"/>
        </w:rPr>
        <w:t xml:space="preserve"> </w:t>
      </w:r>
      <w:r w:rsidRPr="00363447">
        <w:rPr>
          <w:rFonts w:cstheme="minorHAnsi"/>
          <w:sz w:val="18"/>
          <w:szCs w:val="18"/>
          <w:lang w:val="en-GB"/>
        </w:rPr>
        <w:t xml:space="preserve">Australian Bureau of Statistics, </w:t>
      </w:r>
      <w:r w:rsidRPr="00363447">
        <w:rPr>
          <w:rFonts w:eastAsia="Times New Roman" w:cstheme="minorHAnsi"/>
          <w:bCs/>
          <w:i/>
          <w:color w:val="000000"/>
          <w:sz w:val="18"/>
          <w:szCs w:val="18"/>
          <w:shd w:val="clear" w:color="auto" w:fill="FFFFFF"/>
        </w:rPr>
        <w:t>National Health Survey: First Results, 2017-18, Fruit and vegetable consumption</w:t>
      </w:r>
      <w:r>
        <w:rPr>
          <w:rFonts w:eastAsia="Times New Roman" w:cstheme="minorHAnsi"/>
          <w:bCs/>
          <w:i/>
          <w:color w:val="000000"/>
          <w:sz w:val="18"/>
          <w:szCs w:val="18"/>
          <w:shd w:val="clear" w:color="auto" w:fill="FFFFFF"/>
        </w:rPr>
        <w:t>.</w:t>
      </w:r>
    </w:p>
  </w:footnote>
  <w:footnote w:id="67">
    <w:p w14:paraId="7CD73275" w14:textId="6D1762E8" w:rsidR="00E254FE" w:rsidRPr="00363447" w:rsidRDefault="00E254FE" w:rsidP="00FF1972">
      <w:pPr>
        <w:rPr>
          <w:rFonts w:cstheme="minorHAnsi"/>
          <w:sz w:val="18"/>
          <w:szCs w:val="18"/>
        </w:rPr>
      </w:pPr>
      <w:r w:rsidRPr="00363447">
        <w:rPr>
          <w:rStyle w:val="FootnoteReference"/>
          <w:szCs w:val="18"/>
        </w:rPr>
        <w:footnoteRef/>
      </w:r>
      <w:r w:rsidRPr="00363447">
        <w:rPr>
          <w:sz w:val="18"/>
          <w:szCs w:val="18"/>
        </w:rPr>
        <w:t xml:space="preserve"> </w:t>
      </w:r>
      <w:r w:rsidRPr="00363447">
        <w:rPr>
          <w:rFonts w:cstheme="minorHAnsi"/>
          <w:sz w:val="18"/>
          <w:szCs w:val="18"/>
        </w:rPr>
        <w:t xml:space="preserve">Ministry of Health New Zealand, </w:t>
      </w:r>
      <w:hyperlink r:id="rId9" w:history="1">
        <w:r w:rsidRPr="00363447">
          <w:rPr>
            <w:rStyle w:val="Hyperlink"/>
            <w:rFonts w:cstheme="minorHAnsi"/>
            <w:i/>
            <w:iCs/>
            <w:sz w:val="18"/>
            <w:szCs w:val="18"/>
          </w:rPr>
          <w:t>Eating and Activity Guidelines for New Zealand Adults</w:t>
        </w:r>
      </w:hyperlink>
      <w:r w:rsidRPr="00363447">
        <w:rPr>
          <w:rFonts w:cstheme="minorHAnsi"/>
          <w:sz w:val="18"/>
          <w:szCs w:val="18"/>
        </w:rPr>
        <w:t xml:space="preserve">, </w:t>
      </w:r>
      <w:r w:rsidRPr="00363447">
        <w:rPr>
          <w:rFonts w:eastAsia="Times New Roman" w:cstheme="minorHAnsi"/>
          <w:bCs/>
          <w:color w:val="000000"/>
          <w:sz w:val="18"/>
          <w:szCs w:val="18"/>
          <w:shd w:val="clear" w:color="auto" w:fill="FFFFFF"/>
        </w:rPr>
        <w:t>p.12</w:t>
      </w:r>
      <w:r>
        <w:rPr>
          <w:rFonts w:eastAsia="Times New Roman" w:cstheme="minorHAnsi"/>
          <w:bCs/>
          <w:color w:val="000000"/>
          <w:sz w:val="18"/>
          <w:szCs w:val="18"/>
          <w:shd w:val="clear" w:color="auto" w:fill="FFFFFF"/>
        </w:rPr>
        <w:t>.</w:t>
      </w:r>
    </w:p>
  </w:footnote>
  <w:footnote w:id="68">
    <w:p w14:paraId="66B7B0D5" w14:textId="353A4D67" w:rsidR="00E254FE" w:rsidRDefault="00E254FE" w:rsidP="003272AE">
      <w:pPr>
        <w:pStyle w:val="FootnoteText"/>
      </w:pPr>
      <w:r w:rsidRPr="00363447">
        <w:rPr>
          <w:rStyle w:val="FootnoteReference"/>
          <w:szCs w:val="18"/>
        </w:rPr>
        <w:footnoteRef/>
      </w:r>
      <w:r w:rsidRPr="00363447">
        <w:t xml:space="preserve"> Woolworths submission to the HSR System Review, October 2018</w:t>
      </w:r>
      <w:r>
        <w:t>.</w:t>
      </w:r>
    </w:p>
  </w:footnote>
  <w:footnote w:id="69">
    <w:p w14:paraId="0EA2B51D" w14:textId="17B7F05B" w:rsidR="00E254FE" w:rsidRPr="00363447" w:rsidRDefault="00E254FE" w:rsidP="00363447">
      <w:pPr>
        <w:pStyle w:val="NoSpacing"/>
        <w:rPr>
          <w:rFonts w:cstheme="minorHAnsi"/>
          <w:sz w:val="20"/>
          <w:szCs w:val="20"/>
          <w:lang w:val="en-GB"/>
        </w:rPr>
      </w:pPr>
      <w:r w:rsidRPr="00CE76FB">
        <w:rPr>
          <w:rStyle w:val="FootnoteReference"/>
          <w:szCs w:val="18"/>
        </w:rPr>
        <w:footnoteRef/>
      </w:r>
      <w:r w:rsidRPr="00CE76FB">
        <w:rPr>
          <w:sz w:val="18"/>
          <w:szCs w:val="18"/>
        </w:rPr>
        <w:t xml:space="preserve"> </w:t>
      </w:r>
      <w:r w:rsidRPr="00CE76FB">
        <w:rPr>
          <w:rFonts w:cstheme="minorHAnsi"/>
          <w:sz w:val="18"/>
          <w:szCs w:val="18"/>
        </w:rPr>
        <w:t>Cameron A, Sacks G, Brown A, Ngan W, Isaacs J 2017</w:t>
      </w:r>
      <w:r>
        <w:rPr>
          <w:rFonts w:cstheme="minorHAnsi"/>
          <w:sz w:val="18"/>
          <w:szCs w:val="18"/>
        </w:rPr>
        <w:t xml:space="preserve"> </w:t>
      </w:r>
      <w:r w:rsidRPr="00CE76FB">
        <w:rPr>
          <w:rFonts w:cstheme="minorHAnsi"/>
          <w:i/>
          <w:sz w:val="18"/>
          <w:szCs w:val="18"/>
        </w:rPr>
        <w:t>Customer and staff perceptions of a supermarket marketing intervention to promote healthy eating</w:t>
      </w:r>
      <w:r w:rsidRPr="00CE76FB">
        <w:rPr>
          <w:rFonts w:cstheme="minorHAnsi"/>
          <w:sz w:val="18"/>
          <w:szCs w:val="18"/>
        </w:rPr>
        <w:t>. Paper presented at: 15th World Congress on Public Health</w:t>
      </w:r>
      <w:r>
        <w:rPr>
          <w:rFonts w:cstheme="minorHAnsi"/>
          <w:sz w:val="18"/>
          <w:szCs w:val="18"/>
        </w:rPr>
        <w:t>,</w:t>
      </w:r>
      <w:r w:rsidRPr="00CE76FB">
        <w:rPr>
          <w:rFonts w:cstheme="minorHAnsi"/>
          <w:sz w:val="18"/>
          <w:szCs w:val="18"/>
        </w:rPr>
        <w:t xml:space="preserve"> </w:t>
      </w:r>
      <w:r>
        <w:rPr>
          <w:rFonts w:cstheme="minorHAnsi"/>
          <w:sz w:val="18"/>
          <w:szCs w:val="18"/>
        </w:rPr>
        <w:t xml:space="preserve">3-7 April 2018, </w:t>
      </w:r>
      <w:r w:rsidRPr="00CE76FB">
        <w:rPr>
          <w:rFonts w:cstheme="minorHAnsi"/>
          <w:sz w:val="18"/>
          <w:szCs w:val="18"/>
        </w:rPr>
        <w:t>Melbourne.</w:t>
      </w:r>
    </w:p>
  </w:footnote>
  <w:footnote w:id="70">
    <w:p w14:paraId="130AD5EE" w14:textId="77777777" w:rsidR="00E254FE" w:rsidRPr="00CE76FB" w:rsidRDefault="00E254FE" w:rsidP="009959A5">
      <w:pPr>
        <w:rPr>
          <w:rFonts w:cstheme="minorHAnsi"/>
          <w:sz w:val="18"/>
          <w:szCs w:val="18"/>
          <w:lang w:val="en-US"/>
        </w:rPr>
      </w:pPr>
      <w:r w:rsidRPr="00CE76FB">
        <w:rPr>
          <w:rStyle w:val="FootnoteReference"/>
          <w:szCs w:val="18"/>
        </w:rPr>
        <w:footnoteRef/>
      </w:r>
      <w:r w:rsidRPr="00CE76FB">
        <w:rPr>
          <w:sz w:val="18"/>
          <w:szCs w:val="18"/>
        </w:rPr>
        <w:t xml:space="preserve"> </w:t>
      </w:r>
      <w:r w:rsidRPr="00CE76FB">
        <w:rPr>
          <w:rFonts w:cstheme="minorHAnsi"/>
          <w:sz w:val="18"/>
          <w:szCs w:val="18"/>
          <w:lang w:val="en-US"/>
        </w:rPr>
        <w:t xml:space="preserve">Cameron A, et al. </w:t>
      </w:r>
      <w:r w:rsidRPr="00CE76FB">
        <w:rPr>
          <w:rFonts w:cstheme="minorHAnsi"/>
          <w:i/>
          <w:sz w:val="18"/>
          <w:szCs w:val="18"/>
        </w:rPr>
        <w:t>Health Star Ratings on supermarket shelf tags to promote sales of the healthiest products store-wide</w:t>
      </w:r>
      <w:r w:rsidRPr="00CE76FB">
        <w:rPr>
          <w:rFonts w:cstheme="minorHAnsi"/>
          <w:sz w:val="18"/>
          <w:szCs w:val="18"/>
        </w:rPr>
        <w:t>. Manuscript in preparation.</w:t>
      </w:r>
    </w:p>
  </w:footnote>
  <w:footnote w:id="71">
    <w:p w14:paraId="60E191C1" w14:textId="1D75F8E3" w:rsidR="00E254FE" w:rsidRPr="00C14D9F" w:rsidRDefault="00E254FE" w:rsidP="003272AE">
      <w:pPr>
        <w:pStyle w:val="FootnoteText"/>
      </w:pPr>
      <w:r w:rsidRPr="00C14D9F">
        <w:rPr>
          <w:rStyle w:val="FootnoteReference"/>
          <w:szCs w:val="18"/>
        </w:rPr>
        <w:footnoteRef/>
      </w:r>
      <w:r w:rsidRPr="00C14D9F">
        <w:t xml:space="preserve"> TAG technical paper</w:t>
      </w:r>
      <w:r>
        <w:t>,</w:t>
      </w:r>
      <w:r w:rsidRPr="00363447">
        <w:t xml:space="preserve"> </w:t>
      </w:r>
      <w:r w:rsidRPr="00C14D9F">
        <w:t>October 2018,</w:t>
      </w:r>
      <w:r>
        <w:t xml:space="preserve"> </w:t>
      </w:r>
      <w:r w:rsidRPr="00363447">
        <w:rPr>
          <w:i/>
        </w:rPr>
        <w:t>Sugars (Added and Total),</w:t>
      </w:r>
      <w:r w:rsidRPr="00C14D9F">
        <w:t xml:space="preserve"> </w:t>
      </w:r>
      <w:r>
        <w:t>p</w:t>
      </w:r>
      <w:r w:rsidRPr="00C14D9F">
        <w:t>p. 46-47</w:t>
      </w:r>
      <w:r>
        <w:t>.</w:t>
      </w:r>
    </w:p>
  </w:footnote>
  <w:footnote w:id="72">
    <w:p w14:paraId="48A17187" w14:textId="4AAE8E48" w:rsidR="00E254FE" w:rsidRPr="00C14D9F" w:rsidRDefault="00E254FE" w:rsidP="003272AE">
      <w:pPr>
        <w:pStyle w:val="FootnoteText"/>
      </w:pPr>
      <w:r w:rsidRPr="00C14D9F">
        <w:rPr>
          <w:rStyle w:val="FootnoteReference"/>
          <w:szCs w:val="18"/>
        </w:rPr>
        <w:footnoteRef/>
      </w:r>
      <w:r w:rsidRPr="00C14D9F">
        <w:t xml:space="preserve"> </w:t>
      </w:r>
      <w:r w:rsidRPr="00C63897">
        <w:rPr>
          <w:lang w:val="en-US"/>
        </w:rPr>
        <w:t xml:space="preserve">Dunford, EK, Huang, L, Peters, SAE, Crino, M, Neal, BC &amp; Ni Mhurchu, C 2018, ‘Evaluation of alignment between the Health Claims Nutrient Profiling Scoring Criterion (NPSC) and the Health Star Rating (HSR) Nutrient Profiling Models’, </w:t>
      </w:r>
      <w:r w:rsidRPr="00C63897">
        <w:rPr>
          <w:i/>
          <w:iCs/>
          <w:lang w:val="en-US"/>
        </w:rPr>
        <w:t>Nutrients</w:t>
      </w:r>
      <w:r w:rsidRPr="00C63897">
        <w:rPr>
          <w:lang w:val="en-US"/>
        </w:rPr>
        <w:t>, vol. 10, no. 8, p. 26</w:t>
      </w:r>
      <w:r>
        <w:rPr>
          <w:lang w:val="en-US"/>
        </w:rPr>
        <w:t>.</w:t>
      </w:r>
    </w:p>
  </w:footnote>
  <w:footnote w:id="73">
    <w:p w14:paraId="4DEFBC5B" w14:textId="4D93CD68" w:rsidR="00E254FE" w:rsidRPr="006B2F45" w:rsidRDefault="00E254FE" w:rsidP="003272AE">
      <w:pPr>
        <w:pStyle w:val="FootnoteText"/>
      </w:pPr>
      <w:r w:rsidRPr="00C14D9F">
        <w:rPr>
          <w:rStyle w:val="FootnoteReference"/>
          <w:szCs w:val="18"/>
        </w:rPr>
        <w:footnoteRef/>
      </w:r>
      <w:r w:rsidRPr="00C14D9F">
        <w:t xml:space="preserve"> World Health Organi</w:t>
      </w:r>
      <w:r>
        <w:t>z</w:t>
      </w:r>
      <w:r w:rsidRPr="00C14D9F">
        <w:t>ation, 2015, Guideline: Sugars intake for adults and children, Geneva</w:t>
      </w:r>
    </w:p>
  </w:footnote>
  <w:footnote w:id="74">
    <w:p w14:paraId="7DCFDF8B" w14:textId="62CD6820" w:rsidR="00E254FE" w:rsidRPr="00C14D9F" w:rsidRDefault="00E254FE" w:rsidP="003272AE">
      <w:pPr>
        <w:pStyle w:val="FootnoteText"/>
      </w:pPr>
      <w:r w:rsidRPr="00C14D9F">
        <w:rPr>
          <w:rStyle w:val="FootnoteReference"/>
          <w:szCs w:val="18"/>
        </w:rPr>
        <w:footnoteRef/>
      </w:r>
      <w:r w:rsidRPr="00C14D9F">
        <w:t xml:space="preserve"> </w:t>
      </w:r>
      <w:r w:rsidRPr="00C63897">
        <w:rPr>
          <w:lang w:val="en-GB"/>
        </w:rPr>
        <w:t xml:space="preserve">Jones, A, Radholm, K &amp; Neal, B </w:t>
      </w:r>
      <w:r w:rsidRPr="00C63897">
        <w:rPr>
          <w:iCs/>
          <w:lang w:val="en-GB"/>
        </w:rPr>
        <w:t>2018,</w:t>
      </w:r>
      <w:r w:rsidRPr="00C63897">
        <w:rPr>
          <w:lang w:val="en-GB"/>
        </w:rPr>
        <w:t xml:space="preserve"> ‘Defining ‘Unhealthy’: a systematic analysis of alignment between the Australian Dietary Guidelines and the Health Star Rating System’, </w:t>
      </w:r>
      <w:r w:rsidRPr="00C63897">
        <w:rPr>
          <w:i/>
          <w:iCs/>
          <w:lang w:val="en-GB"/>
        </w:rPr>
        <w:t xml:space="preserve">Nutrients, </w:t>
      </w:r>
      <w:r w:rsidRPr="00C63897">
        <w:rPr>
          <w:iCs/>
          <w:lang w:val="en-GB"/>
        </w:rPr>
        <w:t>vol.</w:t>
      </w:r>
      <w:r w:rsidRPr="00C63897">
        <w:rPr>
          <w:lang w:val="en-GB"/>
        </w:rPr>
        <w:t xml:space="preserve"> 10, no. 501.</w:t>
      </w:r>
    </w:p>
  </w:footnote>
  <w:footnote w:id="75">
    <w:p w14:paraId="25058BD3" w14:textId="2B889BFE" w:rsidR="00E254FE" w:rsidRPr="00980BD1" w:rsidRDefault="00E254FE" w:rsidP="00980BD1">
      <w:pPr>
        <w:autoSpaceDE w:val="0"/>
        <w:autoSpaceDN w:val="0"/>
        <w:adjustRightInd w:val="0"/>
        <w:rPr>
          <w:rFonts w:cstheme="minorHAnsi"/>
          <w:color w:val="000000"/>
          <w:sz w:val="18"/>
          <w:szCs w:val="18"/>
          <w:lang w:val="en-US"/>
        </w:rPr>
      </w:pPr>
      <w:r w:rsidRPr="00980BD1">
        <w:rPr>
          <w:rStyle w:val="FootnoteReference"/>
          <w:szCs w:val="18"/>
        </w:rPr>
        <w:footnoteRef/>
      </w:r>
      <w:r w:rsidRPr="00980BD1">
        <w:rPr>
          <w:sz w:val="18"/>
          <w:szCs w:val="18"/>
        </w:rPr>
        <w:t xml:space="preserve"> </w:t>
      </w:r>
      <w:r w:rsidRPr="00980BD1">
        <w:rPr>
          <w:rFonts w:cstheme="minorHAnsi"/>
          <w:color w:val="000000"/>
          <w:sz w:val="18"/>
          <w:szCs w:val="18"/>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rFonts w:cstheme="minorHAnsi"/>
          <w:i/>
          <w:iCs/>
          <w:color w:val="000000"/>
          <w:sz w:val="18"/>
          <w:szCs w:val="18"/>
          <w:lang w:val="en-US"/>
        </w:rPr>
        <w:t>Nutrients</w:t>
      </w:r>
      <w:r w:rsidRPr="00980BD1">
        <w:rPr>
          <w:rFonts w:cstheme="minorHAnsi"/>
          <w:color w:val="000000"/>
          <w:sz w:val="18"/>
          <w:szCs w:val="18"/>
          <w:lang w:val="en-US"/>
        </w:rPr>
        <w:t>, vol. 10, no. 8, p. 1065.</w:t>
      </w:r>
    </w:p>
  </w:footnote>
  <w:footnote w:id="76">
    <w:p w14:paraId="39D2A642" w14:textId="4731314A" w:rsidR="00E254FE" w:rsidRPr="00980BD1" w:rsidRDefault="00E254FE" w:rsidP="003272AE">
      <w:pPr>
        <w:pStyle w:val="FootnoteText"/>
        <w:rPr>
          <w:szCs w:val="18"/>
        </w:rPr>
      </w:pPr>
      <w:r w:rsidRPr="00980BD1">
        <w:rPr>
          <w:rStyle w:val="FootnoteReference"/>
          <w:szCs w:val="18"/>
        </w:rPr>
        <w:footnoteRef/>
      </w:r>
      <w:r w:rsidRPr="00980BD1">
        <w:rPr>
          <w:szCs w:val="18"/>
        </w:rPr>
        <w:t xml:space="preserve"> FSANZ, 2017,</w:t>
      </w:r>
      <w:r>
        <w:rPr>
          <w:szCs w:val="18"/>
        </w:rPr>
        <w:t xml:space="preserve"> </w:t>
      </w:r>
      <w:r w:rsidRPr="005A3631">
        <w:rPr>
          <w:i/>
          <w:szCs w:val="18"/>
        </w:rPr>
        <w:t>Australia</w:t>
      </w:r>
      <w:r w:rsidRPr="001C7B7D">
        <w:rPr>
          <w:i/>
          <w:szCs w:val="18"/>
        </w:rPr>
        <w:t xml:space="preserve"> New Zealand Food Standards Code – </w:t>
      </w:r>
      <w:hyperlink r:id="rId10" w:history="1">
        <w:r w:rsidRPr="00980BD1">
          <w:rPr>
            <w:rStyle w:val="Hyperlink"/>
            <w:i/>
            <w:szCs w:val="18"/>
          </w:rPr>
          <w:t>Schedule 4 Nutrition, health and related claims</w:t>
        </w:r>
      </w:hyperlink>
    </w:p>
  </w:footnote>
  <w:footnote w:id="77">
    <w:p w14:paraId="23C193AD" w14:textId="5C9C3FAD" w:rsidR="00E254FE" w:rsidRPr="00980BD1" w:rsidRDefault="00E254FE" w:rsidP="003272AE">
      <w:pPr>
        <w:pStyle w:val="FootnoteText"/>
        <w:rPr>
          <w:szCs w:val="18"/>
        </w:rPr>
      </w:pPr>
      <w:r w:rsidRPr="00980BD1">
        <w:rPr>
          <w:rStyle w:val="FootnoteReference"/>
          <w:szCs w:val="18"/>
        </w:rPr>
        <w:footnoteRef/>
      </w:r>
      <w:r w:rsidRPr="00980BD1">
        <w:rPr>
          <w:szCs w:val="18"/>
        </w:rPr>
        <w:t xml:space="preserve"> Calcium threshold defined in section S4-6 of</w:t>
      </w:r>
      <w:r>
        <w:rPr>
          <w:szCs w:val="18"/>
        </w:rPr>
        <w:t xml:space="preserve"> </w:t>
      </w:r>
      <w:r w:rsidRPr="005A3631">
        <w:rPr>
          <w:i/>
          <w:szCs w:val="18"/>
        </w:rPr>
        <w:t>Australia</w:t>
      </w:r>
      <w:r w:rsidRPr="001C7B7D">
        <w:rPr>
          <w:i/>
          <w:szCs w:val="18"/>
        </w:rPr>
        <w:t xml:space="preserve"> New Zealand Food Standards Code –</w:t>
      </w:r>
      <w:hyperlink r:id="rId11" w:history="1">
        <w:r w:rsidRPr="00980BD1">
          <w:rPr>
            <w:rStyle w:val="Hyperlink"/>
            <w:i/>
            <w:szCs w:val="18"/>
          </w:rPr>
          <w:t xml:space="preserve"> Schedule 4 Nutrition, health and related claims</w:t>
        </w:r>
      </w:hyperlink>
      <w:r w:rsidRPr="00980BD1">
        <w:rPr>
          <w:i/>
          <w:szCs w:val="18"/>
        </w:rPr>
        <w:t>.</w:t>
      </w:r>
    </w:p>
  </w:footnote>
  <w:footnote w:id="78">
    <w:p w14:paraId="70A91E9C" w14:textId="7AA326B4" w:rsidR="00E254FE" w:rsidRDefault="00E254FE" w:rsidP="003272AE">
      <w:pPr>
        <w:pStyle w:val="FootnoteText"/>
      </w:pPr>
      <w:r w:rsidRPr="00980BD1">
        <w:rPr>
          <w:rStyle w:val="FootnoteReference"/>
          <w:szCs w:val="18"/>
        </w:rPr>
        <w:footnoteRef/>
      </w:r>
      <w:r w:rsidRPr="00980BD1">
        <w:t xml:space="preserve"> </w:t>
      </w:r>
      <w:r w:rsidRPr="00980BD1">
        <w:rPr>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i/>
          <w:iCs/>
          <w:lang w:val="en-US"/>
        </w:rPr>
        <w:t>Nutrients</w:t>
      </w:r>
      <w:r w:rsidRPr="00980BD1">
        <w:rPr>
          <w:lang w:val="en-US"/>
        </w:rPr>
        <w:t>, vol. 10, no. 8, p. 60</w:t>
      </w:r>
      <w:r>
        <w:rPr>
          <w:lang w:val="en-US"/>
        </w:rPr>
        <w:t>.</w:t>
      </w:r>
    </w:p>
  </w:footnote>
  <w:footnote w:id="79">
    <w:p w14:paraId="7DBCF60F" w14:textId="21871810" w:rsidR="00E254FE" w:rsidRPr="006868BE" w:rsidRDefault="00E254FE" w:rsidP="003272AE">
      <w:pPr>
        <w:pStyle w:val="FootnoteText"/>
      </w:pPr>
      <w:r w:rsidRPr="006868BE">
        <w:rPr>
          <w:rStyle w:val="FootnoteReference"/>
          <w:szCs w:val="18"/>
        </w:rPr>
        <w:footnoteRef/>
      </w:r>
      <w:r w:rsidRPr="006868BE">
        <w:t xml:space="preserve"> Calcium threshold defined </w:t>
      </w:r>
      <w:r w:rsidRPr="0017608D">
        <w:t>in section S4-6 of</w:t>
      </w:r>
      <w:r>
        <w:t xml:space="preserve"> </w:t>
      </w:r>
      <w:r w:rsidRPr="005A3631">
        <w:rPr>
          <w:i/>
        </w:rPr>
        <w:t>Australia</w:t>
      </w:r>
      <w:r w:rsidRPr="001C7B7D">
        <w:rPr>
          <w:i/>
        </w:rPr>
        <w:t xml:space="preserve"> New Zealand Food Standards Code – </w:t>
      </w:r>
      <w:hyperlink r:id="rId12" w:history="1">
        <w:r w:rsidRPr="00980BD1">
          <w:rPr>
            <w:rStyle w:val="Hyperlink"/>
            <w:i/>
            <w:szCs w:val="18"/>
          </w:rPr>
          <w:t>Schedule 4 Nutrition, health and related claims</w:t>
        </w:r>
      </w:hyperlink>
      <w:r>
        <w:rPr>
          <w:i/>
        </w:rPr>
        <w:t>.</w:t>
      </w:r>
    </w:p>
  </w:footnote>
  <w:footnote w:id="80">
    <w:p w14:paraId="4FB8D273" w14:textId="6A4708F3" w:rsidR="00E254FE" w:rsidRPr="00C14D9F" w:rsidRDefault="00E254FE" w:rsidP="003272AE">
      <w:pPr>
        <w:pStyle w:val="FootnoteText"/>
      </w:pPr>
      <w:r w:rsidRPr="005A3631">
        <w:rPr>
          <w:rStyle w:val="FootnoteReference"/>
          <w:szCs w:val="18"/>
        </w:rPr>
        <w:footnoteRef/>
      </w:r>
      <w:r w:rsidRPr="005A3631">
        <w:t xml:space="preserve"> TAG technical paper, October 2018, </w:t>
      </w:r>
      <w:r w:rsidRPr="003039F9">
        <w:rPr>
          <w:i/>
          <w:iCs/>
        </w:rPr>
        <w:t>Alignment of the HSR system with the Australian and New Zealand Dietary Guidelines</w:t>
      </w:r>
      <w:r>
        <w:t>.</w:t>
      </w:r>
    </w:p>
  </w:footnote>
  <w:footnote w:id="81">
    <w:p w14:paraId="006E62D8" w14:textId="656B4CA9" w:rsidR="00E254FE" w:rsidRPr="00980BD1" w:rsidRDefault="00E254FE" w:rsidP="00FD3847">
      <w:pPr>
        <w:pStyle w:val="NoSpacing"/>
        <w:rPr>
          <w:sz w:val="18"/>
          <w:szCs w:val="18"/>
          <w:lang w:val="en-GB"/>
        </w:rPr>
      </w:pPr>
      <w:r w:rsidRPr="00980BD1">
        <w:rPr>
          <w:rStyle w:val="FootnoteReference"/>
          <w:szCs w:val="18"/>
        </w:rPr>
        <w:footnoteRef/>
      </w:r>
      <w:r w:rsidRPr="00980BD1">
        <w:rPr>
          <w:sz w:val="18"/>
          <w:szCs w:val="18"/>
        </w:rPr>
        <w:t xml:space="preserve"> </w:t>
      </w:r>
      <w:r w:rsidRPr="00980BD1">
        <w:rPr>
          <w:sz w:val="18"/>
          <w:szCs w:val="18"/>
          <w:lang w:val="en-GB"/>
        </w:rPr>
        <w:t xml:space="preserve">Jones, A, Radholm, K &amp; Neal, B </w:t>
      </w:r>
      <w:r w:rsidRPr="00980BD1">
        <w:rPr>
          <w:iCs/>
          <w:sz w:val="18"/>
          <w:szCs w:val="18"/>
          <w:lang w:val="en-GB"/>
        </w:rPr>
        <w:t>2018,</w:t>
      </w:r>
      <w:r w:rsidRPr="00980BD1">
        <w:rPr>
          <w:sz w:val="18"/>
          <w:szCs w:val="18"/>
          <w:lang w:val="en-GB"/>
        </w:rPr>
        <w:t xml:space="preserve"> ‘Defining ‘Unhealthy’: a systematic analysis of alignment between the Australian Dietary Guidelines and the Health Star Rating System’, </w:t>
      </w:r>
      <w:r w:rsidRPr="00980BD1">
        <w:rPr>
          <w:i/>
          <w:iCs/>
          <w:sz w:val="18"/>
          <w:szCs w:val="18"/>
          <w:lang w:val="en-GB"/>
        </w:rPr>
        <w:t xml:space="preserve">Nutrients, </w:t>
      </w:r>
      <w:r w:rsidRPr="00980BD1">
        <w:rPr>
          <w:iCs/>
          <w:sz w:val="18"/>
          <w:szCs w:val="18"/>
          <w:lang w:val="en-GB"/>
        </w:rPr>
        <w:t>vol.</w:t>
      </w:r>
      <w:r w:rsidRPr="00980BD1">
        <w:rPr>
          <w:sz w:val="18"/>
          <w:szCs w:val="18"/>
          <w:lang w:val="en-GB"/>
        </w:rPr>
        <w:t xml:space="preserve"> 10, no. 501.</w:t>
      </w:r>
    </w:p>
  </w:footnote>
  <w:footnote w:id="82">
    <w:p w14:paraId="25D29C83" w14:textId="422F35EF" w:rsidR="00E254FE" w:rsidRPr="00980BD1" w:rsidRDefault="00E254FE" w:rsidP="00FD3847">
      <w:pPr>
        <w:autoSpaceDE w:val="0"/>
        <w:autoSpaceDN w:val="0"/>
        <w:adjustRightInd w:val="0"/>
        <w:rPr>
          <w:rFonts w:ascii="Calibri" w:hAnsi="Calibri" w:cs="Calibri"/>
          <w:color w:val="000000"/>
          <w:sz w:val="18"/>
          <w:szCs w:val="18"/>
          <w:lang w:val="en-US"/>
        </w:rPr>
      </w:pPr>
      <w:r w:rsidRPr="00980BD1">
        <w:rPr>
          <w:rStyle w:val="FootnoteReference"/>
          <w:szCs w:val="18"/>
        </w:rPr>
        <w:footnoteRef/>
      </w:r>
      <w:r w:rsidRPr="00980BD1">
        <w:rPr>
          <w:sz w:val="18"/>
          <w:szCs w:val="18"/>
        </w:rPr>
        <w:t xml:space="preserve"> </w:t>
      </w:r>
      <w:r w:rsidRPr="00980BD1">
        <w:rPr>
          <w:rFonts w:ascii="Calibri" w:hAnsi="Calibri" w:cs="Calibri"/>
          <w:color w:val="000000"/>
          <w:sz w:val="18"/>
          <w:szCs w:val="18"/>
          <w:lang w:val="en-US"/>
        </w:rPr>
        <w:t xml:space="preserve">Dunford, EK, Huang, L, Peters, SAE, Crino, M, Neal, BC &amp; Ni Mhurchu, C 2018, ‘Evaluation of alignment between the Health Claims Nutrient Profiling Scoring Criterion (NPSC) and the Health Star Rating (HSR) Nutrient Profiling Models’, </w:t>
      </w:r>
      <w:r w:rsidRPr="00980BD1">
        <w:rPr>
          <w:rFonts w:ascii="Calibri" w:hAnsi="Calibri" w:cs="Calibri"/>
          <w:i/>
          <w:iCs/>
          <w:color w:val="000000"/>
          <w:sz w:val="18"/>
          <w:szCs w:val="18"/>
          <w:lang w:val="en-US"/>
        </w:rPr>
        <w:t>Nutrients</w:t>
      </w:r>
      <w:r w:rsidRPr="00980BD1">
        <w:rPr>
          <w:rFonts w:ascii="Calibri" w:hAnsi="Calibri" w:cs="Calibri"/>
          <w:color w:val="000000"/>
          <w:sz w:val="18"/>
          <w:szCs w:val="18"/>
          <w:lang w:val="en-US"/>
        </w:rPr>
        <w:t>, vol. 10, no. 8</w:t>
      </w:r>
      <w:r w:rsidRPr="00980BD1">
        <w:rPr>
          <w:sz w:val="18"/>
          <w:szCs w:val="18"/>
        </w:rPr>
        <w:t>, p. 55.</w:t>
      </w:r>
    </w:p>
  </w:footnote>
  <w:footnote w:id="83">
    <w:p w14:paraId="4A9B22B7" w14:textId="77777777" w:rsidR="00E254FE" w:rsidRPr="00980BD1" w:rsidRDefault="00E254FE" w:rsidP="00BF476F">
      <w:pPr>
        <w:autoSpaceDE w:val="0"/>
        <w:autoSpaceDN w:val="0"/>
        <w:adjustRightInd w:val="0"/>
        <w:rPr>
          <w:rFonts w:cstheme="minorHAnsi"/>
          <w:sz w:val="20"/>
          <w:szCs w:val="20"/>
          <w:lang w:val="en-GB"/>
        </w:rPr>
      </w:pPr>
      <w:r w:rsidRPr="00980BD1">
        <w:rPr>
          <w:rStyle w:val="FootnoteReference"/>
          <w:szCs w:val="18"/>
        </w:rPr>
        <w:footnoteRef/>
      </w:r>
      <w:r w:rsidRPr="00980BD1">
        <w:rPr>
          <w:sz w:val="18"/>
          <w:szCs w:val="18"/>
        </w:rPr>
        <w:t xml:space="preserve"> </w:t>
      </w:r>
      <w:r w:rsidRPr="00980BD1">
        <w:rPr>
          <w:rFonts w:cstheme="minorHAnsi"/>
          <w:sz w:val="18"/>
          <w:szCs w:val="18"/>
          <w:lang w:val="en-GB"/>
        </w:rPr>
        <w:t>Jones, A, Shahid, M &amp; Neal, B 2018</w:t>
      </w:r>
      <w:r w:rsidRPr="00980BD1">
        <w:rPr>
          <w:rFonts w:cstheme="minorHAnsi"/>
          <w:i/>
          <w:iCs/>
          <w:sz w:val="18"/>
          <w:szCs w:val="18"/>
          <w:lang w:val="en-GB"/>
        </w:rPr>
        <w:t xml:space="preserve"> </w:t>
      </w:r>
      <w:r>
        <w:rPr>
          <w:rFonts w:cstheme="minorHAnsi"/>
          <w:i/>
          <w:iCs/>
          <w:sz w:val="18"/>
          <w:szCs w:val="18"/>
          <w:lang w:val="en-GB"/>
        </w:rPr>
        <w:t>‘</w:t>
      </w:r>
      <w:r w:rsidRPr="00980BD1">
        <w:rPr>
          <w:rFonts w:cstheme="minorHAnsi"/>
          <w:sz w:val="18"/>
          <w:szCs w:val="18"/>
          <w:lang w:val="en-GB"/>
        </w:rPr>
        <w:t>Uptake of Australia’s Health Star Rating System</w:t>
      </w:r>
      <w:r>
        <w:rPr>
          <w:rFonts w:cstheme="minorHAnsi"/>
          <w:sz w:val="18"/>
          <w:szCs w:val="18"/>
          <w:lang w:val="en-GB"/>
        </w:rPr>
        <w:t>’</w:t>
      </w:r>
      <w:r w:rsidRPr="00980BD1">
        <w:rPr>
          <w:rFonts w:cstheme="minorHAnsi"/>
          <w:sz w:val="18"/>
          <w:szCs w:val="18"/>
          <w:lang w:val="en-GB"/>
        </w:rPr>
        <w:t xml:space="preserve">, </w:t>
      </w:r>
      <w:r w:rsidRPr="00980BD1">
        <w:rPr>
          <w:rFonts w:cstheme="minorHAnsi"/>
          <w:i/>
          <w:iCs/>
          <w:sz w:val="18"/>
          <w:szCs w:val="18"/>
          <w:lang w:val="en-GB"/>
        </w:rPr>
        <w:t>Nutrients</w:t>
      </w:r>
      <w:r w:rsidRPr="00980BD1">
        <w:rPr>
          <w:rFonts w:cstheme="minorHAnsi"/>
          <w:sz w:val="18"/>
          <w:szCs w:val="18"/>
          <w:lang w:val="en-GB"/>
        </w:rPr>
        <w:t>, vol. 10, no. 8, 997, pp. 1-13.</w:t>
      </w:r>
    </w:p>
  </w:footnote>
  <w:footnote w:id="84">
    <w:p w14:paraId="64115A3D" w14:textId="77777777" w:rsidR="00E254FE" w:rsidRPr="00E15692" w:rsidRDefault="00E254FE" w:rsidP="0068687E">
      <w:pPr>
        <w:pStyle w:val="NoSpacing"/>
        <w:rPr>
          <w:rFonts w:cstheme="minorHAnsi"/>
          <w:i/>
          <w:sz w:val="18"/>
          <w:szCs w:val="18"/>
          <w:lang w:val="en-GB"/>
        </w:rPr>
      </w:pPr>
      <w:r>
        <w:rPr>
          <w:rStyle w:val="FootnoteReference"/>
        </w:rPr>
        <w:footnoteRef/>
      </w:r>
      <w:r>
        <w:t xml:space="preserve"> </w:t>
      </w:r>
      <w:r w:rsidRPr="00F54C40">
        <w:rPr>
          <w:rFonts w:cstheme="minorHAnsi"/>
          <w:sz w:val="18"/>
          <w:szCs w:val="18"/>
          <w:lang w:val="en-GB"/>
        </w:rPr>
        <w:t>National Heart Foundation 201</w:t>
      </w:r>
      <w:r>
        <w:rPr>
          <w:rFonts w:cstheme="minorHAnsi"/>
          <w:sz w:val="18"/>
          <w:szCs w:val="18"/>
          <w:lang w:val="en-GB"/>
        </w:rPr>
        <w:t>9</w:t>
      </w:r>
      <w:r w:rsidRPr="00F54C40">
        <w:rPr>
          <w:rFonts w:cstheme="minorHAnsi"/>
          <w:sz w:val="18"/>
          <w:szCs w:val="18"/>
          <w:lang w:val="en-GB"/>
        </w:rPr>
        <w:t xml:space="preserve">, </w:t>
      </w:r>
      <w:r w:rsidRPr="00F54C40">
        <w:rPr>
          <w:rFonts w:cstheme="minorHAnsi"/>
          <w:i/>
          <w:sz w:val="18"/>
          <w:szCs w:val="18"/>
        </w:rPr>
        <w:t>Report on the monitoring of the implementation of the HSR System in the first four years of implementation: June 2014 to June 2018</w:t>
      </w:r>
      <w:r w:rsidRPr="00F54C40">
        <w:rPr>
          <w:rFonts w:cstheme="minorHAnsi"/>
          <w:sz w:val="18"/>
          <w:szCs w:val="18"/>
          <w:lang w:val="en-GB"/>
        </w:rPr>
        <w:t>, prepared for the Commonwealth Department of Health, Canberra.</w:t>
      </w:r>
    </w:p>
  </w:footnote>
  <w:footnote w:id="85">
    <w:p w14:paraId="08BFB21A" w14:textId="77777777" w:rsidR="00E254FE" w:rsidRDefault="00E254FE" w:rsidP="003272AE">
      <w:pPr>
        <w:pStyle w:val="FootnoteText"/>
      </w:pPr>
      <w:r>
        <w:rPr>
          <w:rStyle w:val="FootnoteReference"/>
        </w:rPr>
        <w:footnoteRef/>
      </w:r>
      <w:r>
        <w:t xml:space="preserve"> </w:t>
      </w:r>
      <w:r w:rsidRPr="00F54C40">
        <w:rPr>
          <w:lang w:val="en-GB"/>
        </w:rPr>
        <w:t xml:space="preserve">New Zealand Food Safety 2018, </w:t>
      </w:r>
      <w:r w:rsidRPr="00F54C40">
        <w:rPr>
          <w:i/>
          <w:lang w:val="en-GB"/>
        </w:rPr>
        <w:t xml:space="preserve">Health Star Rating – Monitoring implementation for the Five Year Review, </w:t>
      </w:r>
      <w:r w:rsidRPr="00F54C40">
        <w:rPr>
          <w:lang w:val="en-GB"/>
        </w:rPr>
        <w:t>New Zealand Ministry for Primary Industries.</w:t>
      </w:r>
    </w:p>
  </w:footnote>
  <w:footnote w:id="86">
    <w:p w14:paraId="5B56AB13" w14:textId="77777777" w:rsidR="00E254FE" w:rsidRPr="00C14D9F" w:rsidRDefault="00E254FE" w:rsidP="003272AE">
      <w:pPr>
        <w:pStyle w:val="FootnoteText"/>
      </w:pPr>
      <w:r w:rsidRPr="00C14D9F">
        <w:rPr>
          <w:rStyle w:val="FootnoteReference"/>
          <w:szCs w:val="18"/>
        </w:rPr>
        <w:footnoteRef/>
      </w:r>
      <w:r w:rsidRPr="00C14D9F">
        <w:t xml:space="preserve"> Based on</w:t>
      </w:r>
      <w:r>
        <w:t xml:space="preserve"> modelling in</w:t>
      </w:r>
      <w:r w:rsidRPr="00C14D9F">
        <w:t xml:space="preserve"> the TAG database</w:t>
      </w:r>
    </w:p>
  </w:footnote>
  <w:footnote w:id="87">
    <w:p w14:paraId="3FCC0E05" w14:textId="77777777" w:rsidR="00E254FE" w:rsidRPr="00980BD1" w:rsidRDefault="00E254FE" w:rsidP="003272AE">
      <w:pPr>
        <w:pStyle w:val="FootnoteText"/>
      </w:pPr>
      <w:r w:rsidRPr="00980BD1">
        <w:rPr>
          <w:rStyle w:val="FootnoteReference"/>
          <w:szCs w:val="18"/>
        </w:rPr>
        <w:footnoteRef/>
      </w:r>
      <w:r w:rsidRPr="00980BD1">
        <w:t xml:space="preserve"> Australian Bureau of Statistics, </w:t>
      </w:r>
      <w:r w:rsidRPr="00980BD1">
        <w:rPr>
          <w:i/>
        </w:rPr>
        <w:t>Australian Health Survey 2011-12.</w:t>
      </w:r>
    </w:p>
  </w:footnote>
  <w:footnote w:id="88">
    <w:p w14:paraId="12429F40" w14:textId="77777777" w:rsidR="00E254FE" w:rsidRPr="00980BD1" w:rsidRDefault="00E254FE" w:rsidP="00024FD4">
      <w:pPr>
        <w:pStyle w:val="NoSpacing"/>
        <w:rPr>
          <w:rFonts w:cstheme="minorHAnsi"/>
          <w:sz w:val="18"/>
          <w:szCs w:val="18"/>
          <w:lang w:val="en-GB"/>
        </w:rPr>
      </w:pPr>
      <w:r w:rsidRPr="00980BD1">
        <w:rPr>
          <w:rStyle w:val="FootnoteReference"/>
          <w:szCs w:val="18"/>
        </w:rPr>
        <w:footnoteRef/>
      </w:r>
      <w:r w:rsidRPr="00980BD1">
        <w:rPr>
          <w:sz w:val="18"/>
          <w:szCs w:val="18"/>
        </w:rPr>
        <w:t xml:space="preserve"> </w:t>
      </w:r>
      <w:r w:rsidRPr="00980BD1">
        <w:rPr>
          <w:rFonts w:cstheme="minorHAnsi"/>
          <w:sz w:val="18"/>
          <w:szCs w:val="18"/>
          <w:lang w:val="en-GB"/>
        </w:rPr>
        <w:t xml:space="preserve">Australian Bureau of Statistics, </w:t>
      </w:r>
      <w:r w:rsidRPr="00980BD1">
        <w:rPr>
          <w:rFonts w:cstheme="minorHAnsi"/>
          <w:i/>
          <w:iCs/>
          <w:sz w:val="18"/>
          <w:szCs w:val="18"/>
          <w:lang w:val="en-GB"/>
        </w:rPr>
        <w:t>Australian Health Survey: Consumption of Added Sugars</w:t>
      </w:r>
      <w:r w:rsidRPr="00980BD1">
        <w:rPr>
          <w:rFonts w:cstheme="minorHAnsi"/>
          <w:sz w:val="18"/>
          <w:szCs w:val="18"/>
          <w:lang w:val="en-GB"/>
        </w:rPr>
        <w:t>, 2011-12.</w:t>
      </w:r>
    </w:p>
  </w:footnote>
  <w:footnote w:id="89">
    <w:p w14:paraId="20E40E07" w14:textId="77777777" w:rsidR="00E254FE" w:rsidRPr="00980BD1" w:rsidRDefault="00E254FE" w:rsidP="00024FD4">
      <w:pPr>
        <w:pStyle w:val="NoSpacing"/>
        <w:rPr>
          <w:rFonts w:cstheme="minorHAnsi"/>
          <w:sz w:val="20"/>
          <w:szCs w:val="20"/>
        </w:rPr>
      </w:pPr>
      <w:r w:rsidRPr="00980BD1">
        <w:rPr>
          <w:rStyle w:val="FootnoteReference"/>
          <w:szCs w:val="18"/>
        </w:rPr>
        <w:footnoteRef/>
      </w:r>
      <w:r w:rsidRPr="00980BD1">
        <w:rPr>
          <w:sz w:val="18"/>
          <w:szCs w:val="18"/>
        </w:rPr>
        <w:t xml:space="preserve"> </w:t>
      </w:r>
      <w:r w:rsidRPr="00980BD1">
        <w:rPr>
          <w:rFonts w:cstheme="minorHAnsi"/>
          <w:sz w:val="18"/>
          <w:szCs w:val="18"/>
        </w:rPr>
        <w:t xml:space="preserve">Ministry of Health, </w:t>
      </w:r>
      <w:r w:rsidRPr="00980BD1">
        <w:rPr>
          <w:rFonts w:cstheme="minorHAnsi"/>
          <w:i/>
          <w:sz w:val="18"/>
          <w:szCs w:val="18"/>
        </w:rPr>
        <w:t>A Focus on Nutrition: Key Findings of the 2008/09 New Zealand Adult Nutrition Survey.</w:t>
      </w:r>
    </w:p>
  </w:footnote>
  <w:footnote w:id="90">
    <w:p w14:paraId="52681681" w14:textId="7A2711FD" w:rsidR="00E254FE" w:rsidRPr="00FC6833" w:rsidRDefault="00E254FE" w:rsidP="003272AE">
      <w:pPr>
        <w:pStyle w:val="FootnoteText"/>
      </w:pPr>
      <w:r w:rsidRPr="00FC6833">
        <w:rPr>
          <w:rStyle w:val="FootnoteReference"/>
        </w:rPr>
        <w:footnoteRef/>
      </w:r>
      <w:r w:rsidRPr="00FC6833">
        <w:t xml:space="preserve"> World Health Organization, 2015, Guideline: Sugars intake for adults and children, Geneva</w:t>
      </w:r>
    </w:p>
  </w:footnote>
  <w:footnote w:id="91">
    <w:p w14:paraId="7E343CA9" w14:textId="77777777" w:rsidR="00E254FE" w:rsidRDefault="00E254FE" w:rsidP="00C01129">
      <w:pPr>
        <w:autoSpaceDE w:val="0"/>
        <w:autoSpaceDN w:val="0"/>
        <w:adjustRightInd w:val="0"/>
      </w:pPr>
      <w:r w:rsidRPr="00FC6833">
        <w:rPr>
          <w:rStyle w:val="FootnoteReference"/>
          <w:rFonts w:cstheme="minorHAnsi"/>
          <w:szCs w:val="18"/>
        </w:rPr>
        <w:footnoteRef/>
      </w:r>
      <w:r w:rsidRPr="00FC6833">
        <w:rPr>
          <w:rFonts w:cstheme="minorHAnsi"/>
          <w:sz w:val="18"/>
          <w:szCs w:val="18"/>
        </w:rPr>
        <w:t xml:space="preserve"> </w:t>
      </w:r>
      <w:r w:rsidRPr="00FC6833">
        <w:rPr>
          <w:rFonts w:cstheme="minorHAnsi"/>
          <w:sz w:val="18"/>
          <w:szCs w:val="18"/>
          <w:lang w:val="en-US"/>
        </w:rPr>
        <w:t xml:space="preserve">Brownbill AL, Miller C, Braunack-Mayer A, 2018 ‘Industry use of ‘better-for-you’ features on labels of sugar-containing beverages’, </w:t>
      </w:r>
      <w:r w:rsidRPr="00FC6833">
        <w:rPr>
          <w:rFonts w:cstheme="minorHAnsi"/>
          <w:i/>
          <w:sz w:val="18"/>
          <w:szCs w:val="18"/>
          <w:lang w:val="en-US"/>
        </w:rPr>
        <w:t>Public Health Nutr</w:t>
      </w:r>
      <w:r w:rsidRPr="00FC6833">
        <w:rPr>
          <w:rFonts w:cstheme="minorHAnsi"/>
          <w:sz w:val="18"/>
          <w:szCs w:val="18"/>
          <w:lang w:val="en-US"/>
        </w:rPr>
        <w:t>., vol. 21, no. 18, pp. 3335-43.</w:t>
      </w:r>
    </w:p>
  </w:footnote>
  <w:footnote w:id="92">
    <w:p w14:paraId="74579836" w14:textId="430F8CAF" w:rsidR="00E254FE" w:rsidRPr="00396ECE" w:rsidRDefault="00E254FE" w:rsidP="00C01129">
      <w:pPr>
        <w:autoSpaceDE w:val="0"/>
        <w:autoSpaceDN w:val="0"/>
        <w:adjustRightInd w:val="0"/>
        <w:rPr>
          <w:rFonts w:cstheme="minorHAnsi"/>
          <w:sz w:val="18"/>
          <w:szCs w:val="18"/>
          <w:lang w:val="en-US"/>
        </w:rPr>
      </w:pPr>
      <w:r>
        <w:rPr>
          <w:rStyle w:val="FootnoteReference"/>
        </w:rPr>
        <w:footnoteRef/>
      </w:r>
      <w:r>
        <w:t xml:space="preserve"> </w:t>
      </w:r>
      <w:r w:rsidRPr="00396ECE">
        <w:rPr>
          <w:rFonts w:cstheme="minorHAnsi"/>
          <w:sz w:val="18"/>
          <w:szCs w:val="18"/>
          <w:lang w:val="en-US"/>
        </w:rPr>
        <w:t xml:space="preserve">Hattersley L, Irwin M, King L, Allman-Farinelli M. 2009 ‘Determinants and patterns of soft drink consumption in young adults: a qualitative analysis’, </w:t>
      </w:r>
      <w:r w:rsidRPr="00396ECE">
        <w:rPr>
          <w:rFonts w:cstheme="minorHAnsi"/>
          <w:i/>
          <w:sz w:val="18"/>
          <w:szCs w:val="18"/>
          <w:lang w:val="en-US"/>
        </w:rPr>
        <w:t>Public Health Nutr</w:t>
      </w:r>
      <w:r w:rsidRPr="00396ECE">
        <w:rPr>
          <w:rFonts w:cstheme="minorHAnsi"/>
          <w:sz w:val="18"/>
          <w:szCs w:val="18"/>
          <w:lang w:val="en-US"/>
        </w:rPr>
        <w:t>., vol. 12, no. 10, pp. 1816-22.</w:t>
      </w:r>
    </w:p>
  </w:footnote>
  <w:footnote w:id="93">
    <w:p w14:paraId="2B73F084" w14:textId="3E995BF2" w:rsidR="00E254FE" w:rsidRPr="00396ECE" w:rsidRDefault="00E254FE" w:rsidP="00C01129">
      <w:pPr>
        <w:autoSpaceDE w:val="0"/>
        <w:autoSpaceDN w:val="0"/>
        <w:adjustRightInd w:val="0"/>
        <w:rPr>
          <w:rFonts w:cstheme="minorHAnsi"/>
          <w:sz w:val="18"/>
          <w:szCs w:val="18"/>
          <w:lang w:val="en-US"/>
        </w:rPr>
      </w:pPr>
      <w:r w:rsidRPr="00396ECE">
        <w:rPr>
          <w:rStyle w:val="FootnoteReference"/>
        </w:rPr>
        <w:footnoteRef/>
      </w:r>
      <w:r w:rsidRPr="00396ECE">
        <w:t xml:space="preserve"> </w:t>
      </w:r>
      <w:r w:rsidRPr="00396ECE">
        <w:rPr>
          <w:rFonts w:cstheme="minorHAnsi"/>
          <w:sz w:val="18"/>
          <w:szCs w:val="18"/>
          <w:lang w:val="en-US"/>
        </w:rPr>
        <w:t xml:space="preserve">Eli K, Hornell A, Etminan Malek M, Nowicka P. 2017 ‘Water, juice, or soda? Mothers and grandmothers of preschoolers discuss the acceptability and accessibility of beverages’ </w:t>
      </w:r>
      <w:r w:rsidRPr="00396ECE">
        <w:rPr>
          <w:rFonts w:cstheme="minorHAnsi"/>
          <w:i/>
          <w:sz w:val="18"/>
          <w:szCs w:val="18"/>
          <w:lang w:val="en-US"/>
        </w:rPr>
        <w:t>Appetite</w:t>
      </w:r>
      <w:r w:rsidRPr="00396ECE">
        <w:rPr>
          <w:rFonts w:cstheme="minorHAnsi"/>
          <w:sz w:val="18"/>
          <w:szCs w:val="18"/>
          <w:lang w:val="en-US"/>
        </w:rPr>
        <w:t>, vol. 112, pp. 133-42.</w:t>
      </w:r>
    </w:p>
  </w:footnote>
  <w:footnote w:id="94">
    <w:p w14:paraId="76BB3DEC" w14:textId="2D277696" w:rsidR="00E254FE" w:rsidRPr="00396ECE" w:rsidRDefault="00E254FE" w:rsidP="003272AE">
      <w:pPr>
        <w:pStyle w:val="FootnoteText"/>
        <w:rPr>
          <w:lang w:val="en-US"/>
        </w:rPr>
      </w:pPr>
      <w:r w:rsidRPr="00396ECE">
        <w:rPr>
          <w:rStyle w:val="FootnoteReference"/>
        </w:rPr>
        <w:footnoteRef/>
      </w:r>
      <w:r w:rsidRPr="00396ECE">
        <w:t xml:space="preserve"> </w:t>
      </w:r>
      <w:r w:rsidRPr="00396ECE">
        <w:rPr>
          <w:lang w:val="en-US"/>
        </w:rPr>
        <w:t xml:space="preserve">Bucher T, Siegrist M. 2015 ‘Children's and parents' health perception of different soft drinks’ </w:t>
      </w:r>
      <w:r w:rsidRPr="00396ECE">
        <w:rPr>
          <w:i/>
          <w:lang w:val="en-US"/>
        </w:rPr>
        <w:t>Br J Nutr</w:t>
      </w:r>
      <w:r w:rsidRPr="00396ECE">
        <w:rPr>
          <w:lang w:val="en-US"/>
        </w:rPr>
        <w:t>., vol. 113, no. 3, pp. 526-35.</w:t>
      </w:r>
    </w:p>
  </w:footnote>
  <w:footnote w:id="95">
    <w:p w14:paraId="13672E05" w14:textId="66EAA1C1" w:rsidR="00E254FE" w:rsidRPr="00396ECE" w:rsidRDefault="00E254FE" w:rsidP="0040639E">
      <w:pPr>
        <w:autoSpaceDE w:val="0"/>
        <w:autoSpaceDN w:val="0"/>
        <w:adjustRightInd w:val="0"/>
        <w:rPr>
          <w:rFonts w:cstheme="minorHAnsi"/>
          <w:sz w:val="18"/>
          <w:szCs w:val="18"/>
          <w:lang w:val="en-US"/>
        </w:rPr>
      </w:pPr>
      <w:r w:rsidRPr="00396ECE">
        <w:rPr>
          <w:rStyle w:val="FootnoteReference"/>
        </w:rPr>
        <w:footnoteRef/>
      </w:r>
      <w:r w:rsidRPr="00396ECE">
        <w:t xml:space="preserve"> </w:t>
      </w:r>
      <w:r w:rsidRPr="00396ECE">
        <w:rPr>
          <w:rFonts w:cstheme="minorHAnsi"/>
          <w:sz w:val="18"/>
          <w:szCs w:val="18"/>
          <w:lang w:val="en-US"/>
        </w:rPr>
        <w:t xml:space="preserve">Munsell CR, Harris JL, Sarda V, Schwartz MB. 2016 ‘Parents’ beliefs about the healthfulness of sugary drink options: opportunities to address misperceptions.’ </w:t>
      </w:r>
      <w:r w:rsidRPr="00396ECE">
        <w:rPr>
          <w:rFonts w:cstheme="minorHAnsi"/>
          <w:i/>
          <w:sz w:val="18"/>
          <w:szCs w:val="18"/>
          <w:lang w:val="en-US"/>
        </w:rPr>
        <w:t>Public Health Nutr</w:t>
      </w:r>
      <w:r w:rsidRPr="00396ECE">
        <w:rPr>
          <w:rFonts w:cstheme="minorHAnsi"/>
          <w:sz w:val="18"/>
          <w:szCs w:val="18"/>
          <w:lang w:val="en-US"/>
        </w:rPr>
        <w:t>. vol., 19, no. 1, pp. 46-54.</w:t>
      </w:r>
    </w:p>
  </w:footnote>
  <w:footnote w:id="96">
    <w:p w14:paraId="20239B22" w14:textId="77777777" w:rsidR="00E254FE" w:rsidRPr="00396ECE" w:rsidRDefault="00E254FE" w:rsidP="003272AE">
      <w:pPr>
        <w:pStyle w:val="FootnoteText"/>
        <w:rPr>
          <w:lang w:val="en-US"/>
        </w:rPr>
      </w:pPr>
      <w:r w:rsidRPr="00396ECE">
        <w:rPr>
          <w:rStyle w:val="FootnoteReference"/>
        </w:rPr>
        <w:footnoteRef/>
      </w:r>
      <w:r w:rsidRPr="00396ECE">
        <w:t xml:space="preserve"> </w:t>
      </w:r>
      <w:r w:rsidRPr="00396ECE">
        <w:rPr>
          <w:lang w:val="en-US"/>
        </w:rPr>
        <w:t xml:space="preserve">Miller C, Wakefield M, Braunack-Mayer A, Roder D, O'Dea K, Ettridge K, et al. 2019 ‘Who drinks sugar sweetened beveragesand juice? An Australian population study of behaviour, awareness and attitudes’ </w:t>
      </w:r>
      <w:r w:rsidRPr="00396ECE">
        <w:rPr>
          <w:i/>
          <w:lang w:val="en-US"/>
        </w:rPr>
        <w:t>BMC Obesity</w:t>
      </w:r>
      <w:r w:rsidRPr="00396ECE">
        <w:rPr>
          <w:lang w:val="en-US"/>
        </w:rPr>
        <w:t>, vol. 6, no. 1.</w:t>
      </w:r>
    </w:p>
  </w:footnote>
  <w:footnote w:id="97">
    <w:p w14:paraId="41447611" w14:textId="77777777" w:rsidR="00E254FE" w:rsidRPr="00444696" w:rsidRDefault="00E254FE" w:rsidP="001B7452">
      <w:pPr>
        <w:rPr>
          <w:rFonts w:eastAsia="Times New Roman" w:cstheme="minorHAnsi"/>
          <w:sz w:val="18"/>
          <w:szCs w:val="18"/>
        </w:rPr>
      </w:pPr>
      <w:r w:rsidRPr="00227074">
        <w:rPr>
          <w:rStyle w:val="FootnoteReference"/>
          <w:rFonts w:cstheme="minorHAnsi"/>
          <w:color w:val="000000" w:themeColor="text1"/>
          <w:szCs w:val="18"/>
        </w:rPr>
        <w:footnoteRef/>
      </w:r>
      <w:r w:rsidRPr="00227074">
        <w:rPr>
          <w:rFonts w:cstheme="minorHAnsi"/>
          <w:color w:val="000000" w:themeColor="text1"/>
          <w:sz w:val="18"/>
          <w:szCs w:val="18"/>
        </w:rPr>
        <w:t xml:space="preserve"> </w:t>
      </w:r>
      <w:r w:rsidRPr="00227074">
        <w:rPr>
          <w:rFonts w:eastAsia="Times New Roman" w:cstheme="minorHAnsi"/>
          <w:color w:val="000000" w:themeColor="text1"/>
          <w:sz w:val="18"/>
          <w:szCs w:val="18"/>
          <w:shd w:val="clear" w:color="auto" w:fill="FFFFFF"/>
        </w:rPr>
        <w:t>GMPs are the basic operational and environmental conditions required to produce safe foods. They ensure that </w:t>
      </w:r>
      <w:r w:rsidRPr="00227074">
        <w:rPr>
          <w:rFonts w:eastAsia="Times New Roman" w:cstheme="minorHAnsi"/>
          <w:bCs/>
          <w:color w:val="000000" w:themeColor="text1"/>
          <w:sz w:val="18"/>
          <w:szCs w:val="18"/>
        </w:rPr>
        <w:t>ingredients</w:t>
      </w:r>
      <w:r w:rsidRPr="00227074">
        <w:rPr>
          <w:rFonts w:eastAsia="Times New Roman" w:cstheme="minorHAnsi"/>
          <w:color w:val="000000" w:themeColor="text1"/>
          <w:sz w:val="18"/>
          <w:szCs w:val="18"/>
          <w:shd w:val="clear" w:color="auto" w:fill="FFFFFF"/>
        </w:rPr>
        <w:t>, products and packaging materials are handled safely and that food products are </w:t>
      </w:r>
      <w:r w:rsidRPr="00227074">
        <w:rPr>
          <w:rFonts w:eastAsia="Times New Roman" w:cstheme="minorHAnsi"/>
          <w:bCs/>
          <w:color w:val="000000" w:themeColor="text1"/>
          <w:sz w:val="18"/>
          <w:szCs w:val="18"/>
        </w:rPr>
        <w:t>processed</w:t>
      </w:r>
      <w:r w:rsidRPr="00227074">
        <w:rPr>
          <w:rFonts w:eastAsia="Times New Roman" w:cstheme="minorHAnsi"/>
          <w:color w:val="000000" w:themeColor="text1"/>
          <w:sz w:val="18"/>
          <w:szCs w:val="18"/>
          <w:shd w:val="clear" w:color="auto" w:fill="FFFFFF"/>
        </w:rPr>
        <w:t> in a suitable environment.</w:t>
      </w:r>
    </w:p>
  </w:footnote>
  <w:footnote w:id="98">
    <w:p w14:paraId="7A7230FB" w14:textId="77777777" w:rsidR="00E254FE" w:rsidRDefault="00E254FE" w:rsidP="003272AE">
      <w:pPr>
        <w:pStyle w:val="FootnoteText"/>
      </w:pPr>
      <w:r w:rsidRPr="00444696">
        <w:rPr>
          <w:rStyle w:val="FootnoteReference"/>
          <w:szCs w:val="18"/>
        </w:rPr>
        <w:footnoteRef/>
      </w:r>
      <w:r w:rsidRPr="00444696">
        <w:rPr>
          <w:szCs w:val="18"/>
        </w:rPr>
        <w:t xml:space="preserve"> </w:t>
      </w:r>
      <w:r w:rsidRPr="00980BD1">
        <w:rPr>
          <w:szCs w:val="18"/>
        </w:rPr>
        <w:t>FSANZ</w:t>
      </w:r>
      <w:r w:rsidRPr="00FC6833">
        <w:rPr>
          <w:szCs w:val="18"/>
        </w:rPr>
        <w:t>, 2017,</w:t>
      </w:r>
      <w:r w:rsidRPr="00363447">
        <w:rPr>
          <w:szCs w:val="18"/>
        </w:rPr>
        <w:t xml:space="preserve"> </w:t>
      </w:r>
      <w:hyperlink r:id="rId13" w:history="1">
        <w:r w:rsidRPr="00227074">
          <w:rPr>
            <w:rStyle w:val="Hyperlink"/>
            <w:i/>
            <w:szCs w:val="18"/>
          </w:rPr>
          <w:t xml:space="preserve">Standard 1.1.2 </w:t>
        </w:r>
        <w:r>
          <w:rPr>
            <w:rStyle w:val="Hyperlink"/>
            <w:i/>
            <w:szCs w:val="18"/>
          </w:rPr>
          <w:t xml:space="preserve">– </w:t>
        </w:r>
        <w:r w:rsidRPr="00227074">
          <w:rPr>
            <w:rStyle w:val="Hyperlink"/>
            <w:i/>
            <w:szCs w:val="18"/>
          </w:rPr>
          <w:t>Definitions</w:t>
        </w:r>
        <w:r>
          <w:rPr>
            <w:rStyle w:val="Hyperlink"/>
            <w:i/>
            <w:szCs w:val="18"/>
          </w:rPr>
          <w:t xml:space="preserve"> </w:t>
        </w:r>
        <w:r w:rsidRPr="00227074">
          <w:rPr>
            <w:rStyle w:val="Hyperlink"/>
            <w:i/>
            <w:szCs w:val="18"/>
          </w:rPr>
          <w:t>used throughout the code</w:t>
        </w:r>
      </w:hyperlink>
      <w:r>
        <w:t>, ac</w:t>
      </w:r>
      <w:r w:rsidRPr="00227074">
        <w:t>cessed 12 March 2019</w:t>
      </w:r>
      <w:r>
        <w:t>.</w:t>
      </w:r>
    </w:p>
  </w:footnote>
  <w:footnote w:id="99">
    <w:p w14:paraId="43DE60BE" w14:textId="77777777" w:rsidR="00E254FE" w:rsidRPr="00227074" w:rsidRDefault="00E254FE" w:rsidP="00FC6833">
      <w:pPr>
        <w:widowControl w:val="0"/>
        <w:autoSpaceDE w:val="0"/>
        <w:autoSpaceDN w:val="0"/>
        <w:adjustRightInd w:val="0"/>
        <w:rPr>
          <w:rFonts w:eastAsia="Times New Roman" w:cstheme="minorHAnsi"/>
          <w:i/>
          <w:color w:val="000000" w:themeColor="text1"/>
          <w:sz w:val="18"/>
          <w:szCs w:val="18"/>
        </w:rPr>
      </w:pPr>
      <w:r w:rsidRPr="00CB7541">
        <w:rPr>
          <w:rStyle w:val="FootnoteReference"/>
          <w:szCs w:val="18"/>
        </w:rPr>
        <w:footnoteRef/>
      </w:r>
      <w:r w:rsidRPr="00CB7541">
        <w:rPr>
          <w:sz w:val="18"/>
          <w:szCs w:val="18"/>
        </w:rPr>
        <w:t xml:space="preserve"> </w:t>
      </w:r>
      <w:r w:rsidRPr="00CB7541">
        <w:rPr>
          <w:rFonts w:eastAsia="Times New Roman" w:cstheme="minorHAnsi"/>
          <w:sz w:val="18"/>
          <w:szCs w:val="18"/>
        </w:rPr>
        <w:t>Chantal, J, Ducrot, P, Peneau, S, Deschamps, V, Mejean, C, Fezeu, L, Touvier, M, Hercberg, S &amp; Kesse-Guyot, E 2015, ‘</w:t>
      </w:r>
      <w:r w:rsidRPr="00227074">
        <w:rPr>
          <w:rFonts w:eastAsia="Times New Roman" w:cstheme="minorHAnsi"/>
          <w:color w:val="000000" w:themeColor="text1"/>
          <w:sz w:val="18"/>
          <w:szCs w:val="18"/>
        </w:rPr>
        <w:t>Discriminating nutritional quality of foods using the 5-Color nutrition label in the French food market: consistency with nutritional recommendations’</w:t>
      </w:r>
      <w:r w:rsidRPr="00227074">
        <w:rPr>
          <w:rFonts w:eastAsia="Times New Roman" w:cstheme="minorHAnsi"/>
          <w:i/>
          <w:color w:val="000000" w:themeColor="text1"/>
          <w:sz w:val="18"/>
          <w:szCs w:val="18"/>
        </w:rPr>
        <w:t>, Nutrition Journal</w:t>
      </w:r>
      <w:r w:rsidRPr="00227074">
        <w:rPr>
          <w:rFonts w:eastAsia="Times New Roman" w:cstheme="minorHAnsi"/>
          <w:color w:val="000000" w:themeColor="text1"/>
          <w:sz w:val="18"/>
          <w:szCs w:val="18"/>
        </w:rPr>
        <w:t>, vol. 14, no. 100, pp. 1-12.</w:t>
      </w:r>
    </w:p>
  </w:footnote>
  <w:footnote w:id="100">
    <w:p w14:paraId="22C340FB" w14:textId="5415B77E" w:rsidR="00E254FE" w:rsidRPr="001017C5" w:rsidRDefault="00E254FE" w:rsidP="003272AE">
      <w:pPr>
        <w:pStyle w:val="FootnoteText"/>
      </w:pPr>
      <w:r w:rsidRPr="001017C5">
        <w:rPr>
          <w:rStyle w:val="FootnoteReference"/>
          <w:color w:val="000000" w:themeColor="text1"/>
          <w:szCs w:val="18"/>
        </w:rPr>
        <w:footnoteRef/>
      </w:r>
      <w:r w:rsidRPr="001017C5">
        <w:t xml:space="preserve"> Pepino, Y 2015</w:t>
      </w:r>
      <w:r>
        <w:t xml:space="preserve"> ‘</w:t>
      </w:r>
      <w:r w:rsidRPr="001017C5">
        <w:t>Metabolic effects of non-nutritive sweeteners</w:t>
      </w:r>
      <w:r>
        <w:t>’</w:t>
      </w:r>
      <w:r w:rsidRPr="001017C5">
        <w:t xml:space="preserve"> </w:t>
      </w:r>
      <w:r w:rsidRPr="0017608D">
        <w:rPr>
          <w:i/>
        </w:rPr>
        <w:t>Physiol Behav</w:t>
      </w:r>
      <w:r>
        <w:rPr>
          <w:i/>
        </w:rPr>
        <w:t xml:space="preserve">. </w:t>
      </w:r>
      <w:r>
        <w:t xml:space="preserve">vol. </w:t>
      </w:r>
      <w:r w:rsidRPr="001017C5">
        <w:t>152</w:t>
      </w:r>
      <w:r>
        <w:t>,</w:t>
      </w:r>
      <w:r w:rsidRPr="001017C5">
        <w:t xml:space="preserve"> p</w:t>
      </w:r>
      <w:r>
        <w:t>p</w:t>
      </w:r>
      <w:r w:rsidRPr="001017C5">
        <w:t>. 450-455</w:t>
      </w:r>
      <w:r>
        <w:t>.</w:t>
      </w:r>
    </w:p>
  </w:footnote>
  <w:footnote w:id="101">
    <w:p w14:paraId="5BBD2989" w14:textId="77777777" w:rsidR="00E254FE" w:rsidRPr="006868BE" w:rsidRDefault="00E254FE" w:rsidP="003272AE">
      <w:pPr>
        <w:pStyle w:val="FootnoteText"/>
      </w:pPr>
      <w:r w:rsidRPr="006868BE">
        <w:rPr>
          <w:rStyle w:val="FootnoteReference"/>
          <w:szCs w:val="18"/>
        </w:rPr>
        <w:footnoteRef/>
      </w:r>
      <w:r w:rsidRPr="006868BE">
        <w:t xml:space="preserve"> Butland, B, Jebb, S, Kopelman, P, McPherson, K, Mardell, J </w:t>
      </w:r>
      <w:r>
        <w:t xml:space="preserve">&amp; </w:t>
      </w:r>
      <w:r w:rsidRPr="006868BE">
        <w:t xml:space="preserve">Parry, V, </w:t>
      </w:r>
      <w:r w:rsidRPr="006868BE">
        <w:rPr>
          <w:i/>
        </w:rPr>
        <w:t>Foresight: Tackling Obesities: Future Choices – Project Report</w:t>
      </w:r>
      <w:r>
        <w:rPr>
          <w:i/>
        </w:rPr>
        <w:t xml:space="preserve">, </w:t>
      </w:r>
      <w:r w:rsidRPr="006868BE">
        <w:t>Government Office for Science</w:t>
      </w:r>
    </w:p>
  </w:footnote>
  <w:footnote w:id="102">
    <w:p w14:paraId="77DC3B8D" w14:textId="65F21811" w:rsidR="00E254FE" w:rsidRPr="00BD6E51" w:rsidRDefault="00E254FE" w:rsidP="003272AE">
      <w:pPr>
        <w:pStyle w:val="FootnoteText"/>
      </w:pPr>
      <w:r w:rsidRPr="00BD6E51">
        <w:rPr>
          <w:rStyle w:val="FootnoteReference"/>
          <w:szCs w:val="18"/>
        </w:rPr>
        <w:footnoteRef/>
      </w:r>
      <w:r w:rsidRPr="00BD6E51">
        <w:t xml:space="preserve"> Note that a significant amount of funding was rolled over to the 2018-19 financial year such that total funding for social marketing and education in Australia to June 2019 is likely to be </w:t>
      </w:r>
      <w:r>
        <w:t xml:space="preserve">approximately </w:t>
      </w:r>
      <w:r w:rsidRPr="00BD6E51">
        <w:t>$1</w:t>
      </w:r>
      <w:r>
        <w:t>2</w:t>
      </w:r>
      <w:r w:rsidRPr="00BD6E51">
        <w:t xml:space="preserve"> million.</w:t>
      </w:r>
    </w:p>
  </w:footnote>
  <w:footnote w:id="103">
    <w:p w14:paraId="5311E5E7" w14:textId="77777777" w:rsidR="00E254FE" w:rsidRPr="00090135" w:rsidRDefault="00E254FE" w:rsidP="004D4A55">
      <w:pPr>
        <w:rPr>
          <w:rFonts w:cstheme="minorHAnsi"/>
          <w:sz w:val="18"/>
          <w:szCs w:val="18"/>
          <w:lang w:val="en-GB"/>
        </w:rPr>
      </w:pPr>
      <w:r w:rsidRPr="00090135">
        <w:rPr>
          <w:rStyle w:val="FootnoteReference"/>
          <w:szCs w:val="18"/>
        </w:rPr>
        <w:footnoteRef/>
      </w:r>
      <w:r w:rsidRPr="00090135">
        <w:rPr>
          <w:sz w:val="18"/>
          <w:szCs w:val="18"/>
        </w:rPr>
        <w:t xml:space="preserve"> Kelly, B, Jewell, Jo 2018 </w:t>
      </w:r>
      <w:r w:rsidRPr="00090135">
        <w:rPr>
          <w:i/>
          <w:sz w:val="18"/>
          <w:szCs w:val="18"/>
        </w:rPr>
        <w:t>What is the evidence on policy specifications, development processes and effectiveness of existing front-of-pack labelling policies in the WHO European Region?</w:t>
      </w:r>
      <w:r w:rsidRPr="00090135">
        <w:rPr>
          <w:sz w:val="18"/>
          <w:szCs w:val="18"/>
        </w:rPr>
        <w:t xml:space="preserve"> Copenhagen: WHO Regional Office for Europe, Health Evidence Network (HEN) synthesis report 61</w:t>
      </w:r>
    </w:p>
  </w:footnote>
  <w:footnote w:id="104">
    <w:p w14:paraId="67207AB3" w14:textId="77777777" w:rsidR="00E254FE" w:rsidRPr="00090135" w:rsidRDefault="00E254FE" w:rsidP="002667AD">
      <w:pPr>
        <w:rPr>
          <w:rFonts w:cstheme="minorHAnsi"/>
          <w:sz w:val="18"/>
          <w:szCs w:val="18"/>
          <w:lang w:val="en-GB"/>
        </w:rPr>
      </w:pPr>
      <w:r w:rsidRPr="00090135">
        <w:rPr>
          <w:rStyle w:val="FootnoteReference"/>
          <w:szCs w:val="18"/>
        </w:rPr>
        <w:footnoteRef/>
      </w:r>
      <w:r w:rsidRPr="00090135">
        <w:rPr>
          <w:sz w:val="18"/>
          <w:szCs w:val="18"/>
        </w:rPr>
        <w:t xml:space="preserve"> Kelly, B, Jewell, Jo 2018 </w:t>
      </w:r>
      <w:r w:rsidRPr="00090135">
        <w:rPr>
          <w:i/>
          <w:sz w:val="18"/>
          <w:szCs w:val="18"/>
        </w:rPr>
        <w:t>What is the evidence on policy specifications, development processes and effectiveness of existing front-of-pack labelling policies in the WHO European Region?</w:t>
      </w:r>
      <w:r w:rsidRPr="00090135">
        <w:rPr>
          <w:sz w:val="18"/>
          <w:szCs w:val="18"/>
        </w:rPr>
        <w:t xml:space="preserve"> Copenhagen: WHO Regional Office for Europe, Health Evidence Network (HEN) synthesis report 61</w:t>
      </w:r>
    </w:p>
  </w:footnote>
  <w:footnote w:id="105">
    <w:p w14:paraId="33BBFA95" w14:textId="430B28F2" w:rsidR="00E254FE" w:rsidRPr="009B0154" w:rsidRDefault="00E254FE" w:rsidP="003272AE">
      <w:pPr>
        <w:pStyle w:val="FootnoteText"/>
        <w:rPr>
          <w:szCs w:val="18"/>
        </w:rPr>
      </w:pPr>
      <w:r w:rsidRPr="009B0154">
        <w:rPr>
          <w:rStyle w:val="FootnoteReference"/>
          <w:szCs w:val="18"/>
        </w:rPr>
        <w:footnoteRef/>
      </w:r>
      <w:r w:rsidRPr="009B0154">
        <w:rPr>
          <w:szCs w:val="18"/>
        </w:rPr>
        <w:t xml:space="preserve"> </w:t>
      </w:r>
      <w:hyperlink r:id="rId14" w:history="1">
        <w:r w:rsidRPr="00A90016">
          <w:rPr>
            <w:rStyle w:val="Hyperlink"/>
            <w:szCs w:val="18"/>
          </w:rPr>
          <w:t>USDA Branded Food Products Database</w:t>
        </w:r>
      </w:hyperlink>
      <w:r w:rsidRPr="00C63897">
        <w:rPr>
          <w:szCs w:val="18"/>
        </w:rPr>
        <w:t xml:space="preserve">, </w:t>
      </w:r>
      <w:r>
        <w:rPr>
          <w:szCs w:val="18"/>
        </w:rPr>
        <w:t>accessed 10 January 2019.</w:t>
      </w:r>
    </w:p>
  </w:footnote>
  <w:footnote w:id="106">
    <w:p w14:paraId="4D88F16F" w14:textId="406D5BDE" w:rsidR="00E254FE" w:rsidRDefault="00E254FE" w:rsidP="003272AE">
      <w:pPr>
        <w:pStyle w:val="FootnoteText"/>
      </w:pPr>
      <w:r>
        <w:rPr>
          <w:rStyle w:val="FootnoteReference"/>
        </w:rPr>
        <w:footnoteRef/>
      </w:r>
      <w:r>
        <w:t xml:space="preserve"> </w:t>
      </w:r>
      <w:r w:rsidRPr="00C63897">
        <w:rPr>
          <w:lang w:val="en-GB"/>
        </w:rPr>
        <w:t>Senate</w:t>
      </w:r>
      <w:r>
        <w:rPr>
          <w:lang w:val="en-GB"/>
        </w:rPr>
        <w:t xml:space="preserve"> </w:t>
      </w:r>
      <w:r w:rsidRPr="00980BD1">
        <w:rPr>
          <w:lang w:val="en-GB"/>
        </w:rPr>
        <w:t>2018</w:t>
      </w:r>
      <w:r w:rsidRPr="00C63897">
        <w:rPr>
          <w:lang w:val="en-GB"/>
        </w:rPr>
        <w:t xml:space="preserve"> Select Committee into the Obesity Epidemic in Australia, Final Report</w:t>
      </w:r>
      <w:r>
        <w:rPr>
          <w:lang w:val="en-GB"/>
        </w:rPr>
        <w:t>.</w:t>
      </w:r>
    </w:p>
  </w:footnote>
  <w:footnote w:id="107">
    <w:p w14:paraId="19A30EDC" w14:textId="77777777" w:rsidR="00E254FE" w:rsidRPr="00C94F1E" w:rsidRDefault="00E254FE" w:rsidP="003272AE">
      <w:pPr>
        <w:pStyle w:val="FootnoteText"/>
      </w:pPr>
      <w:r w:rsidRPr="00C94F1E">
        <w:rPr>
          <w:rStyle w:val="FootnoteReference"/>
          <w:szCs w:val="18"/>
        </w:rPr>
        <w:footnoteRef/>
      </w:r>
      <w:r w:rsidRPr="00C94F1E">
        <w:t xml:space="preserve"> Silo is the FSANZ data management system that also supports both AUSNUT and the Australian Food Composition Database</w:t>
      </w:r>
      <w:r>
        <w:t>.</w:t>
      </w:r>
    </w:p>
  </w:footnote>
  <w:footnote w:id="108">
    <w:p w14:paraId="1F7DD81A" w14:textId="04E93999" w:rsidR="00E254FE" w:rsidRDefault="00E254FE" w:rsidP="003272AE">
      <w:pPr>
        <w:pStyle w:val="FootnoteText"/>
      </w:pPr>
      <w:r>
        <w:rPr>
          <w:rStyle w:val="FootnoteReference"/>
        </w:rPr>
        <w:footnoteRef/>
      </w:r>
      <w:r>
        <w:t xml:space="preserve"> </w:t>
      </w:r>
      <w:hyperlink r:id="rId15" w:history="1">
        <w:r w:rsidRPr="009A44E2">
          <w:rPr>
            <w:rStyle w:val="Hyperlink"/>
            <w:szCs w:val="18"/>
          </w:rPr>
          <w:t>USDA Branded Food Products Database</w:t>
        </w:r>
      </w:hyperlink>
      <w:r w:rsidRPr="00C63897">
        <w:rPr>
          <w:szCs w:val="18"/>
        </w:rPr>
        <w:t xml:space="preserve">, </w:t>
      </w:r>
      <w:r>
        <w:rPr>
          <w:szCs w:val="18"/>
        </w:rPr>
        <w:t>accessed 10 January 2019.</w:t>
      </w:r>
    </w:p>
  </w:footnote>
  <w:footnote w:id="109">
    <w:p w14:paraId="64F4C5A4" w14:textId="2AA896A0" w:rsidR="00E254FE" w:rsidRDefault="00E254FE" w:rsidP="003272AE">
      <w:pPr>
        <w:pStyle w:val="FootnoteText"/>
      </w:pPr>
      <w:r>
        <w:rPr>
          <w:rStyle w:val="FootnoteReference"/>
        </w:rPr>
        <w:footnoteRef/>
      </w:r>
      <w:r>
        <w:t xml:space="preserve"> </w:t>
      </w:r>
      <w:r w:rsidRPr="00C63897">
        <w:rPr>
          <w:lang w:val="en-GB"/>
        </w:rPr>
        <w:t>National Heart Foundation 201</w:t>
      </w:r>
      <w:r>
        <w:rPr>
          <w:lang w:val="en-GB"/>
        </w:rPr>
        <w:t>9</w:t>
      </w:r>
      <w:r w:rsidRPr="00C63897">
        <w:rPr>
          <w:lang w:val="en-GB"/>
        </w:rPr>
        <w:t xml:space="preserve"> </w:t>
      </w:r>
      <w:r w:rsidRPr="00C63897">
        <w:t>Report on the monitoring of the implementation of the HSR System in the first four years of implementation: June 2014 to June 2018</w:t>
      </w:r>
      <w:r w:rsidRPr="00C63897">
        <w:rPr>
          <w:lang w:val="en-GB"/>
        </w:rPr>
        <w:t>, prepared for the Department of Health,</w:t>
      </w:r>
      <w:r>
        <w:rPr>
          <w:lang w:val="en-GB"/>
        </w:rPr>
        <w:t xml:space="preserve"> </w:t>
      </w:r>
      <w:r w:rsidRPr="00C63897">
        <w:t>p. 26.</w:t>
      </w:r>
    </w:p>
  </w:footnote>
  <w:footnote w:id="110">
    <w:p w14:paraId="1D4F1FC3" w14:textId="722BC115" w:rsidR="00E254FE" w:rsidRDefault="00E254FE" w:rsidP="003272AE">
      <w:pPr>
        <w:pStyle w:val="FootnoteText"/>
      </w:pPr>
      <w:r>
        <w:rPr>
          <w:rStyle w:val="FootnoteReference"/>
        </w:rPr>
        <w:footnoteRef/>
      </w:r>
      <w:r>
        <w:t xml:space="preserve"> </w:t>
      </w:r>
      <w:r w:rsidRPr="00AB1F9B">
        <w:t>As reported on the HSR System and MPI websites</w:t>
      </w:r>
      <w:r>
        <w:t>.</w:t>
      </w:r>
    </w:p>
  </w:footnote>
  <w:footnote w:id="111">
    <w:p w14:paraId="1374771D" w14:textId="77777777" w:rsidR="00E254FE" w:rsidRPr="006868BE" w:rsidRDefault="00E254FE" w:rsidP="003272AE">
      <w:pPr>
        <w:pStyle w:val="FootnoteText"/>
      </w:pPr>
      <w:r w:rsidRPr="006868BE">
        <w:rPr>
          <w:rStyle w:val="FootnoteReference"/>
          <w:szCs w:val="18"/>
        </w:rPr>
        <w:footnoteRef/>
      </w:r>
      <w:r w:rsidRPr="006868BE">
        <w:t xml:space="preserve"> Butland, B, Jebb, S, Kopelman, P, McPherson, K, Mardell, J </w:t>
      </w:r>
      <w:r>
        <w:t xml:space="preserve">&amp; </w:t>
      </w:r>
      <w:r w:rsidRPr="006868BE">
        <w:t xml:space="preserve">Parry, V, </w:t>
      </w:r>
      <w:r w:rsidRPr="006868BE">
        <w:rPr>
          <w:i/>
        </w:rPr>
        <w:t>Foresight: Tackling Obesities: Future Choices – Project Report</w:t>
      </w:r>
      <w:r>
        <w:rPr>
          <w:i/>
        </w:rPr>
        <w:t xml:space="preserve">, </w:t>
      </w:r>
      <w:r w:rsidRPr="006868BE">
        <w:t>Government Office for Science</w:t>
      </w:r>
    </w:p>
  </w:footnote>
  <w:footnote w:id="112">
    <w:p w14:paraId="7F8246FD" w14:textId="77777777" w:rsidR="00E254FE" w:rsidRPr="004B07D2" w:rsidRDefault="00E254FE" w:rsidP="003272AE">
      <w:pPr>
        <w:pStyle w:val="FootnoteText"/>
      </w:pPr>
      <w:r w:rsidRPr="004B07D2">
        <w:rPr>
          <w:rStyle w:val="FootnoteReference"/>
          <w:szCs w:val="18"/>
        </w:rPr>
        <w:footnoteRef/>
      </w:r>
      <w:r w:rsidRPr="004B07D2">
        <w:t xml:space="preserve"> Prime Minister and Cabinet, 2014, The Australian Government Guide to Regulation</w:t>
      </w:r>
    </w:p>
  </w:footnote>
  <w:footnote w:id="113">
    <w:p w14:paraId="43EA5F3B" w14:textId="77777777" w:rsidR="00E254FE" w:rsidRPr="004B07D2" w:rsidRDefault="00E254FE" w:rsidP="003272AE">
      <w:pPr>
        <w:pStyle w:val="FootnoteText"/>
      </w:pPr>
      <w:r w:rsidRPr="004B07D2">
        <w:rPr>
          <w:rStyle w:val="FootnoteReference"/>
          <w:szCs w:val="18"/>
        </w:rPr>
        <w:footnoteRef/>
      </w:r>
      <w:r w:rsidRPr="004B07D2">
        <w:t xml:space="preserve"> NSW Government Finance, Services and Innovation, October 2016, </w:t>
      </w:r>
      <w:r w:rsidRPr="004B07D2">
        <w:rPr>
          <w:rFonts w:cstheme="minorHAnsi"/>
        </w:rPr>
        <w:t>NSW Government’s Guide to Better Regulation</w:t>
      </w:r>
    </w:p>
  </w:footnote>
  <w:footnote w:id="114">
    <w:p w14:paraId="11543613" w14:textId="77777777" w:rsidR="00E254FE" w:rsidRPr="004B07D2" w:rsidRDefault="00E254FE" w:rsidP="003272AE">
      <w:pPr>
        <w:pStyle w:val="FootnoteText"/>
      </w:pPr>
      <w:r w:rsidRPr="004B07D2">
        <w:rPr>
          <w:rStyle w:val="FootnoteReference"/>
          <w:szCs w:val="18"/>
        </w:rPr>
        <w:footnoteRef/>
      </w:r>
      <w:r w:rsidRPr="004B07D2">
        <w:t xml:space="preserve"> New Zealand Government Department of Treasury, April 2017, Government Expectations for Good Regulatory Practice</w:t>
      </w:r>
    </w:p>
  </w:footnote>
  <w:footnote w:id="115">
    <w:p w14:paraId="66AB2FFF" w14:textId="3A3FF861" w:rsidR="00E254FE" w:rsidRPr="004B07D2" w:rsidRDefault="00E254FE" w:rsidP="004B07D2">
      <w:pPr>
        <w:pStyle w:val="NoSpacing"/>
        <w:rPr>
          <w:rFonts w:eastAsia="Times New Roman" w:cstheme="minorHAnsi"/>
          <w:sz w:val="18"/>
          <w:szCs w:val="18"/>
        </w:rPr>
      </w:pPr>
      <w:r w:rsidRPr="004B07D2">
        <w:rPr>
          <w:rStyle w:val="FootnoteReference"/>
          <w:szCs w:val="18"/>
        </w:rPr>
        <w:footnoteRef/>
      </w:r>
      <w:r w:rsidRPr="004B07D2">
        <w:rPr>
          <w:sz w:val="18"/>
          <w:szCs w:val="18"/>
        </w:rPr>
        <w:t xml:space="preserve"> </w:t>
      </w:r>
      <w:r w:rsidRPr="004B07D2">
        <w:rPr>
          <w:rFonts w:eastAsia="Times New Roman" w:cstheme="minorHAnsi"/>
          <w:sz w:val="18"/>
          <w:szCs w:val="18"/>
        </w:rPr>
        <w:t xml:space="preserve">OECD 2012, </w:t>
      </w:r>
      <w:r w:rsidRPr="004B07D2">
        <w:rPr>
          <w:rFonts w:eastAsia="Times New Roman" w:cstheme="minorHAnsi"/>
          <w:i/>
          <w:iCs/>
          <w:sz w:val="18"/>
          <w:szCs w:val="18"/>
        </w:rPr>
        <w:t>Recommendation of the Council on Regulatory Policy and Governance</w:t>
      </w:r>
      <w:r w:rsidRPr="004B07D2">
        <w:rPr>
          <w:rFonts w:eastAsia="Times New Roman" w:cstheme="minorHAnsi"/>
          <w:sz w:val="18"/>
          <w:szCs w:val="18"/>
        </w:rPr>
        <w:t xml:space="preserve">, prepared by the Regulatory Policy Committee following the conference </w:t>
      </w:r>
      <w:r w:rsidRPr="004B07D2">
        <w:rPr>
          <w:rFonts w:eastAsia="Times New Roman" w:cstheme="minorHAnsi"/>
          <w:i/>
          <w:iCs/>
          <w:sz w:val="18"/>
          <w:szCs w:val="18"/>
        </w:rPr>
        <w:t>Regulatory Policy: Towards a New Policy Agenda, October 2010.</w:t>
      </w:r>
    </w:p>
    <w:p w14:paraId="505D3336" w14:textId="77777777" w:rsidR="00E254FE" w:rsidRDefault="00E254FE" w:rsidP="003272AE">
      <w:pPr>
        <w:pStyle w:val="FootnoteText"/>
      </w:pPr>
    </w:p>
  </w:footnote>
  <w:footnote w:id="116">
    <w:p w14:paraId="228275D6" w14:textId="488BC5F0" w:rsidR="00E254FE" w:rsidRPr="004B07D2" w:rsidRDefault="00E254FE" w:rsidP="003272AE">
      <w:pPr>
        <w:pStyle w:val="FootnoteText"/>
      </w:pPr>
      <w:r w:rsidRPr="004B07D2">
        <w:rPr>
          <w:rStyle w:val="FootnoteReference"/>
          <w:szCs w:val="18"/>
        </w:rPr>
        <w:footnoteRef/>
      </w:r>
      <w:r w:rsidRPr="004B07D2">
        <w:t xml:space="preserve"> </w:t>
      </w:r>
      <w:r w:rsidRPr="004B07D2">
        <w:rPr>
          <w:lang w:val="en-GB"/>
        </w:rPr>
        <w:t xml:space="preserve">National Heart Foundation 2019, </w:t>
      </w:r>
      <w:r w:rsidRPr="004B07D2">
        <w:t>Report on the monitoring of the implementation of the HSR System in the first four years of implementation: June 2014 to June 2018</w:t>
      </w:r>
      <w:r w:rsidRPr="004B07D2">
        <w:rPr>
          <w:lang w:val="en-GB"/>
        </w:rPr>
        <w:t xml:space="preserve">, prepared for the Department of Health, </w:t>
      </w:r>
      <w:r w:rsidRPr="004B07D2">
        <w:t>p.33.</w:t>
      </w:r>
    </w:p>
  </w:footnote>
  <w:footnote w:id="117">
    <w:p w14:paraId="55DE0790" w14:textId="5B18828F" w:rsidR="00E254FE" w:rsidRPr="004B07D2" w:rsidRDefault="00E254FE" w:rsidP="003272AE">
      <w:pPr>
        <w:pStyle w:val="FootnoteText"/>
      </w:pPr>
      <w:r w:rsidRPr="004B07D2">
        <w:rPr>
          <w:rStyle w:val="FootnoteReference"/>
          <w:szCs w:val="18"/>
        </w:rPr>
        <w:footnoteRef/>
      </w:r>
      <w:r w:rsidRPr="004B07D2">
        <w:t xml:space="preserve"> Codex Committee on Food Labelling 2017, Discussion paper on consideration of issues regarding front-of-pack nutrition labelling.</w:t>
      </w:r>
    </w:p>
  </w:footnote>
  <w:footnote w:id="118">
    <w:p w14:paraId="41D506CB" w14:textId="7AF30E26" w:rsidR="00E254FE" w:rsidRPr="004B07D2" w:rsidRDefault="00E254FE" w:rsidP="004B07D2">
      <w:pPr>
        <w:rPr>
          <w:rFonts w:eastAsia="Times New Roman" w:cstheme="minorHAnsi"/>
          <w:sz w:val="20"/>
          <w:szCs w:val="20"/>
        </w:rPr>
      </w:pPr>
      <w:r w:rsidRPr="004B07D2">
        <w:rPr>
          <w:rStyle w:val="FootnoteReference"/>
          <w:szCs w:val="18"/>
        </w:rPr>
        <w:footnoteRef/>
      </w:r>
      <w:r w:rsidRPr="004B07D2">
        <w:rPr>
          <w:sz w:val="18"/>
          <w:szCs w:val="18"/>
        </w:rPr>
        <w:t xml:space="preserve"> </w:t>
      </w:r>
      <w:r w:rsidRPr="004B07D2">
        <w:rPr>
          <w:rFonts w:eastAsia="Times New Roman" w:cstheme="minorHAnsi"/>
          <w:sz w:val="18"/>
          <w:szCs w:val="18"/>
        </w:rPr>
        <w:t xml:space="preserve">Kanter, R, Vanderlee, L &amp; Vandevijvere, S 2018, ‘Editorial: Front-of-package nutrition labelling policy: global progress and future directions’, </w:t>
      </w:r>
      <w:r w:rsidRPr="004B07D2">
        <w:rPr>
          <w:rFonts w:eastAsia="Times New Roman" w:cstheme="minorHAnsi"/>
          <w:i/>
          <w:sz w:val="18"/>
          <w:szCs w:val="18"/>
        </w:rPr>
        <w:t>Public Health Nutrition</w:t>
      </w:r>
      <w:r w:rsidRPr="004B07D2">
        <w:rPr>
          <w:rFonts w:eastAsia="Times New Roman" w:cstheme="minorHAnsi"/>
          <w:sz w:val="18"/>
          <w:szCs w:val="18"/>
        </w:rPr>
        <w:t>, vol. 21, no. 8, pp. 1399-1408.</w:t>
      </w:r>
    </w:p>
  </w:footnote>
  <w:footnote w:id="119">
    <w:p w14:paraId="24725E4F" w14:textId="55B34CCB" w:rsidR="00E254FE" w:rsidRPr="0017608D" w:rsidRDefault="00E254FE" w:rsidP="003272AE">
      <w:pPr>
        <w:pStyle w:val="FootnoteText"/>
      </w:pPr>
      <w:r w:rsidRPr="005A3631">
        <w:rPr>
          <w:rStyle w:val="FootnoteReference"/>
          <w:szCs w:val="18"/>
        </w:rPr>
        <w:footnoteRef/>
      </w:r>
      <w:r w:rsidRPr="0017608D">
        <w:t xml:space="preserve"> </w:t>
      </w:r>
      <w:r w:rsidRPr="005A3631">
        <w:t xml:space="preserve">Vidar, </w:t>
      </w:r>
      <w:r>
        <w:t xml:space="preserve">M </w:t>
      </w:r>
      <w:r w:rsidRPr="00A507BC">
        <w:rPr>
          <w:i/>
        </w:rPr>
        <w:t>International legal frameworks for food labelling and consumer rights</w:t>
      </w:r>
      <w:r w:rsidRPr="00A507BC">
        <w:t xml:space="preserve">, </w:t>
      </w:r>
      <w:r w:rsidRPr="005A3631">
        <w:t>Food and Agriculture Organization of the United Nation</w:t>
      </w:r>
      <w:r w:rsidRPr="00A507BC">
        <w:t>s (FAO), Italy, p. 33</w:t>
      </w:r>
    </w:p>
  </w:footnote>
  <w:footnote w:id="120">
    <w:p w14:paraId="5298B7E4" w14:textId="620B26FA" w:rsidR="00E254FE" w:rsidRPr="0017608D" w:rsidRDefault="00E254FE" w:rsidP="003272AE">
      <w:pPr>
        <w:pStyle w:val="FootnoteText"/>
      </w:pPr>
      <w:r w:rsidRPr="005A3631">
        <w:rPr>
          <w:rStyle w:val="FootnoteReference"/>
          <w:szCs w:val="18"/>
        </w:rPr>
        <w:footnoteRef/>
      </w:r>
      <w:r w:rsidRPr="0017608D">
        <w:t xml:space="preserve"> </w:t>
      </w:r>
      <w:r w:rsidRPr="005A3631">
        <w:t xml:space="preserve">Vidar, </w:t>
      </w:r>
      <w:r>
        <w:t xml:space="preserve">M </w:t>
      </w:r>
      <w:r w:rsidRPr="00A507BC">
        <w:rPr>
          <w:i/>
        </w:rPr>
        <w:t>International legal frameworks for food labelling and consumer rights</w:t>
      </w:r>
      <w:r w:rsidRPr="00A507BC">
        <w:t xml:space="preserve">, </w:t>
      </w:r>
      <w:r w:rsidRPr="005A3631">
        <w:t>Food and Agriculture Organization of the United Nation</w:t>
      </w:r>
      <w:r w:rsidRPr="00A507BC">
        <w:t>s (FAO), Italy, p. 33</w:t>
      </w:r>
    </w:p>
  </w:footnote>
  <w:footnote w:id="121">
    <w:p w14:paraId="1AAFB3F2" w14:textId="0C13D62F" w:rsidR="00E254FE" w:rsidRDefault="00E254FE" w:rsidP="003272AE">
      <w:pPr>
        <w:pStyle w:val="FootnoteText"/>
      </w:pPr>
      <w:r w:rsidRPr="005A3631">
        <w:rPr>
          <w:rStyle w:val="FootnoteReference"/>
          <w:szCs w:val="18"/>
        </w:rPr>
        <w:footnoteRef/>
      </w:r>
      <w:r w:rsidRPr="0017608D">
        <w:rPr>
          <w:szCs w:val="18"/>
        </w:rPr>
        <w:t xml:space="preserve"> </w:t>
      </w:r>
      <w:hyperlink r:id="rId16" w:history="1">
        <w:r w:rsidRPr="009A44E2">
          <w:rPr>
            <w:rStyle w:val="Hyperlink"/>
            <w:szCs w:val="18"/>
          </w:rPr>
          <w:t>Media article</w:t>
        </w:r>
      </w:hyperlink>
      <w:r>
        <w:rPr>
          <w:szCs w:val="18"/>
        </w:rPr>
        <w:t>,</w:t>
      </w:r>
      <w:r w:rsidRPr="005A3631">
        <w:rPr>
          <w:szCs w:val="18"/>
        </w:rPr>
        <w:t xml:space="preserve"> </w:t>
      </w:r>
      <w:r>
        <w:rPr>
          <w:szCs w:val="18"/>
        </w:rPr>
        <w:t>accessed</w:t>
      </w:r>
      <w:r w:rsidRPr="005A3631">
        <w:rPr>
          <w:szCs w:val="18"/>
        </w:rPr>
        <w:t xml:space="preserve"> on 25 January 2019</w:t>
      </w:r>
    </w:p>
  </w:footnote>
  <w:footnote w:id="122">
    <w:p w14:paraId="3748D16F" w14:textId="00FFEBBE" w:rsidR="00E254FE" w:rsidRPr="00E45F4B" w:rsidRDefault="00E254FE" w:rsidP="003272AE">
      <w:pPr>
        <w:pStyle w:val="FootnoteText"/>
      </w:pPr>
      <w:r w:rsidRPr="00E45F4B">
        <w:rPr>
          <w:rStyle w:val="FootnoteReference"/>
          <w:szCs w:val="18"/>
        </w:rPr>
        <w:footnoteRef/>
      </w:r>
      <w:r w:rsidRPr="00E45F4B">
        <w:t xml:space="preserve"> Colmar Brunton, 2017, Industry uptake of the Health Star Rating System – A qualitative exploration, prepared for the Ministry for Primary Industries</w:t>
      </w:r>
      <w:r>
        <w:t>.</w:t>
      </w:r>
    </w:p>
  </w:footnote>
  <w:footnote w:id="123">
    <w:p w14:paraId="1ADCEA24" w14:textId="77777777" w:rsidR="00E254FE" w:rsidRPr="00562878" w:rsidRDefault="00E254FE" w:rsidP="0074450F">
      <w:pPr>
        <w:pStyle w:val="NoSpacing"/>
        <w:rPr>
          <w:sz w:val="18"/>
          <w:szCs w:val="18"/>
        </w:rPr>
      </w:pPr>
      <w:r w:rsidRPr="00E45F4B">
        <w:rPr>
          <w:rStyle w:val="FootnoteReference"/>
          <w:rFonts w:cstheme="minorHAnsi"/>
          <w:szCs w:val="18"/>
        </w:rPr>
        <w:footnoteRef/>
      </w:r>
      <w:r w:rsidRPr="00E45F4B">
        <w:rPr>
          <w:rFonts w:cstheme="minorHAnsi"/>
          <w:sz w:val="18"/>
          <w:szCs w:val="18"/>
        </w:rPr>
        <w:t xml:space="preserve"> Talati, Z, Norman, R, Pettigrew, S, Neal, B, Kelly, B, Dixon, H, Ball, K, Miller, C &amp; Shilton, T 2017 </w:t>
      </w:r>
      <w:r>
        <w:rPr>
          <w:rFonts w:cstheme="minorHAnsi"/>
          <w:sz w:val="18"/>
          <w:szCs w:val="18"/>
        </w:rPr>
        <w:t>‘</w:t>
      </w:r>
      <w:r w:rsidRPr="00E45F4B">
        <w:rPr>
          <w:rFonts w:cstheme="minorHAnsi"/>
          <w:sz w:val="18"/>
          <w:szCs w:val="18"/>
        </w:rPr>
        <w:t xml:space="preserve">The impact of interpretive and reductive front-of-pack labels on food choice and willingness to pay, </w:t>
      </w:r>
      <w:r w:rsidRPr="00E45F4B">
        <w:rPr>
          <w:rFonts w:cstheme="minorHAnsi"/>
          <w:i/>
          <w:iCs/>
          <w:sz w:val="18"/>
          <w:szCs w:val="18"/>
        </w:rPr>
        <w:t>International Journal of Behavioural Nutrition and Physical Activity</w:t>
      </w:r>
      <w:r w:rsidRPr="00E45F4B">
        <w:rPr>
          <w:rFonts w:cstheme="minorHAnsi"/>
          <w:sz w:val="18"/>
          <w:szCs w:val="18"/>
        </w:rPr>
        <w:t xml:space="preserve">, </w:t>
      </w:r>
      <w:r>
        <w:rPr>
          <w:rFonts w:cstheme="minorHAnsi"/>
          <w:sz w:val="18"/>
          <w:szCs w:val="18"/>
        </w:rPr>
        <w:t xml:space="preserve">vol. </w:t>
      </w:r>
      <w:r w:rsidRPr="00E45F4B">
        <w:rPr>
          <w:rFonts w:cstheme="minorHAnsi"/>
          <w:sz w:val="18"/>
          <w:szCs w:val="18"/>
        </w:rPr>
        <w:t>14, p</w:t>
      </w:r>
      <w:r>
        <w:rPr>
          <w:rFonts w:cstheme="minorHAnsi"/>
          <w:sz w:val="18"/>
          <w:szCs w:val="18"/>
        </w:rPr>
        <w:t xml:space="preserve">p. </w:t>
      </w:r>
      <w:r w:rsidRPr="00E45F4B">
        <w:rPr>
          <w:rFonts w:cstheme="minorHAnsi"/>
          <w:sz w:val="18"/>
          <w:szCs w:val="18"/>
        </w:rPr>
        <w:t>2-10</w:t>
      </w:r>
      <w:r>
        <w:rPr>
          <w:rFonts w:cstheme="minorHAnsi"/>
          <w:sz w:val="18"/>
          <w:szCs w:val="18"/>
        </w:rPr>
        <w:t>.</w:t>
      </w:r>
    </w:p>
  </w:footnote>
  <w:footnote w:id="124">
    <w:p w14:paraId="6A6D570E" w14:textId="77777777" w:rsidR="00E254FE" w:rsidRPr="0017608D" w:rsidRDefault="00E254FE" w:rsidP="003272AE">
      <w:pPr>
        <w:pStyle w:val="FootnoteText"/>
      </w:pPr>
      <w:r w:rsidRPr="00012057">
        <w:rPr>
          <w:rStyle w:val="FootnoteReference"/>
          <w:szCs w:val="18"/>
        </w:rPr>
        <w:footnoteRef/>
      </w:r>
      <w:r w:rsidRPr="0017608D">
        <w:t xml:space="preserve"> </w:t>
      </w:r>
      <w:r>
        <w:rPr>
          <w:rStyle w:val="Hyperlink"/>
          <w:szCs w:val="18"/>
        </w:rPr>
        <w:t>LionCo website,</w:t>
      </w:r>
      <w:r w:rsidRPr="0017608D">
        <w:t xml:space="preserve"> </w:t>
      </w:r>
      <w:r>
        <w:t>accessed</w:t>
      </w:r>
      <w:r w:rsidRPr="00114310">
        <w:t xml:space="preserve"> 25 January 2019</w:t>
      </w:r>
      <w:r>
        <w:t>.</w:t>
      </w:r>
    </w:p>
  </w:footnote>
  <w:footnote w:id="125">
    <w:p w14:paraId="7FB1AEE4" w14:textId="77777777" w:rsidR="00E254FE" w:rsidRPr="004B07D2" w:rsidRDefault="00E254FE" w:rsidP="003272AE">
      <w:pPr>
        <w:pStyle w:val="FootnoteText"/>
      </w:pPr>
      <w:r w:rsidRPr="004B07D2">
        <w:rPr>
          <w:rStyle w:val="FootnoteReference"/>
          <w:szCs w:val="18"/>
        </w:rPr>
        <w:footnoteRef/>
      </w:r>
      <w:r w:rsidRPr="004B07D2">
        <w:t xml:space="preserve"> </w:t>
      </w:r>
      <w:r w:rsidRPr="004B07D2">
        <w:rPr>
          <w:rStyle w:val="Hyperlink"/>
          <w:szCs w:val="18"/>
        </w:rPr>
        <w:t>Sanitarium website</w:t>
      </w:r>
      <w:r w:rsidRPr="004B07D2">
        <w:t>, accessed on 25 January 2019.</w:t>
      </w:r>
    </w:p>
  </w:footnote>
  <w:footnote w:id="126">
    <w:p w14:paraId="5E8F55DD" w14:textId="77777777" w:rsidR="00E254FE" w:rsidRPr="004B07D2" w:rsidRDefault="00E254FE" w:rsidP="003272AE">
      <w:pPr>
        <w:pStyle w:val="FootnoteText"/>
        <w:rPr>
          <w:szCs w:val="18"/>
        </w:rPr>
      </w:pPr>
      <w:r w:rsidRPr="004B07D2">
        <w:rPr>
          <w:rStyle w:val="FootnoteReference"/>
          <w:szCs w:val="18"/>
        </w:rPr>
        <w:footnoteRef/>
      </w:r>
      <w:r w:rsidRPr="004B07D2">
        <w:rPr>
          <w:szCs w:val="18"/>
        </w:rPr>
        <w:t xml:space="preserve"> </w:t>
      </w:r>
      <w:hyperlink r:id="rId17" w:history="1">
        <w:r w:rsidRPr="004B07D2">
          <w:rPr>
            <w:rStyle w:val="Hyperlink"/>
            <w:szCs w:val="18"/>
          </w:rPr>
          <w:t>Nestle website</w:t>
        </w:r>
      </w:hyperlink>
      <w:r w:rsidRPr="004B07D2">
        <w:rPr>
          <w:szCs w:val="18"/>
        </w:rPr>
        <w:t>, accessed on 25 January 2019.</w:t>
      </w:r>
    </w:p>
  </w:footnote>
  <w:footnote w:id="127">
    <w:p w14:paraId="3BDDF500" w14:textId="77777777" w:rsidR="00E254FE" w:rsidRPr="004B07D2" w:rsidRDefault="00E254FE" w:rsidP="003272AE">
      <w:pPr>
        <w:pStyle w:val="FootnoteText"/>
      </w:pPr>
      <w:r w:rsidRPr="004B07D2">
        <w:rPr>
          <w:rStyle w:val="FootnoteReference"/>
          <w:szCs w:val="18"/>
        </w:rPr>
        <w:footnoteRef/>
      </w:r>
      <w:r w:rsidRPr="004B07D2">
        <w:t xml:space="preserve"> Food Industry Taskforce on Addressing Factors Contributing to Obesity, 2018, </w:t>
      </w:r>
      <w:r w:rsidRPr="004B07D2">
        <w:rPr>
          <w:i/>
        </w:rPr>
        <w:t>Final Report to Ministers of Health and Food Safety.</w:t>
      </w:r>
    </w:p>
  </w:footnote>
  <w:footnote w:id="128">
    <w:p w14:paraId="349B1CA0" w14:textId="027319BA" w:rsidR="00E254FE" w:rsidRPr="004B07D2" w:rsidRDefault="00E254FE" w:rsidP="003272AE">
      <w:pPr>
        <w:pStyle w:val="FootnoteText"/>
        <w:rPr>
          <w:szCs w:val="18"/>
        </w:rPr>
      </w:pPr>
      <w:r w:rsidRPr="004B07D2">
        <w:rPr>
          <w:rStyle w:val="FootnoteReference"/>
          <w:szCs w:val="18"/>
        </w:rPr>
        <w:footnoteRef/>
      </w:r>
      <w:r w:rsidRPr="004B07D2">
        <w:rPr>
          <w:szCs w:val="18"/>
        </w:rPr>
        <w:t xml:space="preserve"> </w:t>
      </w:r>
      <w:hyperlink r:id="rId18" w:history="1">
        <w:r w:rsidRPr="004B07D2">
          <w:rPr>
            <w:rStyle w:val="Hyperlink"/>
            <w:szCs w:val="18"/>
          </w:rPr>
          <w:t>Coles website</w:t>
        </w:r>
      </w:hyperlink>
      <w:r w:rsidRPr="004B07D2">
        <w:rPr>
          <w:szCs w:val="18"/>
        </w:rPr>
        <w:t>, accessed on 25 January 2019</w:t>
      </w:r>
      <w:r>
        <w:rPr>
          <w:szCs w:val="18"/>
        </w:rPr>
        <w:t>.</w:t>
      </w:r>
    </w:p>
  </w:footnote>
  <w:footnote w:id="129">
    <w:p w14:paraId="3DA5F70C" w14:textId="19873D3B" w:rsidR="00E254FE" w:rsidRPr="004B07D2" w:rsidRDefault="00E254FE" w:rsidP="003272AE">
      <w:pPr>
        <w:pStyle w:val="FootnoteText"/>
        <w:rPr>
          <w:szCs w:val="18"/>
        </w:rPr>
      </w:pPr>
      <w:r w:rsidRPr="004B07D2">
        <w:rPr>
          <w:rStyle w:val="FootnoteReference"/>
          <w:szCs w:val="18"/>
        </w:rPr>
        <w:footnoteRef/>
      </w:r>
      <w:r w:rsidRPr="004B07D2">
        <w:rPr>
          <w:szCs w:val="18"/>
        </w:rPr>
        <w:t xml:space="preserve"> </w:t>
      </w:r>
      <w:hyperlink r:id="rId19" w:history="1">
        <w:r w:rsidRPr="004B07D2">
          <w:rPr>
            <w:rStyle w:val="Hyperlink"/>
            <w:szCs w:val="18"/>
          </w:rPr>
          <w:t>Foodstuffs website</w:t>
        </w:r>
      </w:hyperlink>
      <w:r w:rsidRPr="004B07D2">
        <w:rPr>
          <w:szCs w:val="18"/>
        </w:rPr>
        <w:t>, accessed on 25 January 2019.</w:t>
      </w:r>
    </w:p>
  </w:footnote>
  <w:footnote w:id="130">
    <w:p w14:paraId="230367CB" w14:textId="0D68A448" w:rsidR="00E254FE" w:rsidRDefault="00E254FE" w:rsidP="003272AE">
      <w:pPr>
        <w:pStyle w:val="FootnoteText"/>
      </w:pPr>
      <w:r w:rsidRPr="004B07D2">
        <w:rPr>
          <w:rStyle w:val="FootnoteReference"/>
          <w:szCs w:val="18"/>
        </w:rPr>
        <w:footnoteRef/>
      </w:r>
      <w:r w:rsidRPr="004B07D2">
        <w:t xml:space="preserve"> </w:t>
      </w:r>
      <w:hyperlink r:id="rId20" w:history="1">
        <w:r w:rsidRPr="004B07D2">
          <w:rPr>
            <w:rStyle w:val="Hyperlink"/>
            <w:szCs w:val="18"/>
          </w:rPr>
          <w:t>EatWell @ IGA website</w:t>
        </w:r>
      </w:hyperlink>
      <w:r w:rsidRPr="004B07D2">
        <w:t>, accessed on 25 January 2019.</w:t>
      </w:r>
    </w:p>
  </w:footnote>
  <w:footnote w:id="131">
    <w:p w14:paraId="54B1A7D1" w14:textId="14AEB78F" w:rsidR="00E254FE" w:rsidRPr="00D34697" w:rsidRDefault="00E254FE" w:rsidP="003272AE">
      <w:pPr>
        <w:pStyle w:val="FootnoteText"/>
      </w:pPr>
      <w:r w:rsidRPr="00D34697">
        <w:rPr>
          <w:rStyle w:val="FootnoteReference"/>
          <w:szCs w:val="18"/>
        </w:rPr>
        <w:footnoteRef/>
      </w:r>
      <w:r w:rsidRPr="00D34697">
        <w:t xml:space="preserve"> Colmar Brunton, 2017 Industry uptake of the Health Star Rating System – A qualitative exploration, prepared for the MPI</w:t>
      </w:r>
      <w:r>
        <w:t>.</w:t>
      </w:r>
    </w:p>
  </w:footnote>
  <w:footnote w:id="132">
    <w:p w14:paraId="20552195" w14:textId="0DC4AB44" w:rsidR="00E254FE" w:rsidRDefault="00E254FE" w:rsidP="003272AE">
      <w:pPr>
        <w:pStyle w:val="FootnoteText"/>
      </w:pPr>
      <w:r w:rsidRPr="00CD7880">
        <w:rPr>
          <w:rStyle w:val="FootnoteReference"/>
          <w:szCs w:val="18"/>
        </w:rPr>
        <w:footnoteRef/>
      </w:r>
      <w:r w:rsidRPr="00CD7880">
        <w:t xml:space="preserve"> Colmar Brunton, 2017 Industry uptake of the Health Star Rating System – A qualitative exploration, prepared for </w:t>
      </w:r>
      <w:r>
        <w:t>the MPI.</w:t>
      </w:r>
    </w:p>
  </w:footnote>
  <w:footnote w:id="133">
    <w:p w14:paraId="0A913315" w14:textId="77777777" w:rsidR="00E254FE" w:rsidRDefault="00E254FE" w:rsidP="003272AE">
      <w:pPr>
        <w:pStyle w:val="FootnoteText"/>
      </w:pPr>
      <w:r>
        <w:rPr>
          <w:rStyle w:val="FootnoteReference"/>
        </w:rPr>
        <w:footnoteRef/>
      </w:r>
      <w:r>
        <w:t xml:space="preserve"> Products</w:t>
      </w:r>
      <w:r w:rsidRPr="00AA5CB8">
        <w:t xml:space="preserve"> exempt from NIP labelling</w:t>
      </w:r>
      <w:r>
        <w:t xml:space="preserve"> requirements are outlined </w:t>
      </w:r>
      <w:r w:rsidRPr="00AA5CB8">
        <w:t>under</w:t>
      </w:r>
      <w:r>
        <w:t xml:space="preserve"> 1.2.8-5(2) of</w:t>
      </w:r>
      <w:r w:rsidRPr="00AA5CB8">
        <w:t xml:space="preserve"> </w:t>
      </w:r>
      <w:r>
        <w:t>the Code</w:t>
      </w:r>
      <w:r w:rsidRPr="00AA5CB8">
        <w:t xml:space="preserve"> </w:t>
      </w:r>
      <w:hyperlink r:id="rId21" w:history="1">
        <w:r w:rsidRPr="007329FA">
          <w:rPr>
            <w:rStyle w:val="Hyperlink"/>
            <w:i/>
            <w:iCs/>
          </w:rPr>
          <w:t>Standard 1.2.8 – Nutrition Information Requirements</w:t>
        </w:r>
      </w:hyperlink>
      <w:r>
        <w:rPr>
          <w:rStyle w:val="Hyperlink"/>
          <w:i/>
          <w:iCs/>
        </w:rPr>
        <w:t>.</w:t>
      </w:r>
    </w:p>
  </w:footnote>
  <w:footnote w:id="134">
    <w:p w14:paraId="096A4978" w14:textId="7053B78A" w:rsidR="00E254FE" w:rsidRPr="004B07D2" w:rsidRDefault="00E254FE" w:rsidP="004B07D2">
      <w:pPr>
        <w:autoSpaceDE w:val="0"/>
        <w:autoSpaceDN w:val="0"/>
        <w:adjustRightInd w:val="0"/>
        <w:rPr>
          <w:rFonts w:cstheme="minorHAnsi"/>
          <w:sz w:val="18"/>
          <w:szCs w:val="18"/>
          <w:lang w:val="en-GB"/>
        </w:rPr>
      </w:pPr>
      <w:r w:rsidRPr="004B07D2">
        <w:rPr>
          <w:rStyle w:val="FootnoteReference"/>
          <w:szCs w:val="18"/>
        </w:rPr>
        <w:footnoteRef/>
      </w:r>
      <w:r w:rsidRPr="004B07D2">
        <w:rPr>
          <w:sz w:val="18"/>
          <w:szCs w:val="18"/>
        </w:rPr>
        <w:t xml:space="preserve"> </w:t>
      </w:r>
      <w:r w:rsidRPr="004B07D2">
        <w:rPr>
          <w:rFonts w:cstheme="minorHAnsi"/>
          <w:sz w:val="18"/>
          <w:szCs w:val="18"/>
          <w:lang w:val="en-GB"/>
        </w:rPr>
        <w:t>Jones, A, Shahid, M &amp; Neal, B 2018</w:t>
      </w:r>
      <w:r w:rsidRPr="004B07D2">
        <w:rPr>
          <w:rFonts w:cstheme="minorHAnsi"/>
          <w:i/>
          <w:iCs/>
          <w:sz w:val="18"/>
          <w:szCs w:val="18"/>
          <w:lang w:val="en-GB"/>
        </w:rPr>
        <w:t xml:space="preserve"> ‘</w:t>
      </w:r>
      <w:r w:rsidRPr="004B07D2">
        <w:rPr>
          <w:rFonts w:cstheme="minorHAnsi"/>
          <w:sz w:val="18"/>
          <w:szCs w:val="18"/>
          <w:lang w:val="en-GB"/>
        </w:rPr>
        <w:t xml:space="preserve">Uptake of Australia’s Health Star Rating System’, </w:t>
      </w:r>
      <w:r w:rsidRPr="004B07D2">
        <w:rPr>
          <w:rFonts w:cstheme="minorHAnsi"/>
          <w:i/>
          <w:iCs/>
          <w:sz w:val="18"/>
          <w:szCs w:val="18"/>
          <w:lang w:val="en-GB"/>
        </w:rPr>
        <w:t>Nutrients</w:t>
      </w:r>
      <w:r w:rsidRPr="004B07D2">
        <w:rPr>
          <w:rFonts w:cstheme="minorHAnsi"/>
          <w:sz w:val="18"/>
          <w:szCs w:val="18"/>
          <w:lang w:val="en-GB"/>
        </w:rPr>
        <w:t>, vol. 10, no. 8, 997, pp. 1-13.</w:t>
      </w:r>
    </w:p>
  </w:footnote>
  <w:footnote w:id="135">
    <w:p w14:paraId="089DAD78" w14:textId="71915D79" w:rsidR="00E254FE" w:rsidRDefault="00E254FE" w:rsidP="003272AE">
      <w:pPr>
        <w:pStyle w:val="FootnoteText"/>
      </w:pPr>
      <w:r>
        <w:rPr>
          <w:rStyle w:val="FootnoteReference"/>
        </w:rPr>
        <w:footnoteRef/>
      </w:r>
      <w:r>
        <w:t xml:space="preserve"> He, F J, Brinsden, H C, MacGregor, G A 2013 ‘UK population salt reduction: an experiment in public health’, </w:t>
      </w:r>
      <w:r w:rsidRPr="009E4FD5">
        <w:rPr>
          <w:i/>
        </w:rPr>
        <w:t>The Lancet</w:t>
      </w:r>
      <w:r>
        <w:t>, vol 382.</w:t>
      </w:r>
    </w:p>
  </w:footnote>
  <w:footnote w:id="136">
    <w:p w14:paraId="0967EDE3" w14:textId="74682361" w:rsidR="00E254FE" w:rsidRDefault="00E254FE" w:rsidP="003272AE">
      <w:pPr>
        <w:pStyle w:val="FootnoteText"/>
      </w:pPr>
      <w:r w:rsidRPr="00602820">
        <w:rPr>
          <w:rStyle w:val="FootnoteReference"/>
          <w:szCs w:val="18"/>
        </w:rPr>
        <w:footnoteRef/>
      </w:r>
      <w:r w:rsidRPr="00602820">
        <w:t xml:space="preserve"> Parker, G, Souvlis, P, Parry-Husbands, H 2015 </w:t>
      </w:r>
      <w:r w:rsidRPr="009A44E2">
        <w:rPr>
          <w:i/>
        </w:rPr>
        <w:t>Health Star Rating System: Consumer use and understanding</w:t>
      </w:r>
      <w:r w:rsidRPr="00602820">
        <w:t>, prepared by Pollinate Research for the Department of Health</w:t>
      </w:r>
      <w:r>
        <w:t>, Sydney.</w:t>
      </w:r>
    </w:p>
  </w:footnote>
  <w:footnote w:id="137">
    <w:p w14:paraId="158379F4" w14:textId="4EF3F87A" w:rsidR="00E254FE" w:rsidRPr="00E45F4B" w:rsidRDefault="00E254FE" w:rsidP="003272AE">
      <w:pPr>
        <w:pStyle w:val="FootnoteText"/>
      </w:pPr>
      <w:r w:rsidRPr="00E45F4B">
        <w:rPr>
          <w:rStyle w:val="FootnoteReference"/>
          <w:szCs w:val="18"/>
        </w:rPr>
        <w:footnoteRef/>
      </w:r>
      <w:r w:rsidRPr="00E45F4B">
        <w:t xml:space="preserve"> </w:t>
      </w:r>
      <w:r w:rsidRPr="00E45F4B">
        <w:rPr>
          <w:lang w:val="en-GB"/>
        </w:rPr>
        <w:t xml:space="preserve">New Zealand Food Safety 2018, </w:t>
      </w:r>
      <w:r w:rsidRPr="00E45F4B">
        <w:rPr>
          <w:i/>
          <w:lang w:val="en-GB"/>
        </w:rPr>
        <w:t xml:space="preserve">Health Star Rating – Monitoring implementation for the Five Year Review, </w:t>
      </w:r>
      <w:r w:rsidRPr="00E45F4B">
        <w:rPr>
          <w:lang w:val="en-GB"/>
        </w:rPr>
        <w:t>New Zealand Ministry for Primary Industries, p.</w:t>
      </w:r>
      <w:r>
        <w:rPr>
          <w:lang w:val="en-GB"/>
        </w:rPr>
        <w:t xml:space="preserve"> </w:t>
      </w:r>
      <w:r w:rsidRPr="00E45F4B">
        <w:rPr>
          <w:lang w:val="en-GB"/>
        </w:rPr>
        <w:t>60.</w:t>
      </w:r>
    </w:p>
  </w:footnote>
  <w:footnote w:id="138">
    <w:p w14:paraId="6FEA4148" w14:textId="46C53E64" w:rsidR="00E254FE" w:rsidRDefault="00E254FE" w:rsidP="003272AE">
      <w:pPr>
        <w:pStyle w:val="FootnoteText"/>
      </w:pPr>
      <w:r w:rsidRPr="00E45F4B">
        <w:rPr>
          <w:rStyle w:val="FootnoteReference"/>
          <w:szCs w:val="18"/>
        </w:rPr>
        <w:footnoteRef/>
      </w:r>
      <w:r w:rsidRPr="00E45F4B">
        <w:t xml:space="preserve"> Grunert, K, Wills, J, Fernandez-Celemin, L 2010</w:t>
      </w:r>
      <w:r>
        <w:t xml:space="preserve"> ‘</w:t>
      </w:r>
      <w:r w:rsidRPr="00E45F4B">
        <w:t>Nutrition knowledge, and use and understanding of nutrition information on food labels among consumers in the UK</w:t>
      </w:r>
      <w:r>
        <w:t xml:space="preserve">’, </w:t>
      </w:r>
      <w:r w:rsidRPr="00E45F4B">
        <w:rPr>
          <w:i/>
          <w:iCs/>
        </w:rPr>
        <w:t>Appetite</w:t>
      </w:r>
      <w:r w:rsidRPr="00E45F4B">
        <w:t>,</w:t>
      </w:r>
      <w:r>
        <w:t xml:space="preserve"> vol.</w:t>
      </w:r>
      <w:r w:rsidRPr="00E45F4B">
        <w:t xml:space="preserve"> 55</w:t>
      </w:r>
      <w:r>
        <w:t xml:space="preserve">, no. </w:t>
      </w:r>
      <w:r w:rsidRPr="00E45F4B">
        <w:t>2,</w:t>
      </w:r>
      <w:r w:rsidRPr="00E45F4B">
        <w:rPr>
          <w:rStyle w:val="apple-converted-space"/>
          <w:rFonts w:cstheme="minorHAnsi"/>
          <w:color w:val="000000"/>
          <w:szCs w:val="18"/>
        </w:rPr>
        <w:t> </w:t>
      </w:r>
      <w:r w:rsidRPr="00E45F4B">
        <w:t>p</w:t>
      </w:r>
      <w:r>
        <w:t>p</w:t>
      </w:r>
      <w:r w:rsidRPr="00E45F4B">
        <w:t>. 177-189.</w:t>
      </w:r>
    </w:p>
  </w:footnote>
  <w:footnote w:id="139">
    <w:p w14:paraId="7D43EE5D" w14:textId="77777777" w:rsidR="00E254FE" w:rsidRPr="003E0249" w:rsidRDefault="00E254FE" w:rsidP="003272AE">
      <w:pPr>
        <w:pStyle w:val="FootnoteText"/>
      </w:pPr>
      <w:r w:rsidRPr="006F3A46">
        <w:rPr>
          <w:rStyle w:val="FootnoteReference"/>
          <w:szCs w:val="18"/>
        </w:rPr>
        <w:footnoteRef/>
      </w:r>
      <w:r w:rsidRPr="006F3A46">
        <w:t xml:space="preserve"> The Forum agreed in June 2018 to limit the application of the HSR System to the product ‘as sold.’ This decision will be implemented alongside and in the context of the Review.</w:t>
      </w:r>
    </w:p>
  </w:footnote>
  <w:footnote w:id="140">
    <w:p w14:paraId="4950F763" w14:textId="77777777" w:rsidR="00E254FE" w:rsidRPr="009A44E2" w:rsidRDefault="00E254FE" w:rsidP="00F37134">
      <w:pPr>
        <w:autoSpaceDE w:val="0"/>
        <w:autoSpaceDN w:val="0"/>
        <w:adjustRightInd w:val="0"/>
        <w:rPr>
          <w:rFonts w:cstheme="minorHAnsi"/>
          <w:color w:val="000000"/>
          <w:sz w:val="18"/>
          <w:szCs w:val="18"/>
          <w:lang w:val="en-US"/>
        </w:rPr>
      </w:pPr>
      <w:r w:rsidRPr="009A44E2">
        <w:rPr>
          <w:rStyle w:val="FootnoteReference"/>
          <w:rFonts w:cstheme="minorHAnsi"/>
          <w:szCs w:val="18"/>
        </w:rPr>
        <w:footnoteRef/>
      </w:r>
      <w:r w:rsidRPr="009A44E2">
        <w:rPr>
          <w:rFonts w:cstheme="minorHAnsi"/>
          <w:sz w:val="18"/>
          <w:szCs w:val="18"/>
        </w:rPr>
        <w:t xml:space="preserve"> </w:t>
      </w:r>
      <w:r w:rsidRPr="009A44E2">
        <w:rPr>
          <w:rFonts w:cstheme="minorHAnsi"/>
          <w:color w:val="000000"/>
          <w:sz w:val="18"/>
          <w:szCs w:val="18"/>
          <w:lang w:val="en-US"/>
        </w:rPr>
        <w:t>Neal, B, Crino, M, Dunford, E, Gao, A, Greenland, R, Li, N, Ngai, J, Ni Mhurchu, C, Pettigrew, S, Sacks, G, Webster, J &amp; Wu JHY 2017, ‘Effects of different types of Front-of-Pack Labelling information on the healthiness of food purchases – a Randomised Controlled Trial’,</w:t>
      </w:r>
      <w:r w:rsidRPr="009A44E2">
        <w:rPr>
          <w:rFonts w:cstheme="minorHAnsi"/>
          <w:i/>
          <w:iCs/>
          <w:color w:val="000000"/>
          <w:sz w:val="18"/>
          <w:szCs w:val="18"/>
          <w:lang w:val="en-US"/>
        </w:rPr>
        <w:t xml:space="preserve"> Nutrients</w:t>
      </w:r>
      <w:r w:rsidRPr="009A44E2">
        <w:rPr>
          <w:rFonts w:cstheme="minorHAnsi"/>
          <w:color w:val="000000"/>
          <w:sz w:val="18"/>
          <w:szCs w:val="18"/>
          <w:lang w:val="en-US"/>
        </w:rPr>
        <w:t>, vol. 9, no. 12, p. 1284.</w:t>
      </w:r>
    </w:p>
  </w:footnote>
  <w:footnote w:id="141">
    <w:p w14:paraId="422F7DD6" w14:textId="77777777" w:rsidR="00E254FE" w:rsidRPr="009A44E2" w:rsidRDefault="00E254FE" w:rsidP="00F37134">
      <w:pPr>
        <w:pStyle w:val="mpcNormal"/>
        <w:rPr>
          <w:sz w:val="18"/>
          <w:szCs w:val="18"/>
          <w:lang w:val="en-GB"/>
        </w:rPr>
      </w:pPr>
      <w:r w:rsidRPr="009A44E2">
        <w:rPr>
          <w:rStyle w:val="FootnoteReference"/>
          <w:szCs w:val="18"/>
        </w:rPr>
        <w:footnoteRef/>
      </w:r>
      <w:r w:rsidRPr="009A44E2">
        <w:rPr>
          <w:sz w:val="18"/>
          <w:szCs w:val="18"/>
        </w:rPr>
        <w:t xml:space="preserve"> </w:t>
      </w:r>
      <w:r w:rsidRPr="009A44E2">
        <w:rPr>
          <w:sz w:val="18"/>
          <w:szCs w:val="18"/>
          <w:lang w:val="en-GB"/>
        </w:rPr>
        <w:t xml:space="preserve">Pettigrew, S, Talati, Z, Miller, C, Dixon, H, Kelly, B, &amp; Ball, K 2017 ‘The types and aspects of front-of-pack food labelling schemes preferred by adults and children’, </w:t>
      </w:r>
      <w:r w:rsidRPr="009A44E2">
        <w:rPr>
          <w:i/>
          <w:iCs/>
          <w:sz w:val="18"/>
          <w:szCs w:val="18"/>
          <w:lang w:val="en-GB"/>
        </w:rPr>
        <w:t>Appetite</w:t>
      </w:r>
      <w:r w:rsidRPr="009A44E2">
        <w:rPr>
          <w:sz w:val="18"/>
          <w:szCs w:val="18"/>
          <w:lang w:val="en-GB"/>
        </w:rPr>
        <w:t>, vol. 109, pp. 115-123</w:t>
      </w:r>
      <w:r>
        <w:rPr>
          <w:sz w:val="18"/>
          <w:szCs w:val="18"/>
          <w:lang w:val="en-GB"/>
        </w:rPr>
        <w:t>.</w:t>
      </w:r>
    </w:p>
  </w:footnote>
  <w:footnote w:id="142">
    <w:p w14:paraId="32FB51A9" w14:textId="77777777" w:rsidR="00E254FE" w:rsidRPr="009A44E2" w:rsidRDefault="00E254FE" w:rsidP="00F37134">
      <w:pPr>
        <w:pStyle w:val="FootnoteText"/>
      </w:pPr>
      <w:r w:rsidRPr="009A44E2">
        <w:rPr>
          <w:rStyle w:val="FootnoteReference"/>
          <w:szCs w:val="18"/>
        </w:rPr>
        <w:footnoteRef/>
      </w:r>
      <w:r w:rsidRPr="009A44E2">
        <w:t xml:space="preserve"> </w:t>
      </w:r>
      <w:r w:rsidRPr="009A44E2">
        <w:rPr>
          <w:lang w:val="en-GB"/>
        </w:rPr>
        <w:t xml:space="preserve">Talati, Z, Pettigrew, S, Kelly, B, Ball, K, Hughes, C, Kelly, B, Neal, B, &amp; Dixon, H, 2017 ‘The relative ability of different front-of-pack labels to assist consumers discriminate between healthy, moderately healthy, and unhealthy foods’, </w:t>
      </w:r>
      <w:r w:rsidRPr="009A44E2">
        <w:rPr>
          <w:i/>
          <w:iCs/>
          <w:lang w:val="en-GB"/>
        </w:rPr>
        <w:t>Food quality and preference</w:t>
      </w:r>
      <w:r w:rsidRPr="009A44E2">
        <w:rPr>
          <w:lang w:val="en-GB"/>
        </w:rPr>
        <w:t>, vol. 59, pp. 109-113</w:t>
      </w:r>
      <w:r>
        <w:rPr>
          <w:lang w:val="en-GB"/>
        </w:rPr>
        <w:t>.</w:t>
      </w:r>
    </w:p>
  </w:footnote>
  <w:footnote w:id="143">
    <w:p w14:paraId="6E788ED8" w14:textId="77777777" w:rsidR="00E254FE" w:rsidRPr="006371E8" w:rsidRDefault="00E254FE" w:rsidP="00F37134">
      <w:pPr>
        <w:pStyle w:val="FootnoteText"/>
      </w:pPr>
      <w:r w:rsidRPr="009A44E2">
        <w:rPr>
          <w:rStyle w:val="FootnoteReference"/>
          <w:szCs w:val="18"/>
        </w:rPr>
        <w:footnoteRef/>
      </w:r>
      <w:r w:rsidRPr="009A44E2">
        <w:t xml:space="preserve"> </w:t>
      </w:r>
      <w:r w:rsidRPr="009A44E2">
        <w:rPr>
          <w:lang w:val="en-GB"/>
        </w:rPr>
        <w:t xml:space="preserve">Talati, Z, Norman, R, Pettigrew, S, Neal, B, Kelly, B, Dixon, H, Ball, K, Miller, C, &amp; Shilton, T 2017 ‘The impact of interpretive and reductive front-of-pack labels on food choice and willingness to pay’ </w:t>
      </w:r>
      <w:r w:rsidRPr="009A44E2">
        <w:rPr>
          <w:i/>
          <w:lang w:val="en-GB"/>
        </w:rPr>
        <w:t>International Journal of Behavioural Nutrition and Physical Activity</w:t>
      </w:r>
      <w:r w:rsidRPr="009A44E2">
        <w:rPr>
          <w:lang w:val="en-GB"/>
        </w:rPr>
        <w:t>, vol. 14, no. 1, p. 171</w:t>
      </w:r>
      <w:r>
        <w:rPr>
          <w:lang w:val="en-GB"/>
        </w:rPr>
        <w:t>.</w:t>
      </w:r>
    </w:p>
  </w:footnote>
  <w:footnote w:id="144">
    <w:p w14:paraId="42D0C18E" w14:textId="77777777" w:rsidR="00E254FE" w:rsidRPr="00090135" w:rsidRDefault="00E254FE" w:rsidP="007F1B7D">
      <w:pPr>
        <w:widowControl w:val="0"/>
        <w:autoSpaceDE w:val="0"/>
        <w:autoSpaceDN w:val="0"/>
        <w:adjustRightInd w:val="0"/>
        <w:rPr>
          <w:rFonts w:eastAsia="Times New Roman" w:cstheme="minorHAnsi"/>
          <w:i/>
          <w:sz w:val="18"/>
          <w:szCs w:val="18"/>
        </w:rPr>
      </w:pPr>
      <w:r w:rsidRPr="00090135">
        <w:rPr>
          <w:rStyle w:val="FootnoteReference"/>
          <w:rFonts w:cstheme="minorHAnsi"/>
          <w:color w:val="000000" w:themeColor="text1"/>
          <w:szCs w:val="18"/>
        </w:rPr>
        <w:footnoteRef/>
      </w:r>
      <w:r w:rsidRPr="00090135">
        <w:rPr>
          <w:rFonts w:cstheme="minorHAnsi"/>
          <w:color w:val="000000" w:themeColor="text1"/>
          <w:sz w:val="18"/>
          <w:szCs w:val="18"/>
        </w:rPr>
        <w:t xml:space="preserve"> </w:t>
      </w:r>
      <w:r w:rsidRPr="00090135">
        <w:rPr>
          <w:rFonts w:eastAsia="Times New Roman" w:cstheme="minorHAnsi"/>
          <w:sz w:val="18"/>
          <w:szCs w:val="18"/>
        </w:rPr>
        <w:t>Scarborough, P, Arambepola, C, Kaur, A, Bhatnagar, P &amp; Rayner, M</w:t>
      </w:r>
      <w:r w:rsidRPr="00090135">
        <w:rPr>
          <w:rFonts w:eastAsia="Times New Roman" w:cstheme="minorHAnsi"/>
          <w:i/>
          <w:sz w:val="18"/>
          <w:szCs w:val="18"/>
        </w:rPr>
        <w:t xml:space="preserve"> </w:t>
      </w:r>
      <w:r w:rsidRPr="00090135">
        <w:rPr>
          <w:rFonts w:eastAsia="Times New Roman" w:cstheme="minorHAnsi"/>
          <w:iCs/>
          <w:sz w:val="18"/>
          <w:szCs w:val="18"/>
        </w:rPr>
        <w:t>2010, ‘Should nutrient profile models be ‘category specific’ or ‘across-the-board’? A comparison of the two systems using diets of British adults’</w:t>
      </w:r>
      <w:r w:rsidRPr="00090135">
        <w:rPr>
          <w:rFonts w:eastAsia="Times New Roman" w:cstheme="minorHAnsi"/>
          <w:i/>
          <w:sz w:val="18"/>
          <w:szCs w:val="18"/>
        </w:rPr>
        <w:t>, European Journal of Clinical Nutrition</w:t>
      </w:r>
      <w:r w:rsidRPr="00090135">
        <w:rPr>
          <w:rFonts w:eastAsia="Times New Roman" w:cstheme="minorHAnsi"/>
          <w:iCs/>
          <w:sz w:val="18"/>
          <w:szCs w:val="18"/>
        </w:rPr>
        <w:t>, vol. 64, pp. 553-560.</w:t>
      </w:r>
    </w:p>
  </w:footnote>
  <w:footnote w:id="145">
    <w:p w14:paraId="5841BE0A" w14:textId="77777777" w:rsidR="00E254FE" w:rsidRPr="00396ECE" w:rsidRDefault="00E254FE" w:rsidP="0029129A">
      <w:pPr>
        <w:pStyle w:val="FootnoteText"/>
      </w:pPr>
      <w:r w:rsidRPr="00396ECE">
        <w:rPr>
          <w:rStyle w:val="FootnoteReference"/>
          <w:szCs w:val="18"/>
        </w:rPr>
        <w:footnoteRef/>
      </w:r>
      <w:r w:rsidRPr="00396ECE">
        <w:t xml:space="preserve"> Grains &amp; Legumes Nutrition Council, June 2017, Code of Practice for Whole Grain Ingredient Content Claims</w:t>
      </w:r>
    </w:p>
  </w:footnote>
  <w:footnote w:id="146">
    <w:p w14:paraId="615912C0"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Fardet A, Leenhardt F, Lioger D, et al. 2006 'Parameters controlling the glycaemic response to breads' </w:t>
      </w:r>
      <w:r w:rsidRPr="009C405A">
        <w:rPr>
          <w:i/>
          <w:sz w:val="18"/>
          <w:szCs w:val="18"/>
        </w:rPr>
        <w:t>Nutr Res Rev</w:t>
      </w:r>
      <w:r w:rsidRPr="009C405A">
        <w:rPr>
          <w:sz w:val="18"/>
          <w:szCs w:val="18"/>
        </w:rPr>
        <w:t>, vol. 19, pp. 18-25.</w:t>
      </w:r>
    </w:p>
  </w:footnote>
  <w:footnote w:id="147">
    <w:p w14:paraId="31313FB2"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Fardet, A 2010 'New hypotheses for the health-protective mechanisms of whole-grain cereals: What is beyond fibre?' </w:t>
      </w:r>
      <w:r w:rsidRPr="009C405A">
        <w:rPr>
          <w:i/>
          <w:sz w:val="18"/>
          <w:szCs w:val="18"/>
        </w:rPr>
        <w:t>Nutrition Research Reviews</w:t>
      </w:r>
      <w:r w:rsidRPr="009C405A">
        <w:rPr>
          <w:sz w:val="18"/>
          <w:szCs w:val="18"/>
        </w:rPr>
        <w:t>, vol. 23, no. 1, pp. 65-134. </w:t>
      </w:r>
    </w:p>
  </w:footnote>
  <w:footnote w:id="148">
    <w:p w14:paraId="49655160" w14:textId="77777777" w:rsidR="00E254FE" w:rsidRPr="009C405A" w:rsidRDefault="00E254FE" w:rsidP="00F37134">
      <w:pPr>
        <w:pStyle w:val="FootnoteText"/>
        <w:rPr>
          <w:szCs w:val="18"/>
        </w:rPr>
      </w:pPr>
      <w:r w:rsidRPr="009C405A">
        <w:rPr>
          <w:rStyle w:val="FootnoteReference"/>
          <w:szCs w:val="18"/>
        </w:rPr>
        <w:footnoteRef/>
      </w:r>
      <w:r w:rsidRPr="009C405A">
        <w:rPr>
          <w:szCs w:val="18"/>
        </w:rPr>
        <w:t xml:space="preserve"> Granfeldt Y, Hagander B &amp; Bjorck I 1995 'Metabolic responses to starch in oat and wheat products. On the importance of food structure, incomplete gelatinization or presence of viscous dietary fibre' </w:t>
      </w:r>
      <w:r w:rsidRPr="009C405A">
        <w:rPr>
          <w:i/>
          <w:szCs w:val="18"/>
        </w:rPr>
        <w:t>Eur J Clin Nutr</w:t>
      </w:r>
      <w:r w:rsidRPr="009C405A">
        <w:rPr>
          <w:szCs w:val="18"/>
        </w:rPr>
        <w:t>., vol. 49, pp. 189-199. </w:t>
      </w:r>
    </w:p>
  </w:footnote>
  <w:footnote w:id="149">
    <w:p w14:paraId="4EEFB52D"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Jenkins DJ, Wesson V, Wolever TM, et al. 1988 'Wholemeal versus wholegrain breads: proportion of whole or cracked grain and the glycaemic response' BMJ vol. 297, pp. 958–960</w:t>
      </w:r>
    </w:p>
  </w:footnote>
  <w:footnote w:id="150">
    <w:p w14:paraId="5D066F5D"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Liljeberg H, Granfeldt Y &amp; Bjorck I 1992 ‘Metabolic responses to starch in bread containing intact kernels versus milled flour’ </w:t>
      </w:r>
      <w:r w:rsidRPr="009C405A">
        <w:rPr>
          <w:i/>
          <w:sz w:val="18"/>
          <w:szCs w:val="18"/>
        </w:rPr>
        <w:t>Eur J Clin Nutr</w:t>
      </w:r>
      <w:r w:rsidRPr="009C405A">
        <w:rPr>
          <w:sz w:val="18"/>
          <w:szCs w:val="18"/>
        </w:rPr>
        <w:t>., vol. 46, pp. 561–575.</w:t>
      </w:r>
    </w:p>
  </w:footnote>
  <w:footnote w:id="151">
    <w:p w14:paraId="5AEB31D4" w14:textId="77777777" w:rsidR="00E254FE" w:rsidRPr="009C405A" w:rsidRDefault="00E254FE" w:rsidP="00F37134">
      <w:pPr>
        <w:pStyle w:val="mpcbullets2"/>
        <w:numPr>
          <w:ilvl w:val="0"/>
          <w:numId w:val="0"/>
        </w:numPr>
        <w:rPr>
          <w:sz w:val="18"/>
          <w:szCs w:val="18"/>
        </w:rPr>
      </w:pPr>
      <w:r w:rsidRPr="009C405A">
        <w:rPr>
          <w:rStyle w:val="FootnoteReference"/>
          <w:szCs w:val="18"/>
        </w:rPr>
        <w:footnoteRef/>
      </w:r>
      <w:r w:rsidRPr="009C405A">
        <w:rPr>
          <w:sz w:val="18"/>
          <w:szCs w:val="18"/>
        </w:rPr>
        <w:t xml:space="preserve"> Nilsson AC, Ostman EM, Granfeldt Y, et al. 2008 ‘Effect of cereal test breakfasts differing in glycemic index and content of indigestible carbohydrates on daylong glucose tolerance in healthy subjects' </w:t>
      </w:r>
      <w:r w:rsidRPr="009C405A">
        <w:rPr>
          <w:i/>
          <w:sz w:val="18"/>
          <w:szCs w:val="18"/>
        </w:rPr>
        <w:t>Am J Clin Nutr</w:t>
      </w:r>
      <w:r w:rsidRPr="009C405A">
        <w:rPr>
          <w:sz w:val="18"/>
          <w:szCs w:val="18"/>
        </w:rPr>
        <w:t>., vol. 87, pp. 645-654.</w:t>
      </w:r>
    </w:p>
  </w:footnote>
  <w:footnote w:id="152">
    <w:p w14:paraId="0BE37333" w14:textId="77777777" w:rsidR="00E254FE" w:rsidRPr="00363447" w:rsidRDefault="00E254FE" w:rsidP="00F37134">
      <w:pPr>
        <w:pStyle w:val="FootnoteText"/>
      </w:pPr>
      <w:r w:rsidRPr="009C405A">
        <w:rPr>
          <w:rStyle w:val="FootnoteReference"/>
          <w:szCs w:val="18"/>
        </w:rPr>
        <w:footnoteRef/>
      </w:r>
      <w:r w:rsidRPr="009C405A">
        <w:rPr>
          <w:szCs w:val="18"/>
        </w:rPr>
        <w:t xml:space="preserve"> Codex Alimentarius Commission – Codex Committee on food labelling 2017 Discussion Paper on Consideration of issues regarding front-of-pack-nutrition labelling.</w:t>
      </w:r>
    </w:p>
  </w:footnote>
  <w:footnote w:id="153">
    <w:p w14:paraId="2FC7358F" w14:textId="77777777" w:rsidR="00E254FE" w:rsidRPr="00B43D13" w:rsidRDefault="00E254FE" w:rsidP="00F37134">
      <w:pPr>
        <w:rPr>
          <w:rFonts w:cstheme="minorHAnsi"/>
          <w:color w:val="000000" w:themeColor="text1"/>
          <w:sz w:val="18"/>
          <w:szCs w:val="18"/>
        </w:rPr>
      </w:pPr>
      <w:r w:rsidRPr="00B43D13">
        <w:rPr>
          <w:rStyle w:val="FootnoteReference"/>
          <w:szCs w:val="18"/>
        </w:rPr>
        <w:footnoteRef/>
      </w:r>
      <w:r w:rsidRPr="00B43D13">
        <w:rPr>
          <w:sz w:val="18"/>
          <w:szCs w:val="18"/>
        </w:rPr>
        <w:t xml:space="preserve"> </w:t>
      </w:r>
      <w:r w:rsidRPr="00B43D13">
        <w:rPr>
          <w:rFonts w:eastAsia="Times New Roman" w:cstheme="minorHAnsi"/>
          <w:iCs/>
          <w:sz w:val="18"/>
          <w:szCs w:val="18"/>
        </w:rPr>
        <w:t>Rayner, M, Scarborough, P &amp; Lobstein, T</w:t>
      </w:r>
      <w:r w:rsidRPr="00B43D13">
        <w:rPr>
          <w:rFonts w:eastAsia="Times New Roman" w:cstheme="minorHAnsi"/>
          <w:i/>
          <w:sz w:val="18"/>
          <w:szCs w:val="18"/>
        </w:rPr>
        <w:t xml:space="preserve"> </w:t>
      </w:r>
      <w:r w:rsidRPr="00B43D13">
        <w:rPr>
          <w:rFonts w:eastAsia="Times New Roman" w:cstheme="minorHAnsi"/>
          <w:sz w:val="18"/>
          <w:szCs w:val="18"/>
        </w:rPr>
        <w:t>2009</w:t>
      </w:r>
      <w:r w:rsidRPr="00B43D13">
        <w:rPr>
          <w:rFonts w:eastAsia="Times New Roman" w:cstheme="minorHAnsi"/>
          <w:i/>
          <w:sz w:val="18"/>
          <w:szCs w:val="18"/>
        </w:rPr>
        <w:t xml:space="preserve">, </w:t>
      </w:r>
      <w:hyperlink r:id="rId22" w:history="1">
        <w:r w:rsidRPr="00B43D13">
          <w:rPr>
            <w:rStyle w:val="Hyperlink"/>
            <w:rFonts w:eastAsia="Times New Roman" w:cstheme="minorHAnsi"/>
            <w:i/>
            <w:sz w:val="18"/>
            <w:szCs w:val="18"/>
          </w:rPr>
          <w:t>The UK Ofcom Nutrient Profiling Model: Defining ‘healthy’ and ‘unhealthy’ foods and drinks for TV advertising for children</w:t>
        </w:r>
      </w:hyperlink>
      <w:r w:rsidRPr="00B43D13">
        <w:rPr>
          <w:rFonts w:eastAsia="Times New Roman" w:cstheme="minorHAnsi"/>
          <w:i/>
          <w:sz w:val="18"/>
          <w:szCs w:val="18"/>
        </w:rPr>
        <w:t xml:space="preserve">, </w:t>
      </w:r>
      <w:r w:rsidRPr="00B43D13">
        <w:rPr>
          <w:rFonts w:eastAsia="Times New Roman" w:cstheme="minorHAnsi"/>
          <w:iCs/>
          <w:sz w:val="18"/>
          <w:szCs w:val="18"/>
        </w:rPr>
        <w:t>October, accessed 17 January 2019.</w:t>
      </w:r>
    </w:p>
  </w:footnote>
  <w:footnote w:id="154">
    <w:p w14:paraId="085E741D" w14:textId="77777777" w:rsidR="00E254FE" w:rsidRPr="00B43D13" w:rsidRDefault="00E254FE" w:rsidP="00F37134">
      <w:pPr>
        <w:pStyle w:val="NoSpacing"/>
        <w:rPr>
          <w:rFonts w:cstheme="minorHAnsi"/>
          <w:sz w:val="20"/>
          <w:szCs w:val="20"/>
          <w:lang w:val="en-GB"/>
        </w:rPr>
      </w:pPr>
      <w:r w:rsidRPr="00B43D13">
        <w:rPr>
          <w:rStyle w:val="FootnoteReference"/>
          <w:szCs w:val="18"/>
        </w:rPr>
        <w:footnoteRef/>
      </w:r>
      <w:r w:rsidRPr="00B43D13">
        <w:rPr>
          <w:sz w:val="18"/>
          <w:szCs w:val="18"/>
        </w:rPr>
        <w:t xml:space="preserve"> </w:t>
      </w:r>
      <w:r w:rsidRPr="00B43D13">
        <w:rPr>
          <w:rFonts w:cstheme="minorHAnsi"/>
          <w:sz w:val="18"/>
          <w:szCs w:val="18"/>
          <w:lang w:val="en-GB"/>
        </w:rPr>
        <w:t xml:space="preserve">Ni Mhurchu, C, Eyles, H &amp; Choi, Y, 2017 ‘Effects of a Voluntary Front-of-Pack Nutrition Labelling System on packaged food reformulation: the Health Star Rating system in New Zealand’, </w:t>
      </w:r>
      <w:r w:rsidRPr="00B43D13">
        <w:rPr>
          <w:rFonts w:cstheme="minorHAnsi"/>
          <w:i/>
          <w:iCs/>
          <w:sz w:val="18"/>
          <w:szCs w:val="18"/>
          <w:lang w:val="en-GB"/>
        </w:rPr>
        <w:t>Nutrients</w:t>
      </w:r>
      <w:r w:rsidRPr="00B43D13">
        <w:rPr>
          <w:rFonts w:cstheme="minorHAnsi"/>
          <w:sz w:val="18"/>
          <w:szCs w:val="18"/>
          <w:lang w:val="en-GB"/>
        </w:rPr>
        <w:t>, vol. 9, no. 918.</w:t>
      </w:r>
    </w:p>
  </w:footnote>
  <w:footnote w:id="155">
    <w:p w14:paraId="2A9922C0" w14:textId="77777777" w:rsidR="00E254FE" w:rsidRPr="006D135E" w:rsidRDefault="00E254FE" w:rsidP="00F37134">
      <w:pPr>
        <w:pStyle w:val="CommentText"/>
        <w:spacing w:after="0"/>
        <w:rPr>
          <w:rFonts w:cstheme="minorHAnsi"/>
          <w:sz w:val="18"/>
          <w:szCs w:val="18"/>
        </w:rPr>
      </w:pPr>
      <w:r w:rsidRPr="005A3631">
        <w:rPr>
          <w:rStyle w:val="FootnoteReference"/>
          <w:rFonts w:cstheme="minorHAnsi"/>
          <w:szCs w:val="18"/>
        </w:rPr>
        <w:footnoteRef/>
      </w:r>
      <w:r w:rsidRPr="009959A5">
        <w:rPr>
          <w:rFonts w:asciiTheme="minorHAnsi" w:hAnsiTheme="minorHAnsi" w:cstheme="minorHAnsi"/>
          <w:sz w:val="18"/>
          <w:szCs w:val="18"/>
        </w:rPr>
        <w:t xml:space="preserve"> </w:t>
      </w:r>
      <w:r>
        <w:rPr>
          <w:rFonts w:asciiTheme="minorHAnsi" w:hAnsiTheme="minorHAnsi" w:cstheme="minorHAnsi"/>
          <w:sz w:val="18"/>
          <w:szCs w:val="18"/>
        </w:rPr>
        <w:t xml:space="preserve">FSANZ, </w:t>
      </w:r>
      <w:r w:rsidRPr="003D6CB1">
        <w:rPr>
          <w:rFonts w:asciiTheme="minorHAnsi" w:hAnsiTheme="minorHAnsi" w:cstheme="minorHAnsi"/>
          <w:i/>
          <w:sz w:val="18"/>
          <w:szCs w:val="18"/>
        </w:rPr>
        <w:t xml:space="preserve">Final Assessment Report for Proposal P293 – Nutrition, Health &amp; Related Claims, </w:t>
      </w:r>
      <w:hyperlink r:id="rId23" w:history="1">
        <w:r w:rsidRPr="003D6CB1">
          <w:rPr>
            <w:rStyle w:val="Hyperlink"/>
            <w:rFonts w:asciiTheme="minorHAnsi" w:hAnsiTheme="minorHAnsi" w:cstheme="minorHAnsi"/>
            <w:i/>
            <w:sz w:val="18"/>
            <w:szCs w:val="18"/>
          </w:rPr>
          <w:t>Attachment 6: General Level Health Claims</w:t>
        </w:r>
      </w:hyperlink>
    </w:p>
  </w:footnote>
  <w:footnote w:id="156">
    <w:p w14:paraId="4FD6EBA7" w14:textId="77777777" w:rsidR="00E254FE" w:rsidRPr="00363447" w:rsidRDefault="00E254FE" w:rsidP="00F37134">
      <w:pPr>
        <w:pStyle w:val="NoSpacing"/>
        <w:rPr>
          <w:rFonts w:cstheme="minorHAnsi"/>
          <w:sz w:val="20"/>
          <w:szCs w:val="20"/>
        </w:rPr>
      </w:pPr>
      <w:r w:rsidRPr="00C14D9F">
        <w:rPr>
          <w:sz w:val="18"/>
          <w:szCs w:val="18"/>
          <w:vertAlign w:val="superscript"/>
        </w:rPr>
        <w:footnoteRef/>
      </w:r>
      <w:r w:rsidRPr="00C14D9F">
        <w:rPr>
          <w:sz w:val="18"/>
          <w:szCs w:val="18"/>
          <w:vertAlign w:val="superscript"/>
        </w:rPr>
        <w:t xml:space="preserve"> </w:t>
      </w:r>
      <w:r w:rsidRPr="00C14D9F">
        <w:rPr>
          <w:sz w:val="18"/>
          <w:szCs w:val="18"/>
        </w:rPr>
        <w:t>Hess, J</w:t>
      </w:r>
      <w:r>
        <w:rPr>
          <w:sz w:val="18"/>
          <w:szCs w:val="18"/>
        </w:rPr>
        <w:t>,</w:t>
      </w:r>
      <w:r w:rsidRPr="00C14D9F">
        <w:rPr>
          <w:sz w:val="18"/>
          <w:szCs w:val="18"/>
        </w:rPr>
        <w:t xml:space="preserve"> Latulippe, M</w:t>
      </w:r>
      <w:r>
        <w:rPr>
          <w:sz w:val="18"/>
          <w:szCs w:val="18"/>
        </w:rPr>
        <w:t>,</w:t>
      </w:r>
      <w:r w:rsidRPr="00C14D9F">
        <w:rPr>
          <w:sz w:val="18"/>
          <w:szCs w:val="18"/>
        </w:rPr>
        <w:t xml:space="preserve"> Ayoob, K</w:t>
      </w:r>
      <w:r>
        <w:rPr>
          <w:sz w:val="18"/>
          <w:szCs w:val="18"/>
        </w:rPr>
        <w:t>,</w:t>
      </w:r>
      <w:r w:rsidRPr="00C14D9F">
        <w:rPr>
          <w:sz w:val="18"/>
          <w:szCs w:val="18"/>
        </w:rPr>
        <w:t xml:space="preserve"> Slavin, J</w:t>
      </w:r>
      <w:r>
        <w:rPr>
          <w:sz w:val="18"/>
          <w:szCs w:val="18"/>
        </w:rPr>
        <w:t>, 2012</w:t>
      </w:r>
      <w:r w:rsidRPr="00C14D9F">
        <w:rPr>
          <w:sz w:val="18"/>
          <w:szCs w:val="18"/>
        </w:rPr>
        <w:t xml:space="preserve"> </w:t>
      </w:r>
      <w:r>
        <w:rPr>
          <w:sz w:val="18"/>
          <w:szCs w:val="18"/>
        </w:rPr>
        <w:t>‘</w:t>
      </w:r>
      <w:r w:rsidRPr="00C14D9F">
        <w:rPr>
          <w:sz w:val="18"/>
          <w:szCs w:val="18"/>
        </w:rPr>
        <w:t>The confusing world of dietary sugars: Definitions, intakes, food sources and international dietary recommendations</w:t>
      </w:r>
      <w:r>
        <w:rPr>
          <w:sz w:val="18"/>
          <w:szCs w:val="18"/>
        </w:rPr>
        <w:t>’</w:t>
      </w:r>
      <w:r w:rsidRPr="00C14D9F">
        <w:rPr>
          <w:sz w:val="18"/>
          <w:szCs w:val="18"/>
        </w:rPr>
        <w:t xml:space="preserve"> </w:t>
      </w:r>
      <w:r w:rsidRPr="00C14D9F">
        <w:rPr>
          <w:i/>
          <w:sz w:val="18"/>
          <w:szCs w:val="18"/>
        </w:rPr>
        <w:t>Food Funct</w:t>
      </w:r>
      <w:r w:rsidRPr="00C14D9F">
        <w:rPr>
          <w:sz w:val="18"/>
          <w:szCs w:val="18"/>
        </w:rPr>
        <w:t>.</w:t>
      </w:r>
      <w:r>
        <w:rPr>
          <w:sz w:val="18"/>
          <w:szCs w:val="18"/>
        </w:rPr>
        <w:t xml:space="preserve">, vol </w:t>
      </w:r>
      <w:r w:rsidRPr="00C14D9F">
        <w:rPr>
          <w:sz w:val="18"/>
          <w:szCs w:val="18"/>
        </w:rPr>
        <w:t>3,</w:t>
      </w:r>
      <w:r>
        <w:rPr>
          <w:sz w:val="18"/>
          <w:szCs w:val="18"/>
        </w:rPr>
        <w:t xml:space="preserve"> pp.</w:t>
      </w:r>
      <w:r w:rsidRPr="00C14D9F">
        <w:rPr>
          <w:sz w:val="18"/>
          <w:szCs w:val="18"/>
        </w:rPr>
        <w:t xml:space="preserve"> 477–486</w:t>
      </w:r>
      <w:r>
        <w:rPr>
          <w:sz w:val="18"/>
          <w:szCs w:val="18"/>
        </w:rPr>
        <w:t>.</w:t>
      </w:r>
    </w:p>
  </w:footnote>
  <w:footnote w:id="157">
    <w:p w14:paraId="031B3F96" w14:textId="77777777" w:rsidR="00E254FE" w:rsidRPr="0026002A" w:rsidRDefault="00E254FE" w:rsidP="00F37134">
      <w:pPr>
        <w:pStyle w:val="FootnoteText"/>
      </w:pPr>
      <w:r w:rsidRPr="00C14D9F">
        <w:rPr>
          <w:rStyle w:val="FootnoteReference"/>
          <w:szCs w:val="18"/>
        </w:rPr>
        <w:footnoteRef/>
      </w:r>
      <w:r w:rsidRPr="00C14D9F">
        <w:t xml:space="preserve"> Food Regulation Secretariat, Joint Food Regulation System, 2018, </w:t>
      </w:r>
      <w:r w:rsidRPr="00C14D9F">
        <w:rPr>
          <w:i/>
        </w:rPr>
        <w:t>Consultation Regulation Impact Statement: Labelling of sugars on packaged foods and drinks</w:t>
      </w:r>
      <w:r w:rsidRPr="00C14D9F">
        <w:t>, Department of Health</w:t>
      </w:r>
      <w:r>
        <w:t>.</w:t>
      </w:r>
    </w:p>
  </w:footnote>
  <w:footnote w:id="158">
    <w:p w14:paraId="47630FC5" w14:textId="77777777" w:rsidR="00E254FE" w:rsidRPr="00363447" w:rsidRDefault="00E254FE" w:rsidP="00F37134">
      <w:pPr>
        <w:pStyle w:val="FootnoteText"/>
      </w:pPr>
      <w:r w:rsidRPr="0017608D">
        <w:rPr>
          <w:vertAlign w:val="superscript"/>
        </w:rPr>
        <w:footnoteRef/>
      </w:r>
      <w:r w:rsidRPr="0017608D">
        <w:rPr>
          <w:vertAlign w:val="superscript"/>
        </w:rPr>
        <w:t xml:space="preserve"> </w:t>
      </w:r>
      <w:r w:rsidRPr="00363447">
        <w:t>National Health and Medical Research Council, 2017, Nutrient Reference Values for Australia and New Zealand Including Recommended Dietary Intakes version 1.2</w:t>
      </w:r>
    </w:p>
  </w:footnote>
  <w:footnote w:id="159">
    <w:p w14:paraId="3E60CDD6" w14:textId="77777777" w:rsidR="00E254FE" w:rsidRPr="00363447" w:rsidRDefault="00E254FE" w:rsidP="00F37134">
      <w:pPr>
        <w:pStyle w:val="FootnoteText"/>
      </w:pPr>
      <w:r w:rsidRPr="00363447">
        <w:rPr>
          <w:rStyle w:val="FootnoteReference"/>
          <w:szCs w:val="18"/>
        </w:rPr>
        <w:footnoteRef/>
      </w:r>
      <w:r w:rsidRPr="00363447">
        <w:t xml:space="preserve"> </w:t>
      </w:r>
      <w:r w:rsidRPr="00980BD1">
        <w:t>FSANZ</w:t>
      </w:r>
      <w:r w:rsidRPr="00363447">
        <w:t xml:space="preserve">, 2018, </w:t>
      </w:r>
      <w:hyperlink r:id="rId24" w:history="1">
        <w:r w:rsidRPr="00363447">
          <w:rPr>
            <w:rStyle w:val="Hyperlink"/>
            <w:i/>
            <w:szCs w:val="18"/>
          </w:rPr>
          <w:t>P1047 – Review of regulatory nutrient reference values</w:t>
        </w:r>
      </w:hyperlink>
      <w:r w:rsidRPr="00363447">
        <w:t>, accessed 29 January 2019.</w:t>
      </w:r>
    </w:p>
  </w:footnote>
  <w:footnote w:id="160">
    <w:p w14:paraId="26325F39" w14:textId="5BA63076" w:rsidR="00E254FE" w:rsidRDefault="00E254FE">
      <w:pPr>
        <w:pStyle w:val="FootnoteText"/>
      </w:pPr>
      <w:r>
        <w:rPr>
          <w:rStyle w:val="FootnoteReference"/>
        </w:rPr>
        <w:footnoteRef/>
      </w:r>
      <w:r>
        <w:t xml:space="preserve"> TAG technical paper, October 2018, </w:t>
      </w:r>
      <w:r w:rsidRPr="003039F9">
        <w:rPr>
          <w:i/>
          <w:iCs/>
        </w:rPr>
        <w:t>Salty snacks and hot potato products</w:t>
      </w:r>
      <w:r>
        <w:t>, p. 6-11.</w:t>
      </w:r>
    </w:p>
  </w:footnote>
  <w:footnote w:id="161">
    <w:p w14:paraId="22C57059" w14:textId="77777777" w:rsidR="00E254FE" w:rsidRPr="00396ECE" w:rsidRDefault="00E254FE" w:rsidP="00F37134">
      <w:pPr>
        <w:autoSpaceDE w:val="0"/>
        <w:autoSpaceDN w:val="0"/>
        <w:adjustRightInd w:val="0"/>
      </w:pPr>
      <w:r w:rsidRPr="00396ECE">
        <w:rPr>
          <w:rStyle w:val="FootnoteReference"/>
        </w:rPr>
        <w:footnoteRef/>
      </w:r>
      <w:r w:rsidRPr="00396ECE">
        <w:t xml:space="preserve"> </w:t>
      </w:r>
      <w:r w:rsidRPr="00396ECE">
        <w:rPr>
          <w:rFonts w:cstheme="minorHAnsi"/>
          <w:sz w:val="18"/>
          <w:szCs w:val="18"/>
          <w:lang w:val="en-US"/>
        </w:rPr>
        <w:t xml:space="preserve">Salas MMS, Nascimento GG, Vargas-Ferreira F, Tarquinio SBC, Huysmans MCDNJM, Demarco FF. 2015 ‘Diet influenced tooth erosion prevalence in children and adolescents: Results of a meta-analysis and meta-regression’ </w:t>
      </w:r>
      <w:r w:rsidRPr="00396ECE">
        <w:rPr>
          <w:rFonts w:cstheme="minorHAnsi"/>
          <w:i/>
          <w:sz w:val="18"/>
          <w:szCs w:val="18"/>
          <w:lang w:val="en-US"/>
        </w:rPr>
        <w:t>J Dent</w:t>
      </w:r>
      <w:r w:rsidRPr="00396ECE">
        <w:rPr>
          <w:rFonts w:cstheme="minorHAnsi"/>
          <w:sz w:val="18"/>
          <w:szCs w:val="18"/>
          <w:lang w:val="en-US"/>
        </w:rPr>
        <w:t>., vol. 43, no. 8, pp. 865-75.</w:t>
      </w:r>
    </w:p>
  </w:footnote>
  <w:footnote w:id="162">
    <w:p w14:paraId="0B73C580" w14:textId="77777777" w:rsidR="00E254FE" w:rsidRDefault="00E254FE" w:rsidP="00F37134">
      <w:pPr>
        <w:autoSpaceDE w:val="0"/>
        <w:autoSpaceDN w:val="0"/>
        <w:adjustRightInd w:val="0"/>
      </w:pPr>
      <w:r w:rsidRPr="00396ECE">
        <w:rPr>
          <w:rStyle w:val="FootnoteReference"/>
        </w:rPr>
        <w:footnoteRef/>
      </w:r>
      <w:r w:rsidRPr="00396ECE">
        <w:t xml:space="preserve"> </w:t>
      </w:r>
      <w:r w:rsidRPr="00396ECE">
        <w:rPr>
          <w:rFonts w:cstheme="minorHAnsi"/>
          <w:sz w:val="18"/>
          <w:szCs w:val="18"/>
          <w:lang w:val="en-US"/>
        </w:rPr>
        <w:t xml:space="preserve">Imamura F, O'Connor L, Ye Z, Mursu J, Hayashino Y, Bhupathiraju SN, et al. 2016 ‘Consumption of sugar sweetened beverages, artificially sweetened beverages, and fruit juice and incidence of type 2 diabetes: systematic review, meta-analysis, and estimation of population attributable fraction’ </w:t>
      </w:r>
      <w:r w:rsidRPr="00396ECE">
        <w:rPr>
          <w:rFonts w:cstheme="minorHAnsi"/>
          <w:i/>
          <w:sz w:val="18"/>
          <w:szCs w:val="18"/>
          <w:lang w:val="en-US"/>
        </w:rPr>
        <w:t>Br J Sports Med</w:t>
      </w:r>
      <w:r w:rsidRPr="00396ECE">
        <w:rPr>
          <w:rFonts w:cstheme="minorHAnsi"/>
          <w:sz w:val="18"/>
          <w:szCs w:val="18"/>
          <w:lang w:val="en-US"/>
        </w:rPr>
        <w:t>., vol. 50, no. 8, pp. 496-504.</w:t>
      </w:r>
    </w:p>
  </w:footnote>
  <w:footnote w:id="163">
    <w:p w14:paraId="736C77B2" w14:textId="77777777" w:rsidR="00E254FE" w:rsidRDefault="00E254FE" w:rsidP="00F37134">
      <w:pPr>
        <w:pStyle w:val="FootnoteText"/>
      </w:pPr>
      <w:r>
        <w:rPr>
          <w:rStyle w:val="FootnoteReference"/>
        </w:rPr>
        <w:footnoteRef/>
      </w:r>
      <w:r>
        <w:t xml:space="preserve"> </w:t>
      </w:r>
      <w:r w:rsidRPr="00C14D9F">
        <w:t xml:space="preserve">NHMRC 2013 </w:t>
      </w:r>
      <w:hyperlink r:id="rId25" w:history="1">
        <w:r w:rsidRPr="00FC6833">
          <w:rPr>
            <w:rStyle w:val="Hyperlink"/>
            <w:i/>
            <w:szCs w:val="18"/>
          </w:rPr>
          <w:t>Australian Dietary Guidelines (2013)</w:t>
        </w:r>
      </w:hyperlink>
      <w:r>
        <w:t>,</w:t>
      </w:r>
      <w:r w:rsidRPr="00C14D9F">
        <w:t xml:space="preserve"> </w:t>
      </w:r>
      <w:r>
        <w:t>p. 145, a</w:t>
      </w:r>
      <w:r w:rsidRPr="00C14D9F">
        <w:t>ccessed 10 January 2018</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2AC00C" w14:textId="77777777" w:rsidR="00E254FE" w:rsidRDefault="00E254FE" w:rsidP="00B36208">
    <w:pPr>
      <w:pStyle w:val="Header"/>
      <w:jc w:val="right"/>
      <w:rPr>
        <w:rFonts w:ascii="Cambria" w:hAnsi="Cambria"/>
        <w:b/>
        <w:sz w:val="20"/>
        <w:szCs w:val="20"/>
      </w:rPr>
    </w:pPr>
    <w:r>
      <w:rPr>
        <w:rFonts w:ascii="Cambria" w:hAnsi="Cambria"/>
        <w:b/>
        <w:noProof/>
        <w:sz w:val="20"/>
        <w:szCs w:val="20"/>
        <w:lang w:eastAsia="en-AU"/>
      </w:rPr>
      <w:drawing>
        <wp:inline distT="0" distB="0" distL="0" distR="0" wp14:anchorId="1AB4B257" wp14:editId="18279AA3">
          <wp:extent cx="1454468" cy="255793"/>
          <wp:effectExtent l="0" t="0" r="0" b="0"/>
          <wp:docPr id="44" name="Picture 44" descr="mp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pc-logo grey green.jpg"/>
                  <pic:cNvPicPr/>
                </pic:nvPicPr>
                <pic:blipFill>
                  <a:blip r:embed="rId1">
                    <a:extLst>
                      <a:ext uri="{28A0092B-C50C-407E-A947-70E740481C1C}">
                        <a14:useLocalDpi xmlns:a14="http://schemas.microsoft.com/office/drawing/2010/main" val="0"/>
                      </a:ext>
                    </a:extLst>
                  </a:blip>
                  <a:stretch>
                    <a:fillRect/>
                  </a:stretch>
                </pic:blipFill>
                <pic:spPr>
                  <a:xfrm>
                    <a:off x="0" y="0"/>
                    <a:ext cx="1530715" cy="269202"/>
                  </a:xfrm>
                  <a:prstGeom prst="rect">
                    <a:avLst/>
                  </a:prstGeom>
                </pic:spPr>
              </pic:pic>
            </a:graphicData>
          </a:graphic>
        </wp:inline>
      </w:drawing>
    </w:r>
  </w:p>
  <w:p w14:paraId="00164DA0" w14:textId="77777777" w:rsidR="00E254FE" w:rsidRPr="002C2A25" w:rsidRDefault="00E254FE" w:rsidP="00B36208">
    <w:pPr>
      <w:pStyle w:val="Header"/>
      <w:rPr>
        <w:rFonts w:ascii="Cambria" w:hAnsi="Cambria"/>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BD84250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BE3038"/>
    <w:multiLevelType w:val="hybridMultilevel"/>
    <w:tmpl w:val="06B230E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12816C3"/>
    <w:multiLevelType w:val="hybridMultilevel"/>
    <w:tmpl w:val="D0E2EC06"/>
    <w:lvl w:ilvl="0" w:tplc="6B5AB52C">
      <w:start w:val="1"/>
      <w:numFmt w:val="bullet"/>
      <w:pStyle w:val="FSBullet"/>
      <w:lvlText w:val=""/>
      <w:lvlJc w:val="left"/>
      <w:pPr>
        <w:ind w:left="720" w:hanging="360"/>
      </w:pPr>
      <w:rPr>
        <w:rFonts w:ascii="Symbol" w:hAnsi="Symbol" w:hint="default"/>
        <w:sz w:val="22"/>
      </w:rPr>
    </w:lvl>
    <w:lvl w:ilvl="1" w:tplc="0C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E607DC"/>
    <w:multiLevelType w:val="hybridMultilevel"/>
    <w:tmpl w:val="5CEE92D2"/>
    <w:lvl w:ilvl="0" w:tplc="04090001">
      <w:start w:val="1"/>
      <w:numFmt w:val="bullet"/>
      <w:lvlText w:val=""/>
      <w:lvlJc w:val="left"/>
      <w:pPr>
        <w:ind w:left="360" w:hanging="360"/>
      </w:pPr>
      <w:rPr>
        <w:rFonts w:ascii="Symbol" w:hAnsi="Symbol" w:hint="default"/>
      </w:rPr>
    </w:lvl>
    <w:lvl w:ilvl="1" w:tplc="81704BC2">
      <w:start w:val="1"/>
      <w:numFmt w:val="decimal"/>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5E01D7F"/>
    <w:multiLevelType w:val="hybridMultilevel"/>
    <w:tmpl w:val="FDB82CDE"/>
    <w:lvl w:ilvl="0" w:tplc="9B4C3D8E">
      <w:start w:val="1"/>
      <w:numFmt w:val="decimal"/>
      <w:lvlText w:val="%1."/>
      <w:lvlJc w:val="left"/>
      <w:pPr>
        <w:ind w:left="360" w:hanging="360"/>
      </w:pPr>
      <w:rPr>
        <w:rFonts w:hint="default"/>
        <w:b/>
      </w:rPr>
    </w:lvl>
    <w:lvl w:ilvl="1" w:tplc="0C090001">
      <w:start w:val="1"/>
      <w:numFmt w:val="bullet"/>
      <w:lvlText w:val=""/>
      <w:lvlJc w:val="left"/>
      <w:pPr>
        <w:ind w:left="1080" w:hanging="360"/>
      </w:pPr>
      <w:rPr>
        <w:rFonts w:ascii="Symbol" w:hAnsi="Symbol"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AF46776"/>
    <w:multiLevelType w:val="hybridMultilevel"/>
    <w:tmpl w:val="DFF42E98"/>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356CF3"/>
    <w:multiLevelType w:val="hybridMultilevel"/>
    <w:tmpl w:val="095EA4EE"/>
    <w:lvl w:ilvl="0" w:tplc="CEE82A64">
      <w:start w:val="1"/>
      <w:numFmt w:val="decimal"/>
      <w:pStyle w:val="mpcnumberedlist1"/>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FED3151"/>
    <w:multiLevelType w:val="hybridMultilevel"/>
    <w:tmpl w:val="B4F49D6A"/>
    <w:lvl w:ilvl="0" w:tplc="820C9EF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04D7CCF"/>
    <w:multiLevelType w:val="hybridMultilevel"/>
    <w:tmpl w:val="A44A24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3597B62"/>
    <w:multiLevelType w:val="hybridMultilevel"/>
    <w:tmpl w:val="FAC62F22"/>
    <w:lvl w:ilvl="0" w:tplc="8A80B146">
      <w:start w:val="1"/>
      <w:numFmt w:val="decimal"/>
      <w:lvlText w:val="%1."/>
      <w:lvlJc w:val="left"/>
      <w:pPr>
        <w:ind w:left="360" w:hanging="360"/>
      </w:pPr>
      <w:rPr>
        <w:b/>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4DB54F8"/>
    <w:multiLevelType w:val="hybridMultilevel"/>
    <w:tmpl w:val="ED94F920"/>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99348FA"/>
    <w:multiLevelType w:val="hybridMultilevel"/>
    <w:tmpl w:val="DDB86B3A"/>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DAE41DB"/>
    <w:multiLevelType w:val="hybridMultilevel"/>
    <w:tmpl w:val="5C3E125E"/>
    <w:lvl w:ilvl="0" w:tplc="8C506B3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F4260D9"/>
    <w:multiLevelType w:val="hybridMultilevel"/>
    <w:tmpl w:val="3CDE5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7C5614"/>
    <w:multiLevelType w:val="hybridMultilevel"/>
    <w:tmpl w:val="A56004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1B43A49"/>
    <w:multiLevelType w:val="hybridMultilevel"/>
    <w:tmpl w:val="9EA0F5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3250199"/>
    <w:multiLevelType w:val="hybridMultilevel"/>
    <w:tmpl w:val="61767060"/>
    <w:lvl w:ilvl="0" w:tplc="A93018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3D0055"/>
    <w:multiLevelType w:val="hybridMultilevel"/>
    <w:tmpl w:val="C0F6470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9607C18"/>
    <w:multiLevelType w:val="hybridMultilevel"/>
    <w:tmpl w:val="D65C361C"/>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9E917EE"/>
    <w:multiLevelType w:val="hybridMultilevel"/>
    <w:tmpl w:val="8604E022"/>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E83201B"/>
    <w:multiLevelType w:val="hybridMultilevel"/>
    <w:tmpl w:val="CC1A85CA"/>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4794508"/>
    <w:multiLevelType w:val="hybridMultilevel"/>
    <w:tmpl w:val="09F2D0DA"/>
    <w:lvl w:ilvl="0" w:tplc="BB7C2CF6">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9BA63CF"/>
    <w:multiLevelType w:val="hybridMultilevel"/>
    <w:tmpl w:val="AEEC2E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3BD63B9A"/>
    <w:multiLevelType w:val="hybridMultilevel"/>
    <w:tmpl w:val="6AF22E04"/>
    <w:lvl w:ilvl="0" w:tplc="0C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CE44268"/>
    <w:multiLevelType w:val="hybridMultilevel"/>
    <w:tmpl w:val="BA6EB1D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EFC05EC"/>
    <w:multiLevelType w:val="hybridMultilevel"/>
    <w:tmpl w:val="FBE89E44"/>
    <w:lvl w:ilvl="0" w:tplc="1DAA6CE2">
      <w:start w:val="1"/>
      <w:numFmt w:val="lowerLetter"/>
      <w:pStyle w:val="mpcnumberedlist2"/>
      <w:lvlText w:val="%1."/>
      <w:lvlJc w:val="left"/>
      <w:pPr>
        <w:ind w:left="717" w:hanging="360"/>
      </w:pPr>
      <w:rPr>
        <w:rFonts w:hint="default"/>
      </w:rPr>
    </w:lvl>
    <w:lvl w:ilvl="1" w:tplc="74789970">
      <w:start w:val="1"/>
      <w:numFmt w:val="bullet"/>
      <w:lvlText w:val=""/>
      <w:lvlJc w:val="left"/>
      <w:pPr>
        <w:ind w:left="1437" w:hanging="360"/>
      </w:pPr>
      <w:rPr>
        <w:rFonts w:ascii="Symbol" w:hAnsi="Symbol"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6" w15:restartNumberingAfterBreak="0">
    <w:nsid w:val="40D860DA"/>
    <w:multiLevelType w:val="hybridMultilevel"/>
    <w:tmpl w:val="009002C8"/>
    <w:lvl w:ilvl="0" w:tplc="3586A482">
      <w:start w:val="1"/>
      <w:numFmt w:val="bullet"/>
      <w:lvlText w:val="–"/>
      <w:lvlJc w:val="left"/>
      <w:pPr>
        <w:ind w:left="720" w:hanging="360"/>
      </w:pPr>
      <w:rPr>
        <w:rFonts w:ascii="Cambria" w:hAnsi="Cambria"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420C09"/>
    <w:multiLevelType w:val="hybridMultilevel"/>
    <w:tmpl w:val="0D20DB72"/>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5B32BAD"/>
    <w:multiLevelType w:val="hybridMultilevel"/>
    <w:tmpl w:val="A5007A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7856AA5"/>
    <w:multiLevelType w:val="hybridMultilevel"/>
    <w:tmpl w:val="F8C096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AE74DBE"/>
    <w:multiLevelType w:val="hybridMultilevel"/>
    <w:tmpl w:val="8F227B04"/>
    <w:lvl w:ilvl="0" w:tplc="E5D4AB2A">
      <w:start w:val="1"/>
      <w:numFmt w:val="bullet"/>
      <w:pStyle w:val="mpcbullets1"/>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B9723E3"/>
    <w:multiLevelType w:val="hybridMultilevel"/>
    <w:tmpl w:val="D9AC535E"/>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E67795F"/>
    <w:multiLevelType w:val="hybridMultilevel"/>
    <w:tmpl w:val="FCF4CF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FE37C74"/>
    <w:multiLevelType w:val="multilevel"/>
    <w:tmpl w:val="9DFAF432"/>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34" w15:restartNumberingAfterBreak="0">
    <w:nsid w:val="54BB504D"/>
    <w:multiLevelType w:val="hybridMultilevel"/>
    <w:tmpl w:val="DC9A80C0"/>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5DF06DF"/>
    <w:multiLevelType w:val="hybridMultilevel"/>
    <w:tmpl w:val="992A6186"/>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573E379E"/>
    <w:multiLevelType w:val="hybridMultilevel"/>
    <w:tmpl w:val="713A58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7BA3DDC"/>
    <w:multiLevelType w:val="hybridMultilevel"/>
    <w:tmpl w:val="C59A458A"/>
    <w:lvl w:ilvl="0" w:tplc="7438F83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9A305CA"/>
    <w:multiLevelType w:val="hybridMultilevel"/>
    <w:tmpl w:val="E02EBE0E"/>
    <w:lvl w:ilvl="0" w:tplc="B4000A66">
      <w:start w:val="20"/>
      <w:numFmt w:val="bullet"/>
      <w:pStyle w:val="mpcbullets2"/>
      <w:lvlText w:val="–"/>
      <w:lvlJc w:val="left"/>
      <w:pPr>
        <w:ind w:left="720" w:hanging="360"/>
      </w:pPr>
      <w:rPr>
        <w:rFonts w:ascii="Times New Roman" w:eastAsia="Times New Roman" w:hAnsi="Times New Roman" w:cs="Times New Roman" w:hint="default"/>
      </w:rPr>
    </w:lvl>
    <w:lvl w:ilvl="1" w:tplc="7A36FB6C">
      <w:start w:val="20"/>
      <w:numFmt w:val="bullet"/>
      <w:lvlText w:val="–"/>
      <w:lvlJc w:val="left"/>
      <w:pPr>
        <w:ind w:left="1440" w:hanging="360"/>
      </w:pPr>
      <w:rPr>
        <w:rFonts w:ascii="Times New Roman" w:eastAsia="Times New Roman" w:hAnsi="Times New Roman" w:cs="Times New Roman" w:hint="default"/>
      </w:rPr>
    </w:lvl>
    <w:lvl w:ilvl="2" w:tplc="0C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6510BD1"/>
    <w:multiLevelType w:val="hybridMultilevel"/>
    <w:tmpl w:val="DF2C56C4"/>
    <w:lvl w:ilvl="0" w:tplc="0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7057D71"/>
    <w:multiLevelType w:val="hybridMultilevel"/>
    <w:tmpl w:val="435A4B40"/>
    <w:lvl w:ilvl="0" w:tplc="04090001">
      <w:start w:val="1"/>
      <w:numFmt w:val="bullet"/>
      <w:lvlText w:val=""/>
      <w:lvlJc w:val="left"/>
      <w:pPr>
        <w:ind w:left="360" w:hanging="360"/>
      </w:pPr>
      <w:rPr>
        <w:rFonts w:ascii="Symbol" w:hAnsi="Symbol" w:hint="default"/>
      </w:rPr>
    </w:lvl>
    <w:lvl w:ilvl="1" w:tplc="7A36FB6C">
      <w:start w:val="20"/>
      <w:numFmt w:val="bullet"/>
      <w:lvlText w:val="–"/>
      <w:lvlJc w:val="left"/>
      <w:pPr>
        <w:ind w:left="1080" w:hanging="360"/>
      </w:pPr>
      <w:rPr>
        <w:rFonts w:ascii="Times New Roman" w:eastAsia="Times New Roman"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9FA6252"/>
    <w:multiLevelType w:val="hybridMultilevel"/>
    <w:tmpl w:val="7C2E70F0"/>
    <w:lvl w:ilvl="0" w:tplc="FFB8C984">
      <w:start w:val="1"/>
      <w:numFmt w:val="bullet"/>
      <w:lvlText w:val=""/>
      <w:lvlJc w:val="left"/>
      <w:pPr>
        <w:ind w:left="360" w:hanging="360"/>
      </w:pPr>
      <w:rPr>
        <w:rFonts w:ascii="Symbol" w:hAnsi="Symbol" w:hint="default"/>
        <w:b w:val="0"/>
        <w:color w:val="000000" w:themeColor="text1"/>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6DD55926"/>
    <w:multiLevelType w:val="hybridMultilevel"/>
    <w:tmpl w:val="A224A9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0B93A7D"/>
    <w:multiLevelType w:val="hybridMultilevel"/>
    <w:tmpl w:val="871A9380"/>
    <w:lvl w:ilvl="0" w:tplc="0C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57139BD"/>
    <w:multiLevelType w:val="multilevel"/>
    <w:tmpl w:val="B4B06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76D057EE"/>
    <w:multiLevelType w:val="hybridMultilevel"/>
    <w:tmpl w:val="0E44C7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95B6613"/>
    <w:multiLevelType w:val="hybridMultilevel"/>
    <w:tmpl w:val="8BD4D0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CD31109"/>
    <w:multiLevelType w:val="hybridMultilevel"/>
    <w:tmpl w:val="E9B42E8A"/>
    <w:lvl w:ilvl="0" w:tplc="3586A482">
      <w:start w:val="1"/>
      <w:numFmt w:val="bullet"/>
      <w:lvlText w:val="–"/>
      <w:lvlJc w:val="left"/>
      <w:pPr>
        <w:ind w:left="360" w:hanging="360"/>
      </w:pPr>
      <w:rPr>
        <w:rFonts w:ascii="Cambria" w:hAnsi="Cambria" w:hint="default"/>
        <w:b w:val="0"/>
        <w:color w:val="000000" w:themeColor="text1"/>
      </w:rPr>
    </w:lvl>
    <w:lvl w:ilvl="1" w:tplc="D890C9B6">
      <w:start w:val="1"/>
      <w:numFmt w:val="bullet"/>
      <w:pStyle w:val="mpcbullets3"/>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DF57A22"/>
    <w:multiLevelType w:val="hybridMultilevel"/>
    <w:tmpl w:val="62CE0D3E"/>
    <w:lvl w:ilvl="0" w:tplc="04090001">
      <w:start w:val="1"/>
      <w:numFmt w:val="bullet"/>
      <w:lvlText w:val=""/>
      <w:lvlJc w:val="left"/>
      <w:pPr>
        <w:ind w:left="360" w:hanging="360"/>
      </w:pPr>
      <w:rPr>
        <w:rFonts w:ascii="Symbol" w:hAnsi="Symbol" w:hint="default"/>
      </w:rPr>
    </w:lvl>
    <w:lvl w:ilvl="1" w:tplc="31168912">
      <w:start w:val="20"/>
      <w:numFmt w:val="bullet"/>
      <w:lvlText w:val="–"/>
      <w:lvlJc w:val="left"/>
      <w:pPr>
        <w:ind w:left="1080" w:hanging="360"/>
      </w:pPr>
      <w:rPr>
        <w:rFonts w:ascii="Times New Roman" w:eastAsia="Times New Roman" w:hAnsi="Times New Roman" w:cs="Times New Roman" w:hint="default"/>
      </w:rPr>
    </w:lvl>
    <w:lvl w:ilvl="2" w:tplc="0C090003">
      <w:start w:val="1"/>
      <w:numFmt w:val="bullet"/>
      <w:lvlText w:val="o"/>
      <w:lvlJc w:val="left"/>
      <w:pPr>
        <w:ind w:left="1800" w:hanging="360"/>
      </w:pPr>
      <w:rPr>
        <w:rFonts w:ascii="Courier New" w:hAnsi="Courier New" w:cs="Courier New"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967127897">
    <w:abstractNumId w:val="6"/>
  </w:num>
  <w:num w:numId="2" w16cid:durableId="135342775">
    <w:abstractNumId w:val="25"/>
  </w:num>
  <w:num w:numId="3" w16cid:durableId="1425302639">
    <w:abstractNumId w:val="33"/>
  </w:num>
  <w:num w:numId="4" w16cid:durableId="123157320">
    <w:abstractNumId w:val="48"/>
  </w:num>
  <w:num w:numId="5" w16cid:durableId="591469955">
    <w:abstractNumId w:val="39"/>
  </w:num>
  <w:num w:numId="6" w16cid:durableId="606427530">
    <w:abstractNumId w:val="9"/>
  </w:num>
  <w:num w:numId="7" w16cid:durableId="621114647">
    <w:abstractNumId w:val="30"/>
  </w:num>
  <w:num w:numId="8" w16cid:durableId="1150753186">
    <w:abstractNumId w:val="12"/>
  </w:num>
  <w:num w:numId="9" w16cid:durableId="1484003280">
    <w:abstractNumId w:val="46"/>
  </w:num>
  <w:num w:numId="10" w16cid:durableId="1726760566">
    <w:abstractNumId w:val="4"/>
  </w:num>
  <w:num w:numId="11" w16cid:durableId="298733143">
    <w:abstractNumId w:val="20"/>
  </w:num>
  <w:num w:numId="12" w16cid:durableId="2035307938">
    <w:abstractNumId w:val="16"/>
  </w:num>
  <w:num w:numId="13" w16cid:durableId="273172710">
    <w:abstractNumId w:val="45"/>
  </w:num>
  <w:num w:numId="14" w16cid:durableId="1183207272">
    <w:abstractNumId w:val="22"/>
  </w:num>
  <w:num w:numId="15" w16cid:durableId="1102143618">
    <w:abstractNumId w:val="17"/>
  </w:num>
  <w:num w:numId="16" w16cid:durableId="1487623355">
    <w:abstractNumId w:val="8"/>
  </w:num>
  <w:num w:numId="17" w16cid:durableId="1974824286">
    <w:abstractNumId w:val="47"/>
  </w:num>
  <w:num w:numId="18" w16cid:durableId="1581594651">
    <w:abstractNumId w:val="41"/>
  </w:num>
  <w:num w:numId="19" w16cid:durableId="1492869869">
    <w:abstractNumId w:val="14"/>
  </w:num>
  <w:num w:numId="20" w16cid:durableId="1377779213">
    <w:abstractNumId w:val="42"/>
  </w:num>
  <w:num w:numId="21" w16cid:durableId="2047752720">
    <w:abstractNumId w:val="24"/>
  </w:num>
  <w:num w:numId="22" w16cid:durableId="246381899">
    <w:abstractNumId w:val="28"/>
  </w:num>
  <w:num w:numId="23" w16cid:durableId="1682707053">
    <w:abstractNumId w:val="32"/>
  </w:num>
  <w:num w:numId="24" w16cid:durableId="1837695480">
    <w:abstractNumId w:val="43"/>
  </w:num>
  <w:num w:numId="25" w16cid:durableId="730343846">
    <w:abstractNumId w:val="19"/>
  </w:num>
  <w:num w:numId="26" w16cid:durableId="2061443256">
    <w:abstractNumId w:val="29"/>
  </w:num>
  <w:num w:numId="27" w16cid:durableId="1665359587">
    <w:abstractNumId w:val="5"/>
  </w:num>
  <w:num w:numId="28" w16cid:durableId="630944886">
    <w:abstractNumId w:val="40"/>
  </w:num>
  <w:num w:numId="29" w16cid:durableId="806820519">
    <w:abstractNumId w:val="2"/>
  </w:num>
  <w:num w:numId="30" w16cid:durableId="1714840658">
    <w:abstractNumId w:val="3"/>
  </w:num>
  <w:num w:numId="31" w16cid:durableId="932669387">
    <w:abstractNumId w:val="34"/>
  </w:num>
  <w:num w:numId="32" w16cid:durableId="1076783488">
    <w:abstractNumId w:val="13"/>
  </w:num>
  <w:num w:numId="33" w16cid:durableId="1550528996">
    <w:abstractNumId w:val="21"/>
  </w:num>
  <w:num w:numId="34" w16cid:durableId="1993556040">
    <w:abstractNumId w:val="36"/>
  </w:num>
  <w:num w:numId="35" w16cid:durableId="593974597">
    <w:abstractNumId w:val="23"/>
  </w:num>
  <w:num w:numId="36" w16cid:durableId="1413619283">
    <w:abstractNumId w:val="31"/>
  </w:num>
  <w:num w:numId="37" w16cid:durableId="144249010">
    <w:abstractNumId w:val="10"/>
  </w:num>
  <w:num w:numId="38" w16cid:durableId="114176022">
    <w:abstractNumId w:val="37"/>
  </w:num>
  <w:num w:numId="39" w16cid:durableId="470637490">
    <w:abstractNumId w:val="35"/>
  </w:num>
  <w:num w:numId="40" w16cid:durableId="717364602">
    <w:abstractNumId w:val="0"/>
  </w:num>
  <w:num w:numId="41" w16cid:durableId="2129158577">
    <w:abstractNumId w:val="11"/>
  </w:num>
  <w:num w:numId="42" w16cid:durableId="1347058465">
    <w:abstractNumId w:val="18"/>
  </w:num>
  <w:num w:numId="43" w16cid:durableId="1274171455">
    <w:abstractNumId w:val="38"/>
  </w:num>
  <w:num w:numId="44" w16cid:durableId="306204373">
    <w:abstractNumId w:val="48"/>
  </w:num>
  <w:num w:numId="45" w16cid:durableId="512232827">
    <w:abstractNumId w:val="30"/>
  </w:num>
  <w:num w:numId="46" w16cid:durableId="866521983">
    <w:abstractNumId w:val="30"/>
  </w:num>
  <w:num w:numId="47" w16cid:durableId="408891686">
    <w:abstractNumId w:val="30"/>
  </w:num>
  <w:num w:numId="48" w16cid:durableId="1446804074">
    <w:abstractNumId w:val="27"/>
  </w:num>
  <w:num w:numId="49" w16cid:durableId="666522780">
    <w:abstractNumId w:val="26"/>
  </w:num>
  <w:num w:numId="50" w16cid:durableId="1409384404">
    <w:abstractNumId w:val="44"/>
  </w:num>
  <w:num w:numId="51" w16cid:durableId="650983195">
    <w:abstractNumId w:val="7"/>
  </w:num>
  <w:num w:numId="52" w16cid:durableId="1932929887">
    <w:abstractNumId w:val="1"/>
  </w:num>
  <w:num w:numId="53" w16cid:durableId="968826641">
    <w:abstractNumId w:val="1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activeWritingStyle w:appName="MSWord" w:lang="en-AU" w:vendorID="64" w:dllVersion="4096" w:nlCheck="1" w:checkStyle="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AU" w:vendorID="64" w:dllVersion="6" w:nlCheck="1" w:checkStyle="1"/>
  <w:activeWritingStyle w:appName="MSWord" w:lang="en-GB" w:vendorID="64" w:dllVersion="6" w:nlCheck="1" w:checkStyle="1"/>
  <w:activeWritingStyle w:appName="MSWord" w:lang="en-US" w:vendorID="64" w:dllVersion="6" w:nlCheck="1" w:checkStyle="1"/>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56B3"/>
    <w:rsid w:val="00000266"/>
    <w:rsid w:val="00000934"/>
    <w:rsid w:val="00000D21"/>
    <w:rsid w:val="00003C86"/>
    <w:rsid w:val="00005FAE"/>
    <w:rsid w:val="0000694B"/>
    <w:rsid w:val="00007650"/>
    <w:rsid w:val="00010926"/>
    <w:rsid w:val="00010CF6"/>
    <w:rsid w:val="00012057"/>
    <w:rsid w:val="00012345"/>
    <w:rsid w:val="00012CDE"/>
    <w:rsid w:val="00014C55"/>
    <w:rsid w:val="0002092F"/>
    <w:rsid w:val="00021B10"/>
    <w:rsid w:val="00022A5D"/>
    <w:rsid w:val="00024FD4"/>
    <w:rsid w:val="000254CF"/>
    <w:rsid w:val="00027302"/>
    <w:rsid w:val="00030B3A"/>
    <w:rsid w:val="00030E35"/>
    <w:rsid w:val="000318F2"/>
    <w:rsid w:val="0003295B"/>
    <w:rsid w:val="000329B3"/>
    <w:rsid w:val="000347CF"/>
    <w:rsid w:val="00037EC7"/>
    <w:rsid w:val="00042040"/>
    <w:rsid w:val="00043D4E"/>
    <w:rsid w:val="00044B56"/>
    <w:rsid w:val="00044DB4"/>
    <w:rsid w:val="00047047"/>
    <w:rsid w:val="00050E4E"/>
    <w:rsid w:val="00052B3F"/>
    <w:rsid w:val="00062022"/>
    <w:rsid w:val="00063F3C"/>
    <w:rsid w:val="000645B8"/>
    <w:rsid w:val="00064740"/>
    <w:rsid w:val="00071CC5"/>
    <w:rsid w:val="000777AB"/>
    <w:rsid w:val="000779B8"/>
    <w:rsid w:val="00082063"/>
    <w:rsid w:val="0008334F"/>
    <w:rsid w:val="00090135"/>
    <w:rsid w:val="00090904"/>
    <w:rsid w:val="00091025"/>
    <w:rsid w:val="00091684"/>
    <w:rsid w:val="00095744"/>
    <w:rsid w:val="000A077D"/>
    <w:rsid w:val="000A09A2"/>
    <w:rsid w:val="000A0E35"/>
    <w:rsid w:val="000A22C3"/>
    <w:rsid w:val="000A2E69"/>
    <w:rsid w:val="000A3464"/>
    <w:rsid w:val="000B0350"/>
    <w:rsid w:val="000B2F42"/>
    <w:rsid w:val="000C2CCD"/>
    <w:rsid w:val="000C64AF"/>
    <w:rsid w:val="000C6E56"/>
    <w:rsid w:val="000D0FB9"/>
    <w:rsid w:val="000D1315"/>
    <w:rsid w:val="000D16D8"/>
    <w:rsid w:val="000D5D35"/>
    <w:rsid w:val="000D5F6E"/>
    <w:rsid w:val="000D64E2"/>
    <w:rsid w:val="000E0CA2"/>
    <w:rsid w:val="000E195F"/>
    <w:rsid w:val="000E4260"/>
    <w:rsid w:val="000E5810"/>
    <w:rsid w:val="000F02E6"/>
    <w:rsid w:val="000F2904"/>
    <w:rsid w:val="000F3BFE"/>
    <w:rsid w:val="001016F4"/>
    <w:rsid w:val="001017C5"/>
    <w:rsid w:val="0010360F"/>
    <w:rsid w:val="001071F4"/>
    <w:rsid w:val="00107901"/>
    <w:rsid w:val="0011085C"/>
    <w:rsid w:val="00114310"/>
    <w:rsid w:val="00114AB4"/>
    <w:rsid w:val="00116FEE"/>
    <w:rsid w:val="001177B4"/>
    <w:rsid w:val="00121238"/>
    <w:rsid w:val="001220E4"/>
    <w:rsid w:val="00122130"/>
    <w:rsid w:val="00123A09"/>
    <w:rsid w:val="001272EE"/>
    <w:rsid w:val="00130112"/>
    <w:rsid w:val="001314E6"/>
    <w:rsid w:val="0013165D"/>
    <w:rsid w:val="00133D90"/>
    <w:rsid w:val="001371BA"/>
    <w:rsid w:val="0013787C"/>
    <w:rsid w:val="00141A52"/>
    <w:rsid w:val="001439DA"/>
    <w:rsid w:val="00143F7D"/>
    <w:rsid w:val="00150D25"/>
    <w:rsid w:val="001523DE"/>
    <w:rsid w:val="001530BF"/>
    <w:rsid w:val="00153CBD"/>
    <w:rsid w:val="001611DD"/>
    <w:rsid w:val="00163145"/>
    <w:rsid w:val="001647CF"/>
    <w:rsid w:val="001704C0"/>
    <w:rsid w:val="00173A82"/>
    <w:rsid w:val="00174E49"/>
    <w:rsid w:val="0017589C"/>
    <w:rsid w:val="00175CE9"/>
    <w:rsid w:val="0017608D"/>
    <w:rsid w:val="0018075C"/>
    <w:rsid w:val="00180ED0"/>
    <w:rsid w:val="001824D7"/>
    <w:rsid w:val="00190BE5"/>
    <w:rsid w:val="00196244"/>
    <w:rsid w:val="00196593"/>
    <w:rsid w:val="001975D7"/>
    <w:rsid w:val="001A02FD"/>
    <w:rsid w:val="001A7590"/>
    <w:rsid w:val="001B1041"/>
    <w:rsid w:val="001B1618"/>
    <w:rsid w:val="001B1DA6"/>
    <w:rsid w:val="001B5DEE"/>
    <w:rsid w:val="001B7452"/>
    <w:rsid w:val="001B7536"/>
    <w:rsid w:val="001C4F7D"/>
    <w:rsid w:val="001C7B7D"/>
    <w:rsid w:val="001D2331"/>
    <w:rsid w:val="001D37E4"/>
    <w:rsid w:val="001D5779"/>
    <w:rsid w:val="001D77BC"/>
    <w:rsid w:val="001E1E1A"/>
    <w:rsid w:val="001E4580"/>
    <w:rsid w:val="001F029F"/>
    <w:rsid w:val="001F1A1F"/>
    <w:rsid w:val="001F53B9"/>
    <w:rsid w:val="001F7522"/>
    <w:rsid w:val="002038E8"/>
    <w:rsid w:val="002079F2"/>
    <w:rsid w:val="002168CA"/>
    <w:rsid w:val="00217038"/>
    <w:rsid w:val="002238DB"/>
    <w:rsid w:val="00226420"/>
    <w:rsid w:val="00227074"/>
    <w:rsid w:val="00227857"/>
    <w:rsid w:val="0022792E"/>
    <w:rsid w:val="00230C74"/>
    <w:rsid w:val="00231E21"/>
    <w:rsid w:val="002322C6"/>
    <w:rsid w:val="00235639"/>
    <w:rsid w:val="00235D47"/>
    <w:rsid w:val="0023658A"/>
    <w:rsid w:val="002439E8"/>
    <w:rsid w:val="00243FD7"/>
    <w:rsid w:val="00247967"/>
    <w:rsid w:val="002558E8"/>
    <w:rsid w:val="002614EC"/>
    <w:rsid w:val="0026160D"/>
    <w:rsid w:val="0026483D"/>
    <w:rsid w:val="00265B62"/>
    <w:rsid w:val="002667AD"/>
    <w:rsid w:val="002801A0"/>
    <w:rsid w:val="00282758"/>
    <w:rsid w:val="002862B6"/>
    <w:rsid w:val="00286B78"/>
    <w:rsid w:val="00287EDC"/>
    <w:rsid w:val="0029129A"/>
    <w:rsid w:val="00291DF1"/>
    <w:rsid w:val="00292D23"/>
    <w:rsid w:val="00293816"/>
    <w:rsid w:val="002941A9"/>
    <w:rsid w:val="002963D5"/>
    <w:rsid w:val="002B0455"/>
    <w:rsid w:val="002B279E"/>
    <w:rsid w:val="002B4B45"/>
    <w:rsid w:val="002C3CBC"/>
    <w:rsid w:val="002C5EBB"/>
    <w:rsid w:val="002C70FD"/>
    <w:rsid w:val="002D01CF"/>
    <w:rsid w:val="002D0C2D"/>
    <w:rsid w:val="002D0DD5"/>
    <w:rsid w:val="002D14BA"/>
    <w:rsid w:val="002D5A10"/>
    <w:rsid w:val="002E732B"/>
    <w:rsid w:val="002F0EC0"/>
    <w:rsid w:val="002F15ED"/>
    <w:rsid w:val="002F6706"/>
    <w:rsid w:val="003024ED"/>
    <w:rsid w:val="003039F9"/>
    <w:rsid w:val="0030513A"/>
    <w:rsid w:val="00306C53"/>
    <w:rsid w:val="00313A51"/>
    <w:rsid w:val="00317B7D"/>
    <w:rsid w:val="003221AC"/>
    <w:rsid w:val="003252BF"/>
    <w:rsid w:val="003272AE"/>
    <w:rsid w:val="0032757F"/>
    <w:rsid w:val="003302BD"/>
    <w:rsid w:val="00331057"/>
    <w:rsid w:val="00331DEF"/>
    <w:rsid w:val="00333576"/>
    <w:rsid w:val="00334E5A"/>
    <w:rsid w:val="00335668"/>
    <w:rsid w:val="00336DB3"/>
    <w:rsid w:val="0033730F"/>
    <w:rsid w:val="00340091"/>
    <w:rsid w:val="00340652"/>
    <w:rsid w:val="003418BA"/>
    <w:rsid w:val="00342794"/>
    <w:rsid w:val="00343F09"/>
    <w:rsid w:val="003456BC"/>
    <w:rsid w:val="003501E7"/>
    <w:rsid w:val="003520D6"/>
    <w:rsid w:val="003527A6"/>
    <w:rsid w:val="00356647"/>
    <w:rsid w:val="00356789"/>
    <w:rsid w:val="00357932"/>
    <w:rsid w:val="00363447"/>
    <w:rsid w:val="00364BC9"/>
    <w:rsid w:val="00365393"/>
    <w:rsid w:val="00371922"/>
    <w:rsid w:val="00372E4A"/>
    <w:rsid w:val="003731B5"/>
    <w:rsid w:val="0037327D"/>
    <w:rsid w:val="00376F44"/>
    <w:rsid w:val="00390C30"/>
    <w:rsid w:val="003918E8"/>
    <w:rsid w:val="00392A84"/>
    <w:rsid w:val="00396DE2"/>
    <w:rsid w:val="00396ECE"/>
    <w:rsid w:val="003A051A"/>
    <w:rsid w:val="003A148F"/>
    <w:rsid w:val="003A44C8"/>
    <w:rsid w:val="003B3DC7"/>
    <w:rsid w:val="003B4777"/>
    <w:rsid w:val="003B52FB"/>
    <w:rsid w:val="003B79E0"/>
    <w:rsid w:val="003C07F6"/>
    <w:rsid w:val="003C27A4"/>
    <w:rsid w:val="003D0E9A"/>
    <w:rsid w:val="003D0FFA"/>
    <w:rsid w:val="003D50B3"/>
    <w:rsid w:val="003D6879"/>
    <w:rsid w:val="003D6CB1"/>
    <w:rsid w:val="003D6DE1"/>
    <w:rsid w:val="003E58EB"/>
    <w:rsid w:val="003F0C98"/>
    <w:rsid w:val="003F32EB"/>
    <w:rsid w:val="003F4952"/>
    <w:rsid w:val="003F6E52"/>
    <w:rsid w:val="003F76B3"/>
    <w:rsid w:val="003F7FF4"/>
    <w:rsid w:val="00400AB0"/>
    <w:rsid w:val="00405E71"/>
    <w:rsid w:val="0040639E"/>
    <w:rsid w:val="00410C6F"/>
    <w:rsid w:val="00411BCB"/>
    <w:rsid w:val="00412F92"/>
    <w:rsid w:val="00413DFF"/>
    <w:rsid w:val="00417EB3"/>
    <w:rsid w:val="00420839"/>
    <w:rsid w:val="00425BAF"/>
    <w:rsid w:val="00427BAB"/>
    <w:rsid w:val="004354DC"/>
    <w:rsid w:val="004410ED"/>
    <w:rsid w:val="00443C0F"/>
    <w:rsid w:val="00444696"/>
    <w:rsid w:val="00446CC4"/>
    <w:rsid w:val="004501A1"/>
    <w:rsid w:val="004505FF"/>
    <w:rsid w:val="00451E70"/>
    <w:rsid w:val="00452F60"/>
    <w:rsid w:val="0045557C"/>
    <w:rsid w:val="004560A4"/>
    <w:rsid w:val="004672E4"/>
    <w:rsid w:val="004702C5"/>
    <w:rsid w:val="0047070C"/>
    <w:rsid w:val="0047435F"/>
    <w:rsid w:val="00477638"/>
    <w:rsid w:val="00480D19"/>
    <w:rsid w:val="00482616"/>
    <w:rsid w:val="00482AA9"/>
    <w:rsid w:val="004831CD"/>
    <w:rsid w:val="00484E15"/>
    <w:rsid w:val="00491FB9"/>
    <w:rsid w:val="00497EC6"/>
    <w:rsid w:val="004A019F"/>
    <w:rsid w:val="004A0D78"/>
    <w:rsid w:val="004A22EE"/>
    <w:rsid w:val="004A4C62"/>
    <w:rsid w:val="004A56B3"/>
    <w:rsid w:val="004A580D"/>
    <w:rsid w:val="004A62C2"/>
    <w:rsid w:val="004A6A27"/>
    <w:rsid w:val="004B07D2"/>
    <w:rsid w:val="004B1E36"/>
    <w:rsid w:val="004B27B3"/>
    <w:rsid w:val="004B53A8"/>
    <w:rsid w:val="004C2738"/>
    <w:rsid w:val="004C4894"/>
    <w:rsid w:val="004D0222"/>
    <w:rsid w:val="004D0A24"/>
    <w:rsid w:val="004D1F22"/>
    <w:rsid w:val="004D2427"/>
    <w:rsid w:val="004D3AE1"/>
    <w:rsid w:val="004D4525"/>
    <w:rsid w:val="004D4A55"/>
    <w:rsid w:val="004D5953"/>
    <w:rsid w:val="004E0963"/>
    <w:rsid w:val="004E2064"/>
    <w:rsid w:val="004E2574"/>
    <w:rsid w:val="004E4FDB"/>
    <w:rsid w:val="004E60E8"/>
    <w:rsid w:val="004E7558"/>
    <w:rsid w:val="004F4B7B"/>
    <w:rsid w:val="004F5DF8"/>
    <w:rsid w:val="004F658E"/>
    <w:rsid w:val="004F6651"/>
    <w:rsid w:val="004F6A4D"/>
    <w:rsid w:val="004F7D86"/>
    <w:rsid w:val="005004E5"/>
    <w:rsid w:val="005008DE"/>
    <w:rsid w:val="005025E8"/>
    <w:rsid w:val="00511654"/>
    <w:rsid w:val="0051574D"/>
    <w:rsid w:val="005163DA"/>
    <w:rsid w:val="0051716A"/>
    <w:rsid w:val="005235DE"/>
    <w:rsid w:val="00527A1E"/>
    <w:rsid w:val="0053488F"/>
    <w:rsid w:val="00535B46"/>
    <w:rsid w:val="00540EBB"/>
    <w:rsid w:val="00545159"/>
    <w:rsid w:val="005539E3"/>
    <w:rsid w:val="00554AE9"/>
    <w:rsid w:val="00555968"/>
    <w:rsid w:val="0055696F"/>
    <w:rsid w:val="00560CB6"/>
    <w:rsid w:val="005614BD"/>
    <w:rsid w:val="00567B9C"/>
    <w:rsid w:val="005711B7"/>
    <w:rsid w:val="00574DAF"/>
    <w:rsid w:val="0057780D"/>
    <w:rsid w:val="00581759"/>
    <w:rsid w:val="005821CC"/>
    <w:rsid w:val="005846A5"/>
    <w:rsid w:val="0058755D"/>
    <w:rsid w:val="00591593"/>
    <w:rsid w:val="00591AAD"/>
    <w:rsid w:val="00594A6F"/>
    <w:rsid w:val="00594E2F"/>
    <w:rsid w:val="0059693D"/>
    <w:rsid w:val="005974DD"/>
    <w:rsid w:val="00597937"/>
    <w:rsid w:val="005A162A"/>
    <w:rsid w:val="005A2431"/>
    <w:rsid w:val="005A25A2"/>
    <w:rsid w:val="005A3631"/>
    <w:rsid w:val="005A618C"/>
    <w:rsid w:val="005B428E"/>
    <w:rsid w:val="005C3022"/>
    <w:rsid w:val="005C5B56"/>
    <w:rsid w:val="005C75BB"/>
    <w:rsid w:val="005D5698"/>
    <w:rsid w:val="005D6F1E"/>
    <w:rsid w:val="005D75D3"/>
    <w:rsid w:val="005D7CEC"/>
    <w:rsid w:val="005E5CE6"/>
    <w:rsid w:val="005F07CA"/>
    <w:rsid w:val="005F0E30"/>
    <w:rsid w:val="005F1663"/>
    <w:rsid w:val="005F195B"/>
    <w:rsid w:val="005F7DB9"/>
    <w:rsid w:val="00602820"/>
    <w:rsid w:val="006044C5"/>
    <w:rsid w:val="00604511"/>
    <w:rsid w:val="006057F0"/>
    <w:rsid w:val="0060596A"/>
    <w:rsid w:val="00606C93"/>
    <w:rsid w:val="00607D1F"/>
    <w:rsid w:val="006125C9"/>
    <w:rsid w:val="00612BCF"/>
    <w:rsid w:val="00612D78"/>
    <w:rsid w:val="00614EF5"/>
    <w:rsid w:val="00616433"/>
    <w:rsid w:val="00620164"/>
    <w:rsid w:val="006254E5"/>
    <w:rsid w:val="00625B49"/>
    <w:rsid w:val="00633485"/>
    <w:rsid w:val="00633AE0"/>
    <w:rsid w:val="00643890"/>
    <w:rsid w:val="006531B7"/>
    <w:rsid w:val="00654C50"/>
    <w:rsid w:val="00655A22"/>
    <w:rsid w:val="00656682"/>
    <w:rsid w:val="00672C60"/>
    <w:rsid w:val="00672D99"/>
    <w:rsid w:val="0067385B"/>
    <w:rsid w:val="00676537"/>
    <w:rsid w:val="00677316"/>
    <w:rsid w:val="00677D90"/>
    <w:rsid w:val="0068049D"/>
    <w:rsid w:val="0068687E"/>
    <w:rsid w:val="00695624"/>
    <w:rsid w:val="006A1351"/>
    <w:rsid w:val="006A522A"/>
    <w:rsid w:val="006A60A2"/>
    <w:rsid w:val="006B0997"/>
    <w:rsid w:val="006B14BD"/>
    <w:rsid w:val="006B1529"/>
    <w:rsid w:val="006B356E"/>
    <w:rsid w:val="006B534D"/>
    <w:rsid w:val="006B53EC"/>
    <w:rsid w:val="006B6015"/>
    <w:rsid w:val="006B6F9F"/>
    <w:rsid w:val="006C4209"/>
    <w:rsid w:val="006C5FD8"/>
    <w:rsid w:val="006C6A0E"/>
    <w:rsid w:val="006C6C8F"/>
    <w:rsid w:val="006D135E"/>
    <w:rsid w:val="006D7CDB"/>
    <w:rsid w:val="006E0577"/>
    <w:rsid w:val="006E11D3"/>
    <w:rsid w:val="006E5A4E"/>
    <w:rsid w:val="006F0AC8"/>
    <w:rsid w:val="006F198B"/>
    <w:rsid w:val="006F3A46"/>
    <w:rsid w:val="006F617E"/>
    <w:rsid w:val="006F79F0"/>
    <w:rsid w:val="00701F22"/>
    <w:rsid w:val="00705EC2"/>
    <w:rsid w:val="00707297"/>
    <w:rsid w:val="00710029"/>
    <w:rsid w:val="007108D7"/>
    <w:rsid w:val="00711616"/>
    <w:rsid w:val="0071420D"/>
    <w:rsid w:val="00715BAB"/>
    <w:rsid w:val="0072416F"/>
    <w:rsid w:val="0073120E"/>
    <w:rsid w:val="007329FA"/>
    <w:rsid w:val="007354CF"/>
    <w:rsid w:val="00736456"/>
    <w:rsid w:val="007436C7"/>
    <w:rsid w:val="00744408"/>
    <w:rsid w:val="0074450F"/>
    <w:rsid w:val="007463E6"/>
    <w:rsid w:val="00750858"/>
    <w:rsid w:val="00752513"/>
    <w:rsid w:val="00752C4B"/>
    <w:rsid w:val="0075417C"/>
    <w:rsid w:val="00761C34"/>
    <w:rsid w:val="00761CA4"/>
    <w:rsid w:val="00767B1E"/>
    <w:rsid w:val="007704B5"/>
    <w:rsid w:val="00771605"/>
    <w:rsid w:val="00771C5A"/>
    <w:rsid w:val="00774CBB"/>
    <w:rsid w:val="00775030"/>
    <w:rsid w:val="00783B01"/>
    <w:rsid w:val="007841EF"/>
    <w:rsid w:val="00784518"/>
    <w:rsid w:val="0078722F"/>
    <w:rsid w:val="007915D8"/>
    <w:rsid w:val="00791C3E"/>
    <w:rsid w:val="00792E2F"/>
    <w:rsid w:val="00794BF7"/>
    <w:rsid w:val="007956C2"/>
    <w:rsid w:val="007957C6"/>
    <w:rsid w:val="007A46E5"/>
    <w:rsid w:val="007A543F"/>
    <w:rsid w:val="007B1D76"/>
    <w:rsid w:val="007B4E8A"/>
    <w:rsid w:val="007C0F8A"/>
    <w:rsid w:val="007C315B"/>
    <w:rsid w:val="007C3E73"/>
    <w:rsid w:val="007C5D73"/>
    <w:rsid w:val="007D0838"/>
    <w:rsid w:val="007D3FE5"/>
    <w:rsid w:val="007D7D69"/>
    <w:rsid w:val="007E06AF"/>
    <w:rsid w:val="007E0D2C"/>
    <w:rsid w:val="007E3016"/>
    <w:rsid w:val="007E484D"/>
    <w:rsid w:val="007E56E6"/>
    <w:rsid w:val="007E67AE"/>
    <w:rsid w:val="007F1B7D"/>
    <w:rsid w:val="007F2F5A"/>
    <w:rsid w:val="007F59B2"/>
    <w:rsid w:val="007F6914"/>
    <w:rsid w:val="007F7247"/>
    <w:rsid w:val="007F7F96"/>
    <w:rsid w:val="008026E3"/>
    <w:rsid w:val="00804013"/>
    <w:rsid w:val="00813266"/>
    <w:rsid w:val="008162A1"/>
    <w:rsid w:val="00824370"/>
    <w:rsid w:val="00824A5F"/>
    <w:rsid w:val="008256D0"/>
    <w:rsid w:val="0082688E"/>
    <w:rsid w:val="00830C60"/>
    <w:rsid w:val="00830F6A"/>
    <w:rsid w:val="00841185"/>
    <w:rsid w:val="00845E72"/>
    <w:rsid w:val="0085022C"/>
    <w:rsid w:val="00851ECF"/>
    <w:rsid w:val="00855994"/>
    <w:rsid w:val="00861EC1"/>
    <w:rsid w:val="00862FD6"/>
    <w:rsid w:val="0086346E"/>
    <w:rsid w:val="00865490"/>
    <w:rsid w:val="00865666"/>
    <w:rsid w:val="0086701F"/>
    <w:rsid w:val="008756A0"/>
    <w:rsid w:val="00875F28"/>
    <w:rsid w:val="00880923"/>
    <w:rsid w:val="008843CF"/>
    <w:rsid w:val="00885AF1"/>
    <w:rsid w:val="00890BB4"/>
    <w:rsid w:val="00894BA5"/>
    <w:rsid w:val="008A0CFB"/>
    <w:rsid w:val="008A314D"/>
    <w:rsid w:val="008A3672"/>
    <w:rsid w:val="008A5DC5"/>
    <w:rsid w:val="008B0993"/>
    <w:rsid w:val="008B408B"/>
    <w:rsid w:val="008B6118"/>
    <w:rsid w:val="008B7566"/>
    <w:rsid w:val="008C0D71"/>
    <w:rsid w:val="008C432B"/>
    <w:rsid w:val="008C5CBA"/>
    <w:rsid w:val="008C60AC"/>
    <w:rsid w:val="008C6958"/>
    <w:rsid w:val="008D2A83"/>
    <w:rsid w:val="008E0B12"/>
    <w:rsid w:val="008E0D7F"/>
    <w:rsid w:val="008E630B"/>
    <w:rsid w:val="008E6E55"/>
    <w:rsid w:val="008E75BC"/>
    <w:rsid w:val="008E7DE1"/>
    <w:rsid w:val="008F12EF"/>
    <w:rsid w:val="008F2270"/>
    <w:rsid w:val="008F2A53"/>
    <w:rsid w:val="008F2B91"/>
    <w:rsid w:val="008F3D40"/>
    <w:rsid w:val="008F5D93"/>
    <w:rsid w:val="008F7FE1"/>
    <w:rsid w:val="00901C53"/>
    <w:rsid w:val="00903A11"/>
    <w:rsid w:val="00903DDE"/>
    <w:rsid w:val="009117F5"/>
    <w:rsid w:val="00913EE8"/>
    <w:rsid w:val="0091531A"/>
    <w:rsid w:val="00926BA6"/>
    <w:rsid w:val="009275AC"/>
    <w:rsid w:val="00931DAA"/>
    <w:rsid w:val="00934CA4"/>
    <w:rsid w:val="009350C5"/>
    <w:rsid w:val="00935651"/>
    <w:rsid w:val="009374A6"/>
    <w:rsid w:val="0094056B"/>
    <w:rsid w:val="009426E9"/>
    <w:rsid w:val="00944C2E"/>
    <w:rsid w:val="00946B3A"/>
    <w:rsid w:val="00953CC0"/>
    <w:rsid w:val="00953ED9"/>
    <w:rsid w:val="00954492"/>
    <w:rsid w:val="00955189"/>
    <w:rsid w:val="00957A19"/>
    <w:rsid w:val="009620B0"/>
    <w:rsid w:val="00962ED2"/>
    <w:rsid w:val="00963D76"/>
    <w:rsid w:val="009645C4"/>
    <w:rsid w:val="009728F1"/>
    <w:rsid w:val="00975FE3"/>
    <w:rsid w:val="0097703A"/>
    <w:rsid w:val="0097756D"/>
    <w:rsid w:val="00980BD1"/>
    <w:rsid w:val="00982E43"/>
    <w:rsid w:val="00986FA3"/>
    <w:rsid w:val="009879E2"/>
    <w:rsid w:val="009915BD"/>
    <w:rsid w:val="009924EB"/>
    <w:rsid w:val="00992796"/>
    <w:rsid w:val="00992F11"/>
    <w:rsid w:val="00993480"/>
    <w:rsid w:val="00993F48"/>
    <w:rsid w:val="009952BB"/>
    <w:rsid w:val="009959A5"/>
    <w:rsid w:val="009A1B44"/>
    <w:rsid w:val="009A44E2"/>
    <w:rsid w:val="009A5449"/>
    <w:rsid w:val="009A5CC5"/>
    <w:rsid w:val="009B0396"/>
    <w:rsid w:val="009B03FB"/>
    <w:rsid w:val="009B2D5F"/>
    <w:rsid w:val="009B344A"/>
    <w:rsid w:val="009B6EFE"/>
    <w:rsid w:val="009C3C77"/>
    <w:rsid w:val="009C405A"/>
    <w:rsid w:val="009C688D"/>
    <w:rsid w:val="009D0978"/>
    <w:rsid w:val="009D7C9F"/>
    <w:rsid w:val="009D7DE1"/>
    <w:rsid w:val="009E06FA"/>
    <w:rsid w:val="009E4FD5"/>
    <w:rsid w:val="009E50B1"/>
    <w:rsid w:val="009E656C"/>
    <w:rsid w:val="009E71E1"/>
    <w:rsid w:val="009E7430"/>
    <w:rsid w:val="009F42A4"/>
    <w:rsid w:val="009F5BDD"/>
    <w:rsid w:val="009F61D7"/>
    <w:rsid w:val="00A00F47"/>
    <w:rsid w:val="00A04B25"/>
    <w:rsid w:val="00A04D2E"/>
    <w:rsid w:val="00A05327"/>
    <w:rsid w:val="00A25D38"/>
    <w:rsid w:val="00A26266"/>
    <w:rsid w:val="00A26FC9"/>
    <w:rsid w:val="00A2712A"/>
    <w:rsid w:val="00A27699"/>
    <w:rsid w:val="00A337CA"/>
    <w:rsid w:val="00A3540B"/>
    <w:rsid w:val="00A35EB9"/>
    <w:rsid w:val="00A427DD"/>
    <w:rsid w:val="00A43A3D"/>
    <w:rsid w:val="00A454F2"/>
    <w:rsid w:val="00A46252"/>
    <w:rsid w:val="00A50093"/>
    <w:rsid w:val="00A507BC"/>
    <w:rsid w:val="00A50B66"/>
    <w:rsid w:val="00A52DC1"/>
    <w:rsid w:val="00A54775"/>
    <w:rsid w:val="00A56C84"/>
    <w:rsid w:val="00A57C12"/>
    <w:rsid w:val="00A6237D"/>
    <w:rsid w:val="00A63CFD"/>
    <w:rsid w:val="00A648C4"/>
    <w:rsid w:val="00A7212B"/>
    <w:rsid w:val="00A72405"/>
    <w:rsid w:val="00A7282B"/>
    <w:rsid w:val="00A77D9B"/>
    <w:rsid w:val="00A816AF"/>
    <w:rsid w:val="00A84FB4"/>
    <w:rsid w:val="00A90016"/>
    <w:rsid w:val="00A905F6"/>
    <w:rsid w:val="00A91CAF"/>
    <w:rsid w:val="00A927D9"/>
    <w:rsid w:val="00A92E80"/>
    <w:rsid w:val="00A9464C"/>
    <w:rsid w:val="00A97C97"/>
    <w:rsid w:val="00AA300F"/>
    <w:rsid w:val="00AA346B"/>
    <w:rsid w:val="00AA5CB8"/>
    <w:rsid w:val="00AA6842"/>
    <w:rsid w:val="00AA6C39"/>
    <w:rsid w:val="00AB4632"/>
    <w:rsid w:val="00AB58D7"/>
    <w:rsid w:val="00AC4451"/>
    <w:rsid w:val="00AC4620"/>
    <w:rsid w:val="00AC4A48"/>
    <w:rsid w:val="00AC4A89"/>
    <w:rsid w:val="00AD0D0A"/>
    <w:rsid w:val="00AD2567"/>
    <w:rsid w:val="00AD4AAD"/>
    <w:rsid w:val="00AD6AB2"/>
    <w:rsid w:val="00AD7D17"/>
    <w:rsid w:val="00AE1B1D"/>
    <w:rsid w:val="00AE2E9D"/>
    <w:rsid w:val="00AE5CE0"/>
    <w:rsid w:val="00AE6393"/>
    <w:rsid w:val="00AE7B1D"/>
    <w:rsid w:val="00AE7C94"/>
    <w:rsid w:val="00AF011C"/>
    <w:rsid w:val="00AF1690"/>
    <w:rsid w:val="00AF3738"/>
    <w:rsid w:val="00B005CA"/>
    <w:rsid w:val="00B06350"/>
    <w:rsid w:val="00B13977"/>
    <w:rsid w:val="00B14B64"/>
    <w:rsid w:val="00B21062"/>
    <w:rsid w:val="00B255C3"/>
    <w:rsid w:val="00B26E91"/>
    <w:rsid w:val="00B27122"/>
    <w:rsid w:val="00B30755"/>
    <w:rsid w:val="00B33DA3"/>
    <w:rsid w:val="00B33EE3"/>
    <w:rsid w:val="00B36208"/>
    <w:rsid w:val="00B365C9"/>
    <w:rsid w:val="00B42A76"/>
    <w:rsid w:val="00B43D13"/>
    <w:rsid w:val="00B44157"/>
    <w:rsid w:val="00B46AC1"/>
    <w:rsid w:val="00B50E33"/>
    <w:rsid w:val="00B53139"/>
    <w:rsid w:val="00B55E38"/>
    <w:rsid w:val="00B634CB"/>
    <w:rsid w:val="00B63DF7"/>
    <w:rsid w:val="00B664F4"/>
    <w:rsid w:val="00B7170F"/>
    <w:rsid w:val="00B74460"/>
    <w:rsid w:val="00B76A4B"/>
    <w:rsid w:val="00B77F7F"/>
    <w:rsid w:val="00B81192"/>
    <w:rsid w:val="00B81C91"/>
    <w:rsid w:val="00B84067"/>
    <w:rsid w:val="00B850E7"/>
    <w:rsid w:val="00B85ABC"/>
    <w:rsid w:val="00B87C0F"/>
    <w:rsid w:val="00B939EF"/>
    <w:rsid w:val="00B96215"/>
    <w:rsid w:val="00BA0AFA"/>
    <w:rsid w:val="00BA35A1"/>
    <w:rsid w:val="00BA5B0C"/>
    <w:rsid w:val="00BA6DB7"/>
    <w:rsid w:val="00BB141A"/>
    <w:rsid w:val="00BB1774"/>
    <w:rsid w:val="00BB1A95"/>
    <w:rsid w:val="00BB36AE"/>
    <w:rsid w:val="00BB38C9"/>
    <w:rsid w:val="00BB3D84"/>
    <w:rsid w:val="00BB5F09"/>
    <w:rsid w:val="00BB6ACF"/>
    <w:rsid w:val="00BB7312"/>
    <w:rsid w:val="00BC0D2A"/>
    <w:rsid w:val="00BC2240"/>
    <w:rsid w:val="00BC22AC"/>
    <w:rsid w:val="00BC7E73"/>
    <w:rsid w:val="00BD0901"/>
    <w:rsid w:val="00BD31B7"/>
    <w:rsid w:val="00BD3A67"/>
    <w:rsid w:val="00BD52A7"/>
    <w:rsid w:val="00BD6E51"/>
    <w:rsid w:val="00BE0D83"/>
    <w:rsid w:val="00BF11EE"/>
    <w:rsid w:val="00BF3A3D"/>
    <w:rsid w:val="00BF433B"/>
    <w:rsid w:val="00BF476F"/>
    <w:rsid w:val="00BF7A8D"/>
    <w:rsid w:val="00C004F2"/>
    <w:rsid w:val="00C0096E"/>
    <w:rsid w:val="00C01129"/>
    <w:rsid w:val="00C01372"/>
    <w:rsid w:val="00C05B93"/>
    <w:rsid w:val="00C05BF5"/>
    <w:rsid w:val="00C1094C"/>
    <w:rsid w:val="00C14D9F"/>
    <w:rsid w:val="00C150AC"/>
    <w:rsid w:val="00C1524E"/>
    <w:rsid w:val="00C2091A"/>
    <w:rsid w:val="00C27720"/>
    <w:rsid w:val="00C31764"/>
    <w:rsid w:val="00C3358C"/>
    <w:rsid w:val="00C3403E"/>
    <w:rsid w:val="00C3405C"/>
    <w:rsid w:val="00C344BD"/>
    <w:rsid w:val="00C34CE7"/>
    <w:rsid w:val="00C36AA4"/>
    <w:rsid w:val="00C37F9F"/>
    <w:rsid w:val="00C37FC6"/>
    <w:rsid w:val="00C41380"/>
    <w:rsid w:val="00C44ACB"/>
    <w:rsid w:val="00C512E3"/>
    <w:rsid w:val="00C529B5"/>
    <w:rsid w:val="00C52B5B"/>
    <w:rsid w:val="00C5314A"/>
    <w:rsid w:val="00C60199"/>
    <w:rsid w:val="00C616A3"/>
    <w:rsid w:val="00C61F04"/>
    <w:rsid w:val="00C626CB"/>
    <w:rsid w:val="00C66E03"/>
    <w:rsid w:val="00C7115A"/>
    <w:rsid w:val="00C72273"/>
    <w:rsid w:val="00C7293D"/>
    <w:rsid w:val="00C771A6"/>
    <w:rsid w:val="00C81394"/>
    <w:rsid w:val="00C82D90"/>
    <w:rsid w:val="00C8439B"/>
    <w:rsid w:val="00C84928"/>
    <w:rsid w:val="00C85324"/>
    <w:rsid w:val="00C8589B"/>
    <w:rsid w:val="00C86E34"/>
    <w:rsid w:val="00C8700B"/>
    <w:rsid w:val="00C9086B"/>
    <w:rsid w:val="00C91C91"/>
    <w:rsid w:val="00C92175"/>
    <w:rsid w:val="00C92621"/>
    <w:rsid w:val="00C931BD"/>
    <w:rsid w:val="00C94F1E"/>
    <w:rsid w:val="00C95717"/>
    <w:rsid w:val="00C97B3A"/>
    <w:rsid w:val="00CA03D9"/>
    <w:rsid w:val="00CA34FE"/>
    <w:rsid w:val="00CB0A32"/>
    <w:rsid w:val="00CB27CC"/>
    <w:rsid w:val="00CB2C12"/>
    <w:rsid w:val="00CB56DE"/>
    <w:rsid w:val="00CB6158"/>
    <w:rsid w:val="00CC1ADD"/>
    <w:rsid w:val="00CC410F"/>
    <w:rsid w:val="00CC6939"/>
    <w:rsid w:val="00CC6DA9"/>
    <w:rsid w:val="00CD1F86"/>
    <w:rsid w:val="00CD3711"/>
    <w:rsid w:val="00CD44AD"/>
    <w:rsid w:val="00CD7242"/>
    <w:rsid w:val="00CD7880"/>
    <w:rsid w:val="00CE2AD9"/>
    <w:rsid w:val="00CE2BD6"/>
    <w:rsid w:val="00CE34EA"/>
    <w:rsid w:val="00CE5F55"/>
    <w:rsid w:val="00CF0666"/>
    <w:rsid w:val="00CF0CDF"/>
    <w:rsid w:val="00CF24C5"/>
    <w:rsid w:val="00CF300D"/>
    <w:rsid w:val="00CF3274"/>
    <w:rsid w:val="00CF62B5"/>
    <w:rsid w:val="00D02263"/>
    <w:rsid w:val="00D03694"/>
    <w:rsid w:val="00D0663A"/>
    <w:rsid w:val="00D13928"/>
    <w:rsid w:val="00D144E6"/>
    <w:rsid w:val="00D23662"/>
    <w:rsid w:val="00D23F54"/>
    <w:rsid w:val="00D317E2"/>
    <w:rsid w:val="00D327CE"/>
    <w:rsid w:val="00D34159"/>
    <w:rsid w:val="00D34697"/>
    <w:rsid w:val="00D35249"/>
    <w:rsid w:val="00D359AB"/>
    <w:rsid w:val="00D36202"/>
    <w:rsid w:val="00D42DD2"/>
    <w:rsid w:val="00D42FCE"/>
    <w:rsid w:val="00D45C82"/>
    <w:rsid w:val="00D52F71"/>
    <w:rsid w:val="00D614DA"/>
    <w:rsid w:val="00D66188"/>
    <w:rsid w:val="00D701D5"/>
    <w:rsid w:val="00D725AF"/>
    <w:rsid w:val="00D73F33"/>
    <w:rsid w:val="00D76C70"/>
    <w:rsid w:val="00D8013B"/>
    <w:rsid w:val="00D81AD0"/>
    <w:rsid w:val="00D82678"/>
    <w:rsid w:val="00D82D02"/>
    <w:rsid w:val="00D83FE0"/>
    <w:rsid w:val="00D84DE2"/>
    <w:rsid w:val="00D860BB"/>
    <w:rsid w:val="00D91887"/>
    <w:rsid w:val="00D93EC6"/>
    <w:rsid w:val="00D9417D"/>
    <w:rsid w:val="00D94638"/>
    <w:rsid w:val="00D962F6"/>
    <w:rsid w:val="00DA3F82"/>
    <w:rsid w:val="00DA6F26"/>
    <w:rsid w:val="00DB1788"/>
    <w:rsid w:val="00DB418C"/>
    <w:rsid w:val="00DB42F9"/>
    <w:rsid w:val="00DB58B3"/>
    <w:rsid w:val="00DC4980"/>
    <w:rsid w:val="00DC778B"/>
    <w:rsid w:val="00DD0E98"/>
    <w:rsid w:val="00DD78A3"/>
    <w:rsid w:val="00DE0753"/>
    <w:rsid w:val="00DE336D"/>
    <w:rsid w:val="00DE5B6A"/>
    <w:rsid w:val="00DE6F10"/>
    <w:rsid w:val="00E048F7"/>
    <w:rsid w:val="00E060E2"/>
    <w:rsid w:val="00E068C4"/>
    <w:rsid w:val="00E07CA7"/>
    <w:rsid w:val="00E103FE"/>
    <w:rsid w:val="00E11933"/>
    <w:rsid w:val="00E17551"/>
    <w:rsid w:val="00E20DA2"/>
    <w:rsid w:val="00E24C90"/>
    <w:rsid w:val="00E254FE"/>
    <w:rsid w:val="00E27B2C"/>
    <w:rsid w:val="00E31E98"/>
    <w:rsid w:val="00E33AD3"/>
    <w:rsid w:val="00E40243"/>
    <w:rsid w:val="00E40F95"/>
    <w:rsid w:val="00E4192F"/>
    <w:rsid w:val="00E45F4B"/>
    <w:rsid w:val="00E4628D"/>
    <w:rsid w:val="00E47909"/>
    <w:rsid w:val="00E5003E"/>
    <w:rsid w:val="00E506E7"/>
    <w:rsid w:val="00E52336"/>
    <w:rsid w:val="00E563A9"/>
    <w:rsid w:val="00E63AFF"/>
    <w:rsid w:val="00E66A39"/>
    <w:rsid w:val="00E677BF"/>
    <w:rsid w:val="00E75932"/>
    <w:rsid w:val="00E7786C"/>
    <w:rsid w:val="00E8024A"/>
    <w:rsid w:val="00E81765"/>
    <w:rsid w:val="00E81A16"/>
    <w:rsid w:val="00E84DD6"/>
    <w:rsid w:val="00E95B2D"/>
    <w:rsid w:val="00E97BFE"/>
    <w:rsid w:val="00EA210B"/>
    <w:rsid w:val="00EA42C5"/>
    <w:rsid w:val="00EA54C6"/>
    <w:rsid w:val="00EA6643"/>
    <w:rsid w:val="00EA6A8C"/>
    <w:rsid w:val="00EA6D6D"/>
    <w:rsid w:val="00EA77C9"/>
    <w:rsid w:val="00EB456A"/>
    <w:rsid w:val="00EB4A2F"/>
    <w:rsid w:val="00EC300D"/>
    <w:rsid w:val="00EC37D7"/>
    <w:rsid w:val="00EC669C"/>
    <w:rsid w:val="00ED17B0"/>
    <w:rsid w:val="00ED1F73"/>
    <w:rsid w:val="00ED63A2"/>
    <w:rsid w:val="00ED662C"/>
    <w:rsid w:val="00ED7C71"/>
    <w:rsid w:val="00EE36B0"/>
    <w:rsid w:val="00EE3B9C"/>
    <w:rsid w:val="00EE5EC4"/>
    <w:rsid w:val="00EF4FB1"/>
    <w:rsid w:val="00EF7309"/>
    <w:rsid w:val="00F000D7"/>
    <w:rsid w:val="00F005A6"/>
    <w:rsid w:val="00F03198"/>
    <w:rsid w:val="00F04411"/>
    <w:rsid w:val="00F06495"/>
    <w:rsid w:val="00F07287"/>
    <w:rsid w:val="00F101DD"/>
    <w:rsid w:val="00F10D97"/>
    <w:rsid w:val="00F117C1"/>
    <w:rsid w:val="00F13FA3"/>
    <w:rsid w:val="00F16B33"/>
    <w:rsid w:val="00F16FF6"/>
    <w:rsid w:val="00F17BDF"/>
    <w:rsid w:val="00F20183"/>
    <w:rsid w:val="00F2022C"/>
    <w:rsid w:val="00F20CE4"/>
    <w:rsid w:val="00F26AAA"/>
    <w:rsid w:val="00F34E8B"/>
    <w:rsid w:val="00F37134"/>
    <w:rsid w:val="00F43B13"/>
    <w:rsid w:val="00F47F2A"/>
    <w:rsid w:val="00F502F9"/>
    <w:rsid w:val="00F51778"/>
    <w:rsid w:val="00F54C40"/>
    <w:rsid w:val="00F5684E"/>
    <w:rsid w:val="00F61F35"/>
    <w:rsid w:val="00F62606"/>
    <w:rsid w:val="00F6540A"/>
    <w:rsid w:val="00F7146C"/>
    <w:rsid w:val="00F720A0"/>
    <w:rsid w:val="00F726E8"/>
    <w:rsid w:val="00F75273"/>
    <w:rsid w:val="00F80E8A"/>
    <w:rsid w:val="00F83638"/>
    <w:rsid w:val="00F84664"/>
    <w:rsid w:val="00F851BC"/>
    <w:rsid w:val="00F85531"/>
    <w:rsid w:val="00F86A6A"/>
    <w:rsid w:val="00F904AA"/>
    <w:rsid w:val="00F9099D"/>
    <w:rsid w:val="00F93322"/>
    <w:rsid w:val="00F97BBA"/>
    <w:rsid w:val="00F97C01"/>
    <w:rsid w:val="00FA0B93"/>
    <w:rsid w:val="00FA160A"/>
    <w:rsid w:val="00FB52DB"/>
    <w:rsid w:val="00FB707A"/>
    <w:rsid w:val="00FB7D48"/>
    <w:rsid w:val="00FB7FB0"/>
    <w:rsid w:val="00FC088C"/>
    <w:rsid w:val="00FC0945"/>
    <w:rsid w:val="00FC405C"/>
    <w:rsid w:val="00FC4168"/>
    <w:rsid w:val="00FC6833"/>
    <w:rsid w:val="00FC782A"/>
    <w:rsid w:val="00FD1AF6"/>
    <w:rsid w:val="00FD1D97"/>
    <w:rsid w:val="00FD3847"/>
    <w:rsid w:val="00FD3F05"/>
    <w:rsid w:val="00FD634C"/>
    <w:rsid w:val="00FE54AF"/>
    <w:rsid w:val="00FF1972"/>
    <w:rsid w:val="00FF36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07FC395"/>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41380"/>
    <w:rPr>
      <w:lang w:val="en-AU"/>
    </w:rPr>
  </w:style>
  <w:style w:type="paragraph" w:styleId="Heading1">
    <w:name w:val="heading 1"/>
    <w:basedOn w:val="Normal"/>
    <w:next w:val="Normal"/>
    <w:link w:val="Heading1Char"/>
    <w:uiPriority w:val="9"/>
    <w:qFormat/>
    <w:rsid w:val="001220E4"/>
    <w:pPr>
      <w:spacing w:before="1440" w:after="200" w:line="288" w:lineRule="auto"/>
      <w:outlineLvl w:val="0"/>
    </w:pPr>
    <w:rPr>
      <w:rFonts w:ascii="Arial" w:eastAsiaTheme="minorEastAsia" w:hAnsi="Arial" w:cs="Arial"/>
      <w:b/>
      <w:color w:val="FFFFFF" w:themeColor="background1"/>
      <w:sz w:val="96"/>
      <w:szCs w:val="96"/>
      <w:lang w:val="en-US" w:eastAsia="ja-JP"/>
    </w:rPr>
  </w:style>
  <w:style w:type="paragraph" w:styleId="Heading2">
    <w:name w:val="heading 2"/>
    <w:basedOn w:val="Normal"/>
    <w:next w:val="Normal"/>
    <w:link w:val="Heading2Char"/>
    <w:uiPriority w:val="9"/>
    <w:semiHidden/>
    <w:unhideWhenUsed/>
    <w:rsid w:val="00C4138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63DF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1380"/>
    <w:pPr>
      <w:tabs>
        <w:tab w:val="center" w:pos="4513"/>
        <w:tab w:val="right" w:pos="9026"/>
      </w:tabs>
    </w:pPr>
  </w:style>
  <w:style w:type="character" w:customStyle="1" w:styleId="HeaderChar">
    <w:name w:val="Header Char"/>
    <w:basedOn w:val="DefaultParagraphFont"/>
    <w:link w:val="Header"/>
    <w:uiPriority w:val="99"/>
    <w:rsid w:val="00C41380"/>
    <w:rPr>
      <w:lang w:val="en-US"/>
    </w:rPr>
  </w:style>
  <w:style w:type="paragraph" w:styleId="Footer">
    <w:name w:val="footer"/>
    <w:basedOn w:val="Normal"/>
    <w:link w:val="FooterChar"/>
    <w:uiPriority w:val="99"/>
    <w:unhideWhenUsed/>
    <w:rsid w:val="00C41380"/>
    <w:pPr>
      <w:tabs>
        <w:tab w:val="center" w:pos="4513"/>
        <w:tab w:val="right" w:pos="9026"/>
      </w:tabs>
    </w:pPr>
  </w:style>
  <w:style w:type="character" w:customStyle="1" w:styleId="FooterChar">
    <w:name w:val="Footer Char"/>
    <w:basedOn w:val="DefaultParagraphFont"/>
    <w:link w:val="Footer"/>
    <w:uiPriority w:val="99"/>
    <w:rsid w:val="00C41380"/>
    <w:rPr>
      <w:lang w:val="en-US"/>
    </w:rPr>
  </w:style>
  <w:style w:type="character" w:styleId="PageNumber">
    <w:name w:val="page number"/>
    <w:basedOn w:val="DefaultParagraphFont"/>
    <w:unhideWhenUsed/>
    <w:rsid w:val="00C41380"/>
  </w:style>
  <w:style w:type="paragraph" w:customStyle="1" w:styleId="mpcheading1">
    <w:name w:val="mpc heading 1"/>
    <w:qFormat/>
    <w:rsid w:val="00F61F35"/>
    <w:pPr>
      <w:pBdr>
        <w:bottom w:val="single" w:sz="12" w:space="1" w:color="auto"/>
      </w:pBdr>
      <w:spacing w:after="240"/>
      <w:outlineLvl w:val="0"/>
    </w:pPr>
    <w:rPr>
      <w:b/>
      <w:sz w:val="36"/>
      <w:szCs w:val="36"/>
      <w:lang w:val="en-AU"/>
    </w:rPr>
  </w:style>
  <w:style w:type="paragraph" w:customStyle="1" w:styleId="mpcheading2">
    <w:name w:val="mpc heading 2"/>
    <w:qFormat/>
    <w:rsid w:val="009952BB"/>
    <w:pPr>
      <w:pBdr>
        <w:top w:val="single" w:sz="4" w:space="1" w:color="auto"/>
        <w:left w:val="single" w:sz="4" w:space="4" w:color="auto"/>
        <w:bottom w:val="single" w:sz="4" w:space="1" w:color="auto"/>
        <w:right w:val="single" w:sz="4" w:space="4" w:color="auto"/>
      </w:pBdr>
      <w:shd w:val="clear" w:color="auto" w:fill="4CB99B"/>
      <w:spacing w:after="240"/>
    </w:pPr>
    <w:rPr>
      <w:rFonts w:eastAsia="Cambria" w:cs="Times New Roman"/>
      <w:b/>
      <w:bCs/>
      <w:iCs/>
      <w:color w:val="FFFFFF"/>
      <w:szCs w:val="28"/>
      <w:lang w:val="en-AU"/>
    </w:rPr>
  </w:style>
  <w:style w:type="paragraph" w:customStyle="1" w:styleId="mpcbullets1">
    <w:name w:val="mpc bullets 1"/>
    <w:basedOn w:val="ListParagraph"/>
    <w:autoRedefine/>
    <w:qFormat/>
    <w:rsid w:val="007E0D2C"/>
    <w:pPr>
      <w:keepNext/>
      <w:numPr>
        <w:numId w:val="7"/>
      </w:numPr>
      <w:ind w:left="357" w:hanging="357"/>
    </w:pPr>
    <w:rPr>
      <w:rFonts w:eastAsia="Times New Roman" w:cstheme="minorHAnsi"/>
      <w:color w:val="000000"/>
      <w:sz w:val="22"/>
      <w:szCs w:val="22"/>
    </w:rPr>
  </w:style>
  <w:style w:type="paragraph" w:customStyle="1" w:styleId="mpcbullets2">
    <w:name w:val="mpc bullets 2"/>
    <w:basedOn w:val="mpcNormal"/>
    <w:qFormat/>
    <w:rsid w:val="00173A82"/>
    <w:pPr>
      <w:keepNext w:val="0"/>
      <w:numPr>
        <w:numId w:val="43"/>
      </w:numPr>
    </w:pPr>
  </w:style>
  <w:style w:type="paragraph" w:customStyle="1" w:styleId="mpcbullets3">
    <w:name w:val="mpc bullets 3"/>
    <w:basedOn w:val="mpcbullets1"/>
    <w:qFormat/>
    <w:rsid w:val="00CD7880"/>
    <w:pPr>
      <w:numPr>
        <w:ilvl w:val="1"/>
        <w:numId w:val="17"/>
      </w:numPr>
      <w:ind w:left="1276" w:hanging="425"/>
    </w:pPr>
  </w:style>
  <w:style w:type="paragraph" w:customStyle="1" w:styleId="mpcnumberedlist1">
    <w:name w:val="mpc numbered list 1"/>
    <w:qFormat/>
    <w:rsid w:val="00247967"/>
    <w:pPr>
      <w:numPr>
        <w:numId w:val="1"/>
      </w:numPr>
    </w:pPr>
    <w:rPr>
      <w:rFonts w:cs="Verdana"/>
      <w:lang w:val="en-AU"/>
    </w:rPr>
  </w:style>
  <w:style w:type="paragraph" w:customStyle="1" w:styleId="mpcNormal">
    <w:name w:val="mpc Normal"/>
    <w:basedOn w:val="Normal"/>
    <w:qFormat/>
    <w:rsid w:val="003A051A"/>
    <w:pPr>
      <w:keepNext/>
    </w:pPr>
    <w:rPr>
      <w:rFonts w:cstheme="minorHAnsi"/>
      <w:sz w:val="22"/>
      <w:szCs w:val="22"/>
    </w:rPr>
  </w:style>
  <w:style w:type="paragraph" w:customStyle="1" w:styleId="mpcheading3">
    <w:name w:val="mpc heading 3"/>
    <w:autoRedefine/>
    <w:qFormat/>
    <w:rsid w:val="005A162A"/>
    <w:pPr>
      <w:pBdr>
        <w:top w:val="single" w:sz="4" w:space="1" w:color="auto"/>
        <w:left w:val="single" w:sz="4" w:space="4" w:color="auto"/>
        <w:bottom w:val="single" w:sz="4" w:space="1" w:color="auto"/>
        <w:right w:val="single" w:sz="4" w:space="4" w:color="auto"/>
      </w:pBdr>
    </w:pPr>
    <w:rPr>
      <w:rFonts w:cstheme="minorHAnsi"/>
      <w:b/>
      <w:bCs/>
      <w:iCs/>
      <w:sz w:val="22"/>
      <w:szCs w:val="22"/>
      <w:lang w:val="en-AU"/>
    </w:rPr>
  </w:style>
  <w:style w:type="paragraph" w:customStyle="1" w:styleId="mpcheading4">
    <w:name w:val="mpc heading 4"/>
    <w:basedOn w:val="NormalWeb"/>
    <w:qFormat/>
    <w:rsid w:val="006F3A46"/>
    <w:pPr>
      <w:keepNext/>
      <w:spacing w:before="0" w:beforeAutospacing="0" w:after="0" w:afterAutospacing="0"/>
    </w:pPr>
    <w:rPr>
      <w:rFonts w:asciiTheme="minorHAnsi" w:hAnsiTheme="minorHAnsi" w:cstheme="minorBidi"/>
      <w:b/>
      <w:color w:val="000000" w:themeColor="text1"/>
      <w:sz w:val="22"/>
      <w:szCs w:val="22"/>
      <w:lang w:val="en-AU" w:eastAsia="en-US"/>
    </w:rPr>
  </w:style>
  <w:style w:type="paragraph" w:styleId="TOC1">
    <w:name w:val="toc 1"/>
    <w:basedOn w:val="Normal"/>
    <w:next w:val="Normal"/>
    <w:autoRedefine/>
    <w:uiPriority w:val="39"/>
    <w:unhideWhenUsed/>
    <w:rsid w:val="00851ECF"/>
    <w:pPr>
      <w:tabs>
        <w:tab w:val="right" w:leader="dot" w:pos="9736"/>
      </w:tabs>
      <w:spacing w:before="120"/>
    </w:pPr>
    <w:rPr>
      <w:b/>
      <w:bCs/>
    </w:rPr>
  </w:style>
  <w:style w:type="paragraph" w:styleId="TOC2">
    <w:name w:val="toc 2"/>
    <w:basedOn w:val="Normal"/>
    <w:next w:val="Normal"/>
    <w:autoRedefine/>
    <w:uiPriority w:val="39"/>
    <w:unhideWhenUsed/>
    <w:rsid w:val="00C14D9F"/>
    <w:pPr>
      <w:tabs>
        <w:tab w:val="right" w:leader="dot" w:pos="9736"/>
      </w:tabs>
      <w:ind w:left="240"/>
    </w:pPr>
    <w:rPr>
      <w:rFonts w:cstheme="minorHAnsi"/>
      <w:bCs/>
      <w:noProof/>
      <w:sz w:val="21"/>
      <w:szCs w:val="22"/>
    </w:rPr>
  </w:style>
  <w:style w:type="paragraph" w:styleId="TOC3">
    <w:name w:val="toc 3"/>
    <w:basedOn w:val="Normal"/>
    <w:next w:val="Normal"/>
    <w:autoRedefine/>
    <w:uiPriority w:val="39"/>
    <w:unhideWhenUsed/>
    <w:rsid w:val="00C41380"/>
    <w:pPr>
      <w:ind w:left="480"/>
    </w:pPr>
    <w:rPr>
      <w:sz w:val="22"/>
      <w:szCs w:val="22"/>
    </w:rPr>
  </w:style>
  <w:style w:type="paragraph" w:customStyle="1" w:styleId="mpcheading5">
    <w:name w:val="mpc heading 5"/>
    <w:basedOn w:val="Normal"/>
    <w:qFormat/>
    <w:rsid w:val="00F61F35"/>
    <w:pPr>
      <w:spacing w:after="240"/>
    </w:pPr>
    <w:rPr>
      <w:i/>
      <w:u w:val="single"/>
    </w:rPr>
  </w:style>
  <w:style w:type="paragraph" w:styleId="ListParagraph">
    <w:name w:val="List Paragraph"/>
    <w:aliases w:val="dot point 1,Bullet point,Bullets,CV text,Dot pt,F5 List Paragraph,FooterText,L,List Paragraph1,List Paragraph11,List Paragraph111,List Paragraph2,Medium Grid 1 - Accent 21,NAST Quote,NFP GP Bulleted List,Numbered Paragraph,Recommendation"/>
    <w:basedOn w:val="Normal"/>
    <w:link w:val="ListParagraphChar"/>
    <w:uiPriority w:val="34"/>
    <w:qFormat/>
    <w:rsid w:val="00C41380"/>
    <w:pPr>
      <w:ind w:left="720"/>
      <w:contextualSpacing/>
    </w:pPr>
  </w:style>
  <w:style w:type="character" w:customStyle="1" w:styleId="Heading2Char">
    <w:name w:val="Heading 2 Char"/>
    <w:basedOn w:val="DefaultParagraphFont"/>
    <w:link w:val="Heading2"/>
    <w:uiPriority w:val="9"/>
    <w:semiHidden/>
    <w:rsid w:val="00C41380"/>
    <w:rPr>
      <w:rFonts w:asciiTheme="majorHAnsi" w:eastAsiaTheme="majorEastAsia" w:hAnsiTheme="majorHAnsi" w:cstheme="majorBidi"/>
      <w:color w:val="2F5496" w:themeColor="accent1" w:themeShade="BF"/>
      <w:sz w:val="26"/>
      <w:szCs w:val="26"/>
      <w:lang w:val="en-US"/>
    </w:rPr>
  </w:style>
  <w:style w:type="character" w:customStyle="1" w:styleId="Heading1Char">
    <w:name w:val="Heading 1 Char"/>
    <w:basedOn w:val="DefaultParagraphFont"/>
    <w:link w:val="Heading1"/>
    <w:uiPriority w:val="9"/>
    <w:rsid w:val="001220E4"/>
    <w:rPr>
      <w:rFonts w:ascii="Arial" w:eastAsiaTheme="minorEastAsia" w:hAnsi="Arial" w:cs="Arial"/>
      <w:b/>
      <w:color w:val="FFFFFF" w:themeColor="background1"/>
      <w:sz w:val="96"/>
      <w:szCs w:val="96"/>
      <w:lang w:val="en-US" w:eastAsia="ja-JP"/>
    </w:rPr>
  </w:style>
  <w:style w:type="paragraph" w:styleId="NoSpacing">
    <w:name w:val="No Spacing"/>
    <w:link w:val="NoSpacingChar"/>
    <w:uiPriority w:val="1"/>
    <w:qFormat/>
    <w:rsid w:val="002D14BA"/>
    <w:rPr>
      <w:rFonts w:eastAsiaTheme="minorEastAsia"/>
      <w:sz w:val="22"/>
      <w:szCs w:val="22"/>
      <w:lang w:val="en-US" w:eastAsia="zh-CN"/>
    </w:rPr>
  </w:style>
  <w:style w:type="character" w:customStyle="1" w:styleId="NoSpacingChar">
    <w:name w:val="No Spacing Char"/>
    <w:basedOn w:val="DefaultParagraphFont"/>
    <w:link w:val="NoSpacing"/>
    <w:uiPriority w:val="1"/>
    <w:rsid w:val="002D14BA"/>
    <w:rPr>
      <w:rFonts w:eastAsiaTheme="minorEastAsia"/>
      <w:sz w:val="22"/>
      <w:szCs w:val="22"/>
      <w:lang w:val="en-US" w:eastAsia="zh-CN"/>
    </w:rPr>
  </w:style>
  <w:style w:type="paragraph" w:customStyle="1" w:styleId="mpctitle1">
    <w:name w:val="mpc title 1"/>
    <w:qFormat/>
    <w:rsid w:val="001071F4"/>
    <w:pPr>
      <w:ind w:left="284"/>
    </w:pPr>
    <w:rPr>
      <w:rFonts w:eastAsiaTheme="minorEastAsia" w:cs="Arial"/>
      <w:color w:val="FFFFFF" w:themeColor="background1"/>
      <w:sz w:val="56"/>
      <w:szCs w:val="56"/>
      <w:lang w:val="en-US" w:eastAsia="ja-JP"/>
    </w:rPr>
  </w:style>
  <w:style w:type="paragraph" w:customStyle="1" w:styleId="mpctitle2">
    <w:name w:val="mpc title 2"/>
    <w:basedOn w:val="Heading1"/>
    <w:qFormat/>
    <w:rsid w:val="00420839"/>
    <w:pPr>
      <w:spacing w:after="800"/>
      <w:ind w:left="284"/>
    </w:pPr>
    <w:rPr>
      <w:rFonts w:asciiTheme="minorHAnsi" w:hAnsiTheme="minorHAnsi"/>
      <w:b w:val="0"/>
      <w:sz w:val="36"/>
      <w:szCs w:val="36"/>
    </w:rPr>
  </w:style>
  <w:style w:type="paragraph" w:styleId="TOC4">
    <w:name w:val="toc 4"/>
    <w:basedOn w:val="Normal"/>
    <w:next w:val="Normal"/>
    <w:autoRedefine/>
    <w:uiPriority w:val="39"/>
    <w:unhideWhenUsed/>
    <w:rsid w:val="00A27699"/>
    <w:pPr>
      <w:ind w:left="720"/>
    </w:pPr>
    <w:rPr>
      <w:sz w:val="22"/>
    </w:rPr>
  </w:style>
  <w:style w:type="paragraph" w:styleId="TOC5">
    <w:name w:val="toc 5"/>
    <w:basedOn w:val="Normal"/>
    <w:next w:val="Normal"/>
    <w:autoRedefine/>
    <w:uiPriority w:val="39"/>
    <w:unhideWhenUsed/>
    <w:rsid w:val="00A27699"/>
    <w:pPr>
      <w:ind w:left="960"/>
    </w:pPr>
    <w:rPr>
      <w:sz w:val="22"/>
    </w:rPr>
  </w:style>
  <w:style w:type="paragraph" w:styleId="TOC6">
    <w:name w:val="toc 6"/>
    <w:basedOn w:val="Normal"/>
    <w:next w:val="Normal"/>
    <w:autoRedefine/>
    <w:uiPriority w:val="39"/>
    <w:unhideWhenUsed/>
    <w:rsid w:val="00A27699"/>
    <w:pPr>
      <w:ind w:left="1200"/>
    </w:pPr>
    <w:rPr>
      <w:sz w:val="22"/>
    </w:rPr>
  </w:style>
  <w:style w:type="paragraph" w:styleId="TOC7">
    <w:name w:val="toc 7"/>
    <w:basedOn w:val="Normal"/>
    <w:next w:val="Normal"/>
    <w:autoRedefine/>
    <w:uiPriority w:val="39"/>
    <w:unhideWhenUsed/>
    <w:rsid w:val="00A27699"/>
    <w:pPr>
      <w:ind w:left="1440"/>
    </w:pPr>
    <w:rPr>
      <w:sz w:val="22"/>
    </w:rPr>
  </w:style>
  <w:style w:type="paragraph" w:styleId="TOC8">
    <w:name w:val="toc 8"/>
    <w:basedOn w:val="Normal"/>
    <w:next w:val="Normal"/>
    <w:autoRedefine/>
    <w:uiPriority w:val="39"/>
    <w:unhideWhenUsed/>
    <w:rsid w:val="00A27699"/>
    <w:pPr>
      <w:ind w:left="1680"/>
    </w:pPr>
    <w:rPr>
      <w:sz w:val="22"/>
    </w:rPr>
  </w:style>
  <w:style w:type="paragraph" w:styleId="TOC9">
    <w:name w:val="toc 9"/>
    <w:basedOn w:val="Normal"/>
    <w:next w:val="Normal"/>
    <w:autoRedefine/>
    <w:uiPriority w:val="39"/>
    <w:unhideWhenUsed/>
    <w:rsid w:val="00A27699"/>
    <w:pPr>
      <w:ind w:left="1920"/>
    </w:pPr>
    <w:rPr>
      <w:sz w:val="22"/>
    </w:rPr>
  </w:style>
  <w:style w:type="paragraph" w:customStyle="1" w:styleId="mpcnumberedlist2">
    <w:name w:val="mpc numbered list 2"/>
    <w:next w:val="mpcnumberedlist1"/>
    <w:qFormat/>
    <w:rsid w:val="00A9464C"/>
    <w:pPr>
      <w:numPr>
        <w:numId w:val="2"/>
      </w:numPr>
    </w:pPr>
    <w:rPr>
      <w:lang w:val="en-AU"/>
    </w:rPr>
  </w:style>
  <w:style w:type="paragraph" w:styleId="FootnoteText">
    <w:name w:val="footnote text"/>
    <w:aliases w:val="Footnotes Text,FSFootnotes Text"/>
    <w:basedOn w:val="Normal"/>
    <w:link w:val="FootnoteTextChar"/>
    <w:autoRedefine/>
    <w:unhideWhenUsed/>
    <w:qFormat/>
    <w:rsid w:val="003272AE"/>
    <w:rPr>
      <w:sz w:val="18"/>
      <w:szCs w:val="20"/>
    </w:rPr>
  </w:style>
  <w:style w:type="character" w:customStyle="1" w:styleId="FootnoteTextChar">
    <w:name w:val="Footnote Text Char"/>
    <w:aliases w:val="Footnotes Text Char,FSFootnotes Text Char"/>
    <w:basedOn w:val="DefaultParagraphFont"/>
    <w:link w:val="FootnoteText"/>
    <w:rsid w:val="003272AE"/>
    <w:rPr>
      <w:sz w:val="18"/>
      <w:szCs w:val="20"/>
      <w:lang w:val="en-AU"/>
    </w:rPr>
  </w:style>
  <w:style w:type="character" w:styleId="FootnoteReference">
    <w:name w:val="footnote reference"/>
    <w:basedOn w:val="DefaultParagraphFont"/>
    <w:unhideWhenUsed/>
    <w:rsid w:val="006F3A46"/>
    <w:rPr>
      <w:rFonts w:asciiTheme="minorHAnsi" w:hAnsiTheme="minorHAnsi"/>
      <w:sz w:val="18"/>
      <w:vertAlign w:val="superscript"/>
    </w:rPr>
  </w:style>
  <w:style w:type="paragraph" w:styleId="Caption">
    <w:name w:val="caption"/>
    <w:basedOn w:val="Normal"/>
    <w:next w:val="Normal"/>
    <w:unhideWhenUsed/>
    <w:rsid w:val="0045557C"/>
    <w:pPr>
      <w:keepNext/>
      <w:spacing w:before="40" w:after="40" w:line="280" w:lineRule="atLeast"/>
    </w:pPr>
    <w:rPr>
      <w:b/>
      <w:iCs/>
      <w:sz w:val="18"/>
      <w:szCs w:val="18"/>
    </w:rPr>
  </w:style>
  <w:style w:type="paragraph" w:customStyle="1" w:styleId="Tabletext">
    <w:name w:val="Table text"/>
    <w:basedOn w:val="Normal"/>
    <w:link w:val="TabletextChar"/>
    <w:rsid w:val="0045557C"/>
    <w:pPr>
      <w:spacing w:before="60" w:after="60" w:line="240" w:lineRule="atLeast"/>
    </w:pPr>
    <w:rPr>
      <w:sz w:val="20"/>
      <w:szCs w:val="18"/>
    </w:rPr>
  </w:style>
  <w:style w:type="character" w:customStyle="1" w:styleId="TabletextChar">
    <w:name w:val="Table text Char"/>
    <w:link w:val="Tabletext"/>
    <w:rsid w:val="0045557C"/>
    <w:rPr>
      <w:sz w:val="20"/>
      <w:szCs w:val="18"/>
      <w:lang w:val="en-AU"/>
    </w:rPr>
  </w:style>
  <w:style w:type="table" w:customStyle="1" w:styleId="HeartFdn">
    <w:name w:val="HeartFdn"/>
    <w:basedOn w:val="TableNormal"/>
    <w:uiPriority w:val="99"/>
    <w:rsid w:val="0045557C"/>
    <w:pPr>
      <w:spacing w:before="120"/>
    </w:pPr>
    <w:rPr>
      <w:sz w:val="20"/>
      <w:szCs w:val="20"/>
      <w:lang w:val="en-A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60" w:beforeAutospacing="0" w:afterLines="0" w:after="60" w:afterAutospacing="0"/>
      </w:pPr>
      <w:rPr>
        <w:b/>
        <w:bCs/>
        <w:color w:val="FFFFFF" w:themeColor="background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4472C4" w:themeFill="accent1"/>
      </w:tcPr>
    </w:tblStylePr>
    <w:tblStylePr w:type="lastRow">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firstCol">
      <w:rPr>
        <w:b/>
        <w:bCs/>
      </w:rPr>
    </w:tblStylePr>
    <w:tblStylePr w:type="lastCol">
      <w:rPr>
        <w:b/>
        <w:bCs/>
      </w:rPr>
    </w:tblStylePr>
    <w:tblStylePr w:type="band1Vert">
      <w:pPr>
        <w:wordWrap/>
      </w:pPr>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able-figurenotes">
    <w:name w:val="Table-figure notes"/>
    <w:basedOn w:val="Normal"/>
    <w:link w:val="Table-figurenotesChar"/>
    <w:uiPriority w:val="4"/>
    <w:rsid w:val="0045557C"/>
    <w:pPr>
      <w:autoSpaceDE w:val="0"/>
      <w:autoSpaceDN w:val="0"/>
      <w:adjustRightInd w:val="0"/>
      <w:spacing w:before="120" w:line="240" w:lineRule="atLeast"/>
    </w:pPr>
    <w:rPr>
      <w:rFonts w:cs="Optima"/>
      <w:bCs/>
      <w:color w:val="000000"/>
      <w:sz w:val="18"/>
      <w:szCs w:val="18"/>
      <w:lang w:bidi="ar-DZ"/>
    </w:rPr>
  </w:style>
  <w:style w:type="character" w:customStyle="1" w:styleId="Table-figurenotesChar">
    <w:name w:val="Table-figure notes Char"/>
    <w:basedOn w:val="DefaultParagraphFont"/>
    <w:link w:val="Table-figurenotes"/>
    <w:uiPriority w:val="4"/>
    <w:rsid w:val="0045557C"/>
    <w:rPr>
      <w:rFonts w:cs="Optima"/>
      <w:bCs/>
      <w:color w:val="000000"/>
      <w:sz w:val="18"/>
      <w:szCs w:val="18"/>
      <w:lang w:val="en-AU" w:bidi="ar-DZ"/>
    </w:rPr>
  </w:style>
  <w:style w:type="character" w:customStyle="1" w:styleId="Heading3Char">
    <w:name w:val="Heading 3 Char"/>
    <w:basedOn w:val="DefaultParagraphFont"/>
    <w:link w:val="Heading3"/>
    <w:uiPriority w:val="9"/>
    <w:semiHidden/>
    <w:rsid w:val="00B63DF7"/>
    <w:rPr>
      <w:rFonts w:asciiTheme="majorHAnsi" w:eastAsiaTheme="majorEastAsia" w:hAnsiTheme="majorHAnsi" w:cstheme="majorBidi"/>
      <w:color w:val="1F3763" w:themeColor="accent1" w:themeShade="7F"/>
      <w:lang w:val="en-AU"/>
    </w:rPr>
  </w:style>
  <w:style w:type="paragraph" w:customStyle="1" w:styleId="Tableheading">
    <w:name w:val="Table heading"/>
    <w:basedOn w:val="Heading3"/>
    <w:link w:val="TableheadingChar"/>
    <w:rsid w:val="00B63DF7"/>
    <w:pPr>
      <w:keepLines w:val="0"/>
      <w:tabs>
        <w:tab w:val="left" w:pos="993"/>
      </w:tabs>
      <w:spacing w:before="120" w:after="120" w:line="260" w:lineRule="atLeast"/>
      <w:ind w:left="993" w:hanging="992"/>
      <w:outlineLvl w:val="9"/>
    </w:pPr>
    <w:rPr>
      <w:rFonts w:asciiTheme="minorHAnsi" w:eastAsiaTheme="minorHAnsi" w:hAnsiTheme="minorHAnsi" w:cstheme="minorBidi"/>
      <w:color w:val="FFFFFF" w:themeColor="background1"/>
      <w:sz w:val="20"/>
      <w:szCs w:val="20"/>
      <w:lang w:bidi="ar-DZ"/>
    </w:rPr>
  </w:style>
  <w:style w:type="character" w:customStyle="1" w:styleId="TableheadingChar">
    <w:name w:val="Table heading Char"/>
    <w:link w:val="Tableheading"/>
    <w:rsid w:val="00B63DF7"/>
    <w:rPr>
      <w:color w:val="FFFFFF" w:themeColor="background1"/>
      <w:sz w:val="20"/>
      <w:szCs w:val="20"/>
      <w:lang w:val="en-AU" w:bidi="ar-DZ"/>
    </w:rPr>
  </w:style>
  <w:style w:type="table" w:styleId="TableGrid">
    <w:name w:val="Table Grid"/>
    <w:basedOn w:val="TableNormal"/>
    <w:uiPriority w:val="39"/>
    <w:rsid w:val="003275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ctableheading">
    <w:name w:val="mpc table heading"/>
    <w:qFormat/>
    <w:rsid w:val="003F7FF4"/>
    <w:rPr>
      <w:b/>
      <w:iCs/>
      <w:sz w:val="22"/>
      <w:szCs w:val="18"/>
      <w:lang w:val="en-AU"/>
    </w:rPr>
  </w:style>
  <w:style w:type="paragraph" w:customStyle="1" w:styleId="mpctabletext">
    <w:name w:val="mpc table text"/>
    <w:qFormat/>
    <w:rsid w:val="00BB1774"/>
    <w:rPr>
      <w:sz w:val="20"/>
      <w:szCs w:val="18"/>
      <w:lang w:val="en-AU"/>
    </w:rPr>
  </w:style>
  <w:style w:type="paragraph" w:customStyle="1" w:styleId="ms-rteelement-p">
    <w:name w:val="ms-rteelement-p"/>
    <w:basedOn w:val="Normal"/>
    <w:rsid w:val="00F43B13"/>
    <w:pPr>
      <w:spacing w:before="100" w:beforeAutospacing="1" w:after="100" w:afterAutospacing="1"/>
    </w:pPr>
    <w:rPr>
      <w:rFonts w:ascii="Times New Roman" w:eastAsia="Times New Roman" w:hAnsi="Times New Roman" w:cs="Times New Roman"/>
      <w:lang w:eastAsia="zh-CN"/>
    </w:rPr>
  </w:style>
  <w:style w:type="character" w:styleId="Hyperlink">
    <w:name w:val="Hyperlink"/>
    <w:basedOn w:val="DefaultParagraphFont"/>
    <w:uiPriority w:val="99"/>
    <w:unhideWhenUsed/>
    <w:rsid w:val="00F43B13"/>
    <w:rPr>
      <w:color w:val="0000FF"/>
      <w:u w:val="single"/>
    </w:rPr>
  </w:style>
  <w:style w:type="character" w:customStyle="1" w:styleId="ListParagraphChar">
    <w:name w:val="List Paragraph Char"/>
    <w:aliases w:val="dot point 1 Char,Bullet point Char,Bullets Char,CV text Char,Dot pt Char,F5 List Paragraph Char,FooterText Char,L Char,List Paragraph1 Char,List Paragraph11 Char,List Paragraph111 Char,List Paragraph2 Char,NAST Quote Char"/>
    <w:basedOn w:val="DefaultParagraphFont"/>
    <w:link w:val="ListParagraph"/>
    <w:uiPriority w:val="34"/>
    <w:qFormat/>
    <w:rsid w:val="00F43B13"/>
    <w:rPr>
      <w:lang w:val="en-AU"/>
    </w:rPr>
  </w:style>
  <w:style w:type="paragraph" w:styleId="NormalWeb">
    <w:name w:val="Normal (Web)"/>
    <w:basedOn w:val="Normal"/>
    <w:uiPriority w:val="99"/>
    <w:unhideWhenUsed/>
    <w:rsid w:val="00F43B13"/>
    <w:pPr>
      <w:spacing w:before="100" w:beforeAutospacing="1" w:after="100" w:afterAutospacing="1"/>
    </w:pPr>
    <w:rPr>
      <w:rFonts w:ascii="Times New Roman" w:hAnsi="Times New Roman" w:cs="Times New Roman"/>
      <w:lang w:val="en-GB" w:eastAsia="en-GB"/>
    </w:rPr>
  </w:style>
  <w:style w:type="paragraph" w:customStyle="1" w:styleId="Default">
    <w:name w:val="Default"/>
    <w:rsid w:val="00B36208"/>
    <w:pPr>
      <w:autoSpaceDE w:val="0"/>
      <w:autoSpaceDN w:val="0"/>
      <w:adjustRightInd w:val="0"/>
    </w:pPr>
    <w:rPr>
      <w:rFonts w:ascii="Verdana" w:hAnsi="Verdana" w:cs="Verdana"/>
      <w:color w:val="000000"/>
      <w:lang w:val="en-US"/>
    </w:rPr>
  </w:style>
  <w:style w:type="character" w:customStyle="1" w:styleId="apple-converted-space">
    <w:name w:val="apple-converted-space"/>
    <w:basedOn w:val="DefaultParagraphFont"/>
    <w:rsid w:val="001D5779"/>
  </w:style>
  <w:style w:type="character" w:customStyle="1" w:styleId="UnresolvedMention1">
    <w:name w:val="Unresolved Mention1"/>
    <w:basedOn w:val="DefaultParagraphFont"/>
    <w:uiPriority w:val="99"/>
    <w:rsid w:val="006F3A46"/>
    <w:rPr>
      <w:color w:val="605E5C"/>
      <w:shd w:val="clear" w:color="auto" w:fill="E1DFDD"/>
    </w:rPr>
  </w:style>
  <w:style w:type="character" w:styleId="Strong">
    <w:name w:val="Strong"/>
    <w:basedOn w:val="DefaultParagraphFont"/>
    <w:qFormat/>
    <w:rsid w:val="00143F7D"/>
    <w:rPr>
      <w:b/>
      <w:bCs/>
    </w:rPr>
  </w:style>
  <w:style w:type="character" w:styleId="Emphasis">
    <w:name w:val="Emphasis"/>
    <w:basedOn w:val="DefaultParagraphFont"/>
    <w:qFormat/>
    <w:rsid w:val="00143F7D"/>
    <w:rPr>
      <w:i/>
      <w:iCs/>
    </w:rPr>
  </w:style>
  <w:style w:type="paragraph" w:styleId="BodyText">
    <w:name w:val="Body Text"/>
    <w:basedOn w:val="Normal"/>
    <w:link w:val="BodyTextChar"/>
    <w:uiPriority w:val="1"/>
    <w:qFormat/>
    <w:rsid w:val="00143F7D"/>
    <w:pPr>
      <w:widowControl w:val="0"/>
      <w:ind w:left="840"/>
    </w:pPr>
    <w:rPr>
      <w:rFonts w:ascii="Times New Roman" w:eastAsia="Times New Roman" w:hAnsi="Times New Roman"/>
      <w:lang w:val="en-US"/>
    </w:rPr>
  </w:style>
  <w:style w:type="character" w:customStyle="1" w:styleId="BodyTextChar">
    <w:name w:val="Body Text Char"/>
    <w:basedOn w:val="DefaultParagraphFont"/>
    <w:link w:val="BodyText"/>
    <w:uiPriority w:val="1"/>
    <w:rsid w:val="00143F7D"/>
    <w:rPr>
      <w:rFonts w:ascii="Times New Roman" w:eastAsia="Times New Roman" w:hAnsi="Times New Roman"/>
      <w:lang w:val="en-US"/>
    </w:rPr>
  </w:style>
  <w:style w:type="paragraph" w:customStyle="1" w:styleId="body">
    <w:name w:val="body"/>
    <w:basedOn w:val="Normal"/>
    <w:uiPriority w:val="99"/>
    <w:rsid w:val="00143F7D"/>
    <w:pPr>
      <w:widowControl w:val="0"/>
      <w:suppressAutoHyphens/>
      <w:autoSpaceDE w:val="0"/>
      <w:autoSpaceDN w:val="0"/>
      <w:adjustRightInd w:val="0"/>
      <w:spacing w:after="113" w:line="230" w:lineRule="atLeast"/>
      <w:textAlignment w:val="center"/>
    </w:pPr>
    <w:rPr>
      <w:rFonts w:ascii="TimesNewRomanPSMT" w:eastAsia="Times New Roman" w:hAnsi="TimesNewRomanPSMT" w:cs="TimesNewRomanPSMT"/>
      <w:color w:val="000000"/>
      <w:sz w:val="19"/>
      <w:szCs w:val="19"/>
      <w:lang w:val="en-GB"/>
    </w:rPr>
  </w:style>
  <w:style w:type="paragraph" w:customStyle="1" w:styleId="bodytext0">
    <w:name w:val="bodytext"/>
    <w:basedOn w:val="Normal"/>
    <w:rsid w:val="00143F7D"/>
    <w:pPr>
      <w:spacing w:before="100" w:beforeAutospacing="1" w:after="100" w:afterAutospacing="1"/>
    </w:pPr>
    <w:rPr>
      <w:rFonts w:ascii="Times New Roman" w:eastAsia="Times New Roman" w:hAnsi="Times New Roman" w:cs="Times New Roman"/>
    </w:rPr>
  </w:style>
  <w:style w:type="paragraph" w:customStyle="1" w:styleId="trt0xe">
    <w:name w:val="trt0xe"/>
    <w:basedOn w:val="Normal"/>
    <w:rsid w:val="00143F7D"/>
    <w:pPr>
      <w:spacing w:before="100" w:beforeAutospacing="1" w:after="100" w:afterAutospacing="1"/>
    </w:pPr>
    <w:rPr>
      <w:rFonts w:ascii="Times New Roman" w:eastAsia="Times New Roman" w:hAnsi="Times New Roman" w:cs="Times New Roman"/>
    </w:rPr>
  </w:style>
  <w:style w:type="character" w:styleId="CommentReference">
    <w:name w:val="annotation reference"/>
    <w:basedOn w:val="DefaultParagraphFont"/>
    <w:unhideWhenUsed/>
    <w:rsid w:val="00340091"/>
    <w:rPr>
      <w:sz w:val="16"/>
      <w:szCs w:val="16"/>
    </w:rPr>
  </w:style>
  <w:style w:type="paragraph" w:styleId="CommentText">
    <w:name w:val="annotation text"/>
    <w:basedOn w:val="Normal"/>
    <w:link w:val="CommentTextChar"/>
    <w:unhideWhenUsed/>
    <w:rsid w:val="00340091"/>
    <w:pPr>
      <w:spacing w:after="120"/>
    </w:pPr>
    <w:rPr>
      <w:rFonts w:ascii="Century Gothic" w:eastAsia="Times New Roman" w:hAnsi="Century Gothic" w:cs="Times New Roman"/>
      <w:sz w:val="20"/>
      <w:szCs w:val="20"/>
    </w:rPr>
  </w:style>
  <w:style w:type="character" w:customStyle="1" w:styleId="CommentTextChar">
    <w:name w:val="Comment Text Char"/>
    <w:basedOn w:val="DefaultParagraphFont"/>
    <w:link w:val="CommentText"/>
    <w:rsid w:val="00340091"/>
    <w:rPr>
      <w:rFonts w:ascii="Century Gothic" w:eastAsia="Times New Roman" w:hAnsi="Century Gothic" w:cs="Times New Roman"/>
      <w:sz w:val="20"/>
      <w:szCs w:val="20"/>
      <w:lang w:val="en-AU"/>
    </w:rPr>
  </w:style>
  <w:style w:type="paragraph" w:styleId="BalloonText">
    <w:name w:val="Balloon Text"/>
    <w:basedOn w:val="Normal"/>
    <w:link w:val="BalloonTextChar"/>
    <w:uiPriority w:val="99"/>
    <w:semiHidden/>
    <w:unhideWhenUsed/>
    <w:rsid w:val="0034009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40091"/>
    <w:rPr>
      <w:rFonts w:ascii="Times New Roman" w:hAnsi="Times New Roman" w:cs="Times New Roman"/>
      <w:sz w:val="18"/>
      <w:szCs w:val="18"/>
      <w:lang w:val="en-AU"/>
    </w:rPr>
  </w:style>
  <w:style w:type="character" w:styleId="FollowedHyperlink">
    <w:name w:val="FollowedHyperlink"/>
    <w:basedOn w:val="DefaultParagraphFont"/>
    <w:uiPriority w:val="99"/>
    <w:semiHidden/>
    <w:unhideWhenUsed/>
    <w:rsid w:val="009E50B1"/>
    <w:rPr>
      <w:color w:val="954F72" w:themeColor="followedHyperlink"/>
      <w:u w:val="single"/>
    </w:rPr>
  </w:style>
  <w:style w:type="paragraph" w:styleId="EndnoteText">
    <w:name w:val="endnote text"/>
    <w:basedOn w:val="Normal"/>
    <w:link w:val="EndnoteTextChar"/>
    <w:uiPriority w:val="99"/>
    <w:semiHidden/>
    <w:unhideWhenUsed/>
    <w:rsid w:val="000A3464"/>
    <w:rPr>
      <w:sz w:val="20"/>
      <w:szCs w:val="20"/>
    </w:rPr>
  </w:style>
  <w:style w:type="character" w:customStyle="1" w:styleId="EndnoteTextChar">
    <w:name w:val="Endnote Text Char"/>
    <w:basedOn w:val="DefaultParagraphFont"/>
    <w:link w:val="EndnoteText"/>
    <w:uiPriority w:val="99"/>
    <w:semiHidden/>
    <w:rsid w:val="000A3464"/>
    <w:rPr>
      <w:sz w:val="20"/>
      <w:szCs w:val="20"/>
      <w:lang w:val="en-AU"/>
    </w:rPr>
  </w:style>
  <w:style w:type="character" w:styleId="EndnoteReference">
    <w:name w:val="endnote reference"/>
    <w:basedOn w:val="DefaultParagraphFont"/>
    <w:uiPriority w:val="99"/>
    <w:semiHidden/>
    <w:unhideWhenUsed/>
    <w:rsid w:val="000A3464"/>
    <w:rPr>
      <w:vertAlign w:val="superscript"/>
    </w:rPr>
  </w:style>
  <w:style w:type="paragraph" w:customStyle="1" w:styleId="p1">
    <w:name w:val="p1"/>
    <w:basedOn w:val="Normal"/>
    <w:rsid w:val="000A3464"/>
    <w:pPr>
      <w:spacing w:after="30" w:line="300" w:lineRule="atLeast"/>
      <w:ind w:left="90"/>
    </w:pPr>
    <w:rPr>
      <w:rFonts w:ascii="Helvetica Neue" w:eastAsia="Times New Roman" w:hAnsi="Helvetica Neue" w:cs="Times New Roman"/>
      <w:color w:val="000000"/>
      <w:sz w:val="18"/>
      <w:szCs w:val="18"/>
      <w:lang w:val="en-GB" w:eastAsia="en-GB"/>
    </w:rPr>
  </w:style>
  <w:style w:type="paragraph" w:customStyle="1" w:styleId="mpcbullets10">
    <w:name w:val="mpcbullets1"/>
    <w:basedOn w:val="Normal"/>
    <w:rsid w:val="000A3464"/>
    <w:pPr>
      <w:spacing w:before="100" w:beforeAutospacing="1" w:after="100" w:afterAutospacing="1"/>
    </w:pPr>
    <w:rPr>
      <w:rFonts w:ascii="Times New Roman" w:eastAsia="Times New Roman" w:hAnsi="Times New Roman" w:cs="Times New Roman"/>
    </w:rPr>
  </w:style>
  <w:style w:type="character" w:customStyle="1" w:styleId="visually-hidden">
    <w:name w:val="visually-hidden"/>
    <w:basedOn w:val="DefaultParagraphFont"/>
    <w:rsid w:val="000A3464"/>
  </w:style>
  <w:style w:type="paragraph" w:customStyle="1" w:styleId="FSBullet">
    <w:name w:val="FS Bullet"/>
    <w:basedOn w:val="Normal"/>
    <w:next w:val="Normal"/>
    <w:link w:val="FSBulletChar"/>
    <w:rsid w:val="004F7D86"/>
    <w:pPr>
      <w:widowControl w:val="0"/>
      <w:numPr>
        <w:numId w:val="29"/>
      </w:numPr>
      <w:spacing w:before="120" w:after="120"/>
    </w:pPr>
    <w:rPr>
      <w:rFonts w:ascii="Arial" w:eastAsia="Times New Roman" w:hAnsi="Arial" w:cs="Arial"/>
      <w:sz w:val="22"/>
      <w:lang w:val="x-none" w:bidi="en-US"/>
    </w:rPr>
  </w:style>
  <w:style w:type="character" w:customStyle="1" w:styleId="FSBulletChar">
    <w:name w:val="FS Bullet Char"/>
    <w:link w:val="FSBullet"/>
    <w:rsid w:val="004F7D86"/>
    <w:rPr>
      <w:rFonts w:ascii="Arial" w:eastAsia="Times New Roman" w:hAnsi="Arial" w:cs="Arial"/>
      <w:sz w:val="22"/>
      <w:lang w:val="x-none" w:bidi="en-US"/>
    </w:rPr>
  </w:style>
  <w:style w:type="character" w:customStyle="1" w:styleId="highwire-cite-doi">
    <w:name w:val="highwire-cite-doi"/>
    <w:basedOn w:val="DefaultParagraphFont"/>
    <w:rsid w:val="00E45F4B"/>
  </w:style>
  <w:style w:type="character" w:customStyle="1" w:styleId="highwire-cite-date">
    <w:name w:val="highwire-cite-date"/>
    <w:basedOn w:val="DefaultParagraphFont"/>
    <w:rsid w:val="00E45F4B"/>
  </w:style>
  <w:style w:type="paragraph" w:styleId="Revision">
    <w:name w:val="Revision"/>
    <w:hidden/>
    <w:uiPriority w:val="99"/>
    <w:semiHidden/>
    <w:rsid w:val="001B5DEE"/>
    <w:rPr>
      <w:lang w:val="en-AU"/>
    </w:rPr>
  </w:style>
  <w:style w:type="paragraph" w:styleId="ListBullet">
    <w:name w:val="List Bullet"/>
    <w:basedOn w:val="Normal"/>
    <w:uiPriority w:val="99"/>
    <w:unhideWhenUsed/>
    <w:rsid w:val="009374A6"/>
    <w:pPr>
      <w:numPr>
        <w:numId w:val="40"/>
      </w:numPr>
      <w:spacing w:before="120" w:line="260" w:lineRule="atLeast"/>
      <w:contextualSpacing/>
    </w:pPr>
    <w:rPr>
      <w:sz w:val="20"/>
      <w:szCs w:val="20"/>
    </w:rPr>
  </w:style>
  <w:style w:type="paragraph" w:customStyle="1" w:styleId="Table2">
    <w:name w:val="Table 2"/>
    <w:basedOn w:val="Normal"/>
    <w:link w:val="Table2Char"/>
    <w:rsid w:val="000C6E56"/>
    <w:pPr>
      <w:widowControl w:val="0"/>
      <w:spacing w:before="120" w:after="120"/>
      <w:ind w:left="142" w:hanging="142"/>
    </w:pPr>
    <w:rPr>
      <w:rFonts w:ascii="Arial" w:eastAsia="Times New Roman" w:hAnsi="Arial" w:cs="Times New Roman"/>
      <w:bCs/>
      <w:sz w:val="20"/>
      <w:szCs w:val="20"/>
      <w:lang w:val="en-GB"/>
    </w:rPr>
  </w:style>
  <w:style w:type="paragraph" w:customStyle="1" w:styleId="TableHeading0">
    <w:name w:val="Table Heading"/>
    <w:basedOn w:val="Normal"/>
    <w:next w:val="Normal"/>
    <w:rsid w:val="000C6E56"/>
    <w:pPr>
      <w:widowControl w:val="0"/>
      <w:tabs>
        <w:tab w:val="left" w:pos="851"/>
      </w:tabs>
      <w:spacing w:before="120" w:after="120"/>
      <w:jc w:val="center"/>
    </w:pPr>
    <w:rPr>
      <w:rFonts w:ascii="Arial" w:eastAsia="Times New Roman" w:hAnsi="Arial" w:cs="Times New Roman"/>
      <w:b/>
      <w:sz w:val="22"/>
      <w:szCs w:val="20"/>
      <w:lang w:val="en-GB"/>
    </w:rPr>
  </w:style>
  <w:style w:type="character" w:customStyle="1" w:styleId="Table2Char">
    <w:name w:val="Table 2 Char"/>
    <w:link w:val="Table2"/>
    <w:rsid w:val="000C6E56"/>
    <w:rPr>
      <w:rFonts w:ascii="Arial" w:eastAsia="Times New Roman" w:hAnsi="Arial" w:cs="Times New Roman"/>
      <w:bCs/>
      <w:sz w:val="20"/>
      <w:szCs w:val="20"/>
    </w:rPr>
  </w:style>
  <w:style w:type="paragraph" w:customStyle="1" w:styleId="fsctdefn">
    <w:name w:val="fsctdefn"/>
    <w:basedOn w:val="Normal"/>
    <w:rsid w:val="00D0663A"/>
    <w:pPr>
      <w:spacing w:before="100" w:beforeAutospacing="1" w:after="100" w:afterAutospacing="1"/>
    </w:pPr>
    <w:rPr>
      <w:rFonts w:ascii="Times New Roman" w:eastAsia="Times New Roman" w:hAnsi="Times New Roman" w:cs="Times New Roman"/>
    </w:rPr>
  </w:style>
  <w:style w:type="paragraph" w:customStyle="1" w:styleId="fsctpara">
    <w:name w:val="fsctpara"/>
    <w:basedOn w:val="Normal"/>
    <w:rsid w:val="00D0663A"/>
    <w:pPr>
      <w:spacing w:before="100" w:beforeAutospacing="1" w:after="100" w:afterAutospacing="1"/>
    </w:pPr>
    <w:rPr>
      <w:rFonts w:ascii="Times New Roman" w:eastAsia="Times New Roman" w:hAnsi="Times New Roman" w:cs="Times New Roman"/>
    </w:rPr>
  </w:style>
  <w:style w:type="paragraph" w:customStyle="1" w:styleId="fsctsubpara">
    <w:name w:val="fsctsubpara"/>
    <w:basedOn w:val="Normal"/>
    <w:rsid w:val="00D0663A"/>
    <w:pPr>
      <w:spacing w:before="100" w:beforeAutospacing="1" w:after="100" w:afterAutospacing="1"/>
    </w:pPr>
    <w:rPr>
      <w:rFonts w:ascii="Times New Roman" w:eastAsia="Times New Roman" w:hAnsi="Times New Roman" w:cs="Times New Roman"/>
    </w:rPr>
  </w:style>
  <w:style w:type="character" w:customStyle="1" w:styleId="xref-bibr">
    <w:name w:val="xref-bibr"/>
    <w:basedOn w:val="DefaultParagraphFont"/>
    <w:rsid w:val="00845E72"/>
  </w:style>
  <w:style w:type="paragraph" w:styleId="CommentSubject">
    <w:name w:val="annotation subject"/>
    <w:basedOn w:val="CommentText"/>
    <w:next w:val="CommentText"/>
    <w:link w:val="CommentSubjectChar"/>
    <w:uiPriority w:val="99"/>
    <w:semiHidden/>
    <w:unhideWhenUsed/>
    <w:rsid w:val="00E5003E"/>
    <w:pPr>
      <w:spacing w:after="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E5003E"/>
    <w:rPr>
      <w:rFonts w:ascii="Century Gothic" w:eastAsia="Times New Roman" w:hAnsi="Century Gothic" w:cs="Times New Roman"/>
      <w:b/>
      <w:bCs/>
      <w:sz w:val="20"/>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17469">
      <w:bodyDiv w:val="1"/>
      <w:marLeft w:val="0"/>
      <w:marRight w:val="0"/>
      <w:marTop w:val="0"/>
      <w:marBottom w:val="0"/>
      <w:divBdr>
        <w:top w:val="none" w:sz="0" w:space="0" w:color="auto"/>
        <w:left w:val="none" w:sz="0" w:space="0" w:color="auto"/>
        <w:bottom w:val="none" w:sz="0" w:space="0" w:color="auto"/>
        <w:right w:val="none" w:sz="0" w:space="0" w:color="auto"/>
      </w:divBdr>
    </w:div>
    <w:div w:id="14430979">
      <w:bodyDiv w:val="1"/>
      <w:marLeft w:val="0"/>
      <w:marRight w:val="0"/>
      <w:marTop w:val="0"/>
      <w:marBottom w:val="0"/>
      <w:divBdr>
        <w:top w:val="none" w:sz="0" w:space="0" w:color="auto"/>
        <w:left w:val="none" w:sz="0" w:space="0" w:color="auto"/>
        <w:bottom w:val="none" w:sz="0" w:space="0" w:color="auto"/>
        <w:right w:val="none" w:sz="0" w:space="0" w:color="auto"/>
      </w:divBdr>
      <w:divsChild>
        <w:div w:id="1609777887">
          <w:marLeft w:val="0"/>
          <w:marRight w:val="0"/>
          <w:marTop w:val="0"/>
          <w:marBottom w:val="0"/>
          <w:divBdr>
            <w:top w:val="none" w:sz="0" w:space="0" w:color="auto"/>
            <w:left w:val="none" w:sz="0" w:space="0" w:color="auto"/>
            <w:bottom w:val="none" w:sz="0" w:space="0" w:color="auto"/>
            <w:right w:val="none" w:sz="0" w:space="0" w:color="auto"/>
          </w:divBdr>
          <w:divsChild>
            <w:div w:id="389772352">
              <w:marLeft w:val="0"/>
              <w:marRight w:val="0"/>
              <w:marTop w:val="0"/>
              <w:marBottom w:val="0"/>
              <w:divBdr>
                <w:top w:val="none" w:sz="0" w:space="0" w:color="auto"/>
                <w:left w:val="none" w:sz="0" w:space="0" w:color="auto"/>
                <w:bottom w:val="none" w:sz="0" w:space="0" w:color="auto"/>
                <w:right w:val="none" w:sz="0" w:space="0" w:color="auto"/>
              </w:divBdr>
              <w:divsChild>
                <w:div w:id="73369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97734">
      <w:bodyDiv w:val="1"/>
      <w:marLeft w:val="0"/>
      <w:marRight w:val="0"/>
      <w:marTop w:val="0"/>
      <w:marBottom w:val="0"/>
      <w:divBdr>
        <w:top w:val="none" w:sz="0" w:space="0" w:color="auto"/>
        <w:left w:val="none" w:sz="0" w:space="0" w:color="auto"/>
        <w:bottom w:val="none" w:sz="0" w:space="0" w:color="auto"/>
        <w:right w:val="none" w:sz="0" w:space="0" w:color="auto"/>
      </w:divBdr>
    </w:div>
    <w:div w:id="175661581">
      <w:bodyDiv w:val="1"/>
      <w:marLeft w:val="0"/>
      <w:marRight w:val="0"/>
      <w:marTop w:val="0"/>
      <w:marBottom w:val="0"/>
      <w:divBdr>
        <w:top w:val="none" w:sz="0" w:space="0" w:color="auto"/>
        <w:left w:val="none" w:sz="0" w:space="0" w:color="auto"/>
        <w:bottom w:val="none" w:sz="0" w:space="0" w:color="auto"/>
        <w:right w:val="none" w:sz="0" w:space="0" w:color="auto"/>
      </w:divBdr>
    </w:div>
    <w:div w:id="526258419">
      <w:bodyDiv w:val="1"/>
      <w:marLeft w:val="0"/>
      <w:marRight w:val="0"/>
      <w:marTop w:val="0"/>
      <w:marBottom w:val="0"/>
      <w:divBdr>
        <w:top w:val="none" w:sz="0" w:space="0" w:color="auto"/>
        <w:left w:val="none" w:sz="0" w:space="0" w:color="auto"/>
        <w:bottom w:val="none" w:sz="0" w:space="0" w:color="auto"/>
        <w:right w:val="none" w:sz="0" w:space="0" w:color="auto"/>
      </w:divBdr>
    </w:div>
    <w:div w:id="541938903">
      <w:bodyDiv w:val="1"/>
      <w:marLeft w:val="0"/>
      <w:marRight w:val="0"/>
      <w:marTop w:val="0"/>
      <w:marBottom w:val="0"/>
      <w:divBdr>
        <w:top w:val="none" w:sz="0" w:space="0" w:color="auto"/>
        <w:left w:val="none" w:sz="0" w:space="0" w:color="auto"/>
        <w:bottom w:val="none" w:sz="0" w:space="0" w:color="auto"/>
        <w:right w:val="none" w:sz="0" w:space="0" w:color="auto"/>
      </w:divBdr>
      <w:divsChild>
        <w:div w:id="1464998725">
          <w:marLeft w:val="0"/>
          <w:marRight w:val="0"/>
          <w:marTop w:val="0"/>
          <w:marBottom w:val="0"/>
          <w:divBdr>
            <w:top w:val="none" w:sz="0" w:space="0" w:color="auto"/>
            <w:left w:val="none" w:sz="0" w:space="0" w:color="auto"/>
            <w:bottom w:val="none" w:sz="0" w:space="0" w:color="auto"/>
            <w:right w:val="none" w:sz="0" w:space="0" w:color="auto"/>
          </w:divBdr>
        </w:div>
        <w:div w:id="1119568533">
          <w:marLeft w:val="0"/>
          <w:marRight w:val="0"/>
          <w:marTop w:val="0"/>
          <w:marBottom w:val="0"/>
          <w:divBdr>
            <w:top w:val="none" w:sz="0" w:space="0" w:color="auto"/>
            <w:left w:val="none" w:sz="0" w:space="0" w:color="auto"/>
            <w:bottom w:val="none" w:sz="0" w:space="0" w:color="auto"/>
            <w:right w:val="none" w:sz="0" w:space="0" w:color="auto"/>
          </w:divBdr>
        </w:div>
        <w:div w:id="2083288928">
          <w:marLeft w:val="0"/>
          <w:marRight w:val="0"/>
          <w:marTop w:val="0"/>
          <w:marBottom w:val="0"/>
          <w:divBdr>
            <w:top w:val="none" w:sz="0" w:space="0" w:color="auto"/>
            <w:left w:val="none" w:sz="0" w:space="0" w:color="auto"/>
            <w:bottom w:val="none" w:sz="0" w:space="0" w:color="auto"/>
            <w:right w:val="none" w:sz="0" w:space="0" w:color="auto"/>
          </w:divBdr>
        </w:div>
        <w:div w:id="1301770113">
          <w:marLeft w:val="0"/>
          <w:marRight w:val="0"/>
          <w:marTop w:val="0"/>
          <w:marBottom w:val="0"/>
          <w:divBdr>
            <w:top w:val="none" w:sz="0" w:space="0" w:color="auto"/>
            <w:left w:val="none" w:sz="0" w:space="0" w:color="auto"/>
            <w:bottom w:val="none" w:sz="0" w:space="0" w:color="auto"/>
            <w:right w:val="none" w:sz="0" w:space="0" w:color="auto"/>
          </w:divBdr>
        </w:div>
        <w:div w:id="1419601354">
          <w:marLeft w:val="0"/>
          <w:marRight w:val="0"/>
          <w:marTop w:val="0"/>
          <w:marBottom w:val="0"/>
          <w:divBdr>
            <w:top w:val="none" w:sz="0" w:space="0" w:color="auto"/>
            <w:left w:val="none" w:sz="0" w:space="0" w:color="auto"/>
            <w:bottom w:val="none" w:sz="0" w:space="0" w:color="auto"/>
            <w:right w:val="none" w:sz="0" w:space="0" w:color="auto"/>
          </w:divBdr>
        </w:div>
      </w:divsChild>
    </w:div>
    <w:div w:id="556554769">
      <w:bodyDiv w:val="1"/>
      <w:marLeft w:val="0"/>
      <w:marRight w:val="0"/>
      <w:marTop w:val="0"/>
      <w:marBottom w:val="0"/>
      <w:divBdr>
        <w:top w:val="none" w:sz="0" w:space="0" w:color="auto"/>
        <w:left w:val="none" w:sz="0" w:space="0" w:color="auto"/>
        <w:bottom w:val="none" w:sz="0" w:space="0" w:color="auto"/>
        <w:right w:val="none" w:sz="0" w:space="0" w:color="auto"/>
      </w:divBdr>
    </w:div>
    <w:div w:id="568341513">
      <w:bodyDiv w:val="1"/>
      <w:marLeft w:val="0"/>
      <w:marRight w:val="0"/>
      <w:marTop w:val="0"/>
      <w:marBottom w:val="0"/>
      <w:divBdr>
        <w:top w:val="none" w:sz="0" w:space="0" w:color="auto"/>
        <w:left w:val="none" w:sz="0" w:space="0" w:color="auto"/>
        <w:bottom w:val="none" w:sz="0" w:space="0" w:color="auto"/>
        <w:right w:val="none" w:sz="0" w:space="0" w:color="auto"/>
      </w:divBdr>
      <w:divsChild>
        <w:div w:id="484393872">
          <w:marLeft w:val="0"/>
          <w:marRight w:val="0"/>
          <w:marTop w:val="0"/>
          <w:marBottom w:val="0"/>
          <w:divBdr>
            <w:top w:val="none" w:sz="0" w:space="0" w:color="auto"/>
            <w:left w:val="none" w:sz="0" w:space="0" w:color="auto"/>
            <w:bottom w:val="none" w:sz="0" w:space="0" w:color="auto"/>
            <w:right w:val="none" w:sz="0" w:space="0" w:color="auto"/>
          </w:divBdr>
          <w:divsChild>
            <w:div w:id="1633754268">
              <w:marLeft w:val="0"/>
              <w:marRight w:val="0"/>
              <w:marTop w:val="0"/>
              <w:marBottom w:val="0"/>
              <w:divBdr>
                <w:top w:val="none" w:sz="0" w:space="0" w:color="auto"/>
                <w:left w:val="none" w:sz="0" w:space="0" w:color="auto"/>
                <w:bottom w:val="none" w:sz="0" w:space="0" w:color="auto"/>
                <w:right w:val="none" w:sz="0" w:space="0" w:color="auto"/>
              </w:divBdr>
              <w:divsChild>
                <w:div w:id="515383574">
                  <w:marLeft w:val="0"/>
                  <w:marRight w:val="0"/>
                  <w:marTop w:val="0"/>
                  <w:marBottom w:val="0"/>
                  <w:divBdr>
                    <w:top w:val="none" w:sz="0" w:space="0" w:color="auto"/>
                    <w:left w:val="none" w:sz="0" w:space="0" w:color="auto"/>
                    <w:bottom w:val="none" w:sz="0" w:space="0" w:color="auto"/>
                    <w:right w:val="none" w:sz="0" w:space="0" w:color="auto"/>
                  </w:divBdr>
                </w:div>
              </w:divsChild>
            </w:div>
            <w:div w:id="188103103">
              <w:marLeft w:val="0"/>
              <w:marRight w:val="0"/>
              <w:marTop w:val="0"/>
              <w:marBottom w:val="0"/>
              <w:divBdr>
                <w:top w:val="none" w:sz="0" w:space="0" w:color="auto"/>
                <w:left w:val="none" w:sz="0" w:space="0" w:color="auto"/>
                <w:bottom w:val="none" w:sz="0" w:space="0" w:color="auto"/>
                <w:right w:val="none" w:sz="0" w:space="0" w:color="auto"/>
              </w:divBdr>
              <w:divsChild>
                <w:div w:id="793713179">
                  <w:marLeft w:val="0"/>
                  <w:marRight w:val="0"/>
                  <w:marTop w:val="0"/>
                  <w:marBottom w:val="0"/>
                  <w:divBdr>
                    <w:top w:val="none" w:sz="0" w:space="0" w:color="auto"/>
                    <w:left w:val="none" w:sz="0" w:space="0" w:color="auto"/>
                    <w:bottom w:val="none" w:sz="0" w:space="0" w:color="auto"/>
                    <w:right w:val="none" w:sz="0" w:space="0" w:color="auto"/>
                  </w:divBdr>
                </w:div>
              </w:divsChild>
            </w:div>
            <w:div w:id="764493672">
              <w:marLeft w:val="0"/>
              <w:marRight w:val="0"/>
              <w:marTop w:val="0"/>
              <w:marBottom w:val="0"/>
              <w:divBdr>
                <w:top w:val="none" w:sz="0" w:space="0" w:color="auto"/>
                <w:left w:val="none" w:sz="0" w:space="0" w:color="auto"/>
                <w:bottom w:val="none" w:sz="0" w:space="0" w:color="auto"/>
                <w:right w:val="none" w:sz="0" w:space="0" w:color="auto"/>
              </w:divBdr>
              <w:divsChild>
                <w:div w:id="154914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619976">
          <w:marLeft w:val="0"/>
          <w:marRight w:val="0"/>
          <w:marTop w:val="0"/>
          <w:marBottom w:val="0"/>
          <w:divBdr>
            <w:top w:val="none" w:sz="0" w:space="0" w:color="auto"/>
            <w:left w:val="none" w:sz="0" w:space="0" w:color="auto"/>
            <w:bottom w:val="none" w:sz="0" w:space="0" w:color="auto"/>
            <w:right w:val="none" w:sz="0" w:space="0" w:color="auto"/>
          </w:divBdr>
          <w:divsChild>
            <w:div w:id="1138105858">
              <w:marLeft w:val="0"/>
              <w:marRight w:val="0"/>
              <w:marTop w:val="0"/>
              <w:marBottom w:val="0"/>
              <w:divBdr>
                <w:top w:val="none" w:sz="0" w:space="0" w:color="auto"/>
                <w:left w:val="none" w:sz="0" w:space="0" w:color="auto"/>
                <w:bottom w:val="none" w:sz="0" w:space="0" w:color="auto"/>
                <w:right w:val="none" w:sz="0" w:space="0" w:color="auto"/>
              </w:divBdr>
              <w:divsChild>
                <w:div w:id="209158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384020">
      <w:bodyDiv w:val="1"/>
      <w:marLeft w:val="0"/>
      <w:marRight w:val="0"/>
      <w:marTop w:val="0"/>
      <w:marBottom w:val="0"/>
      <w:divBdr>
        <w:top w:val="none" w:sz="0" w:space="0" w:color="auto"/>
        <w:left w:val="none" w:sz="0" w:space="0" w:color="auto"/>
        <w:bottom w:val="none" w:sz="0" w:space="0" w:color="auto"/>
        <w:right w:val="none" w:sz="0" w:space="0" w:color="auto"/>
      </w:divBdr>
    </w:div>
    <w:div w:id="743260461">
      <w:bodyDiv w:val="1"/>
      <w:marLeft w:val="0"/>
      <w:marRight w:val="0"/>
      <w:marTop w:val="0"/>
      <w:marBottom w:val="0"/>
      <w:divBdr>
        <w:top w:val="none" w:sz="0" w:space="0" w:color="auto"/>
        <w:left w:val="none" w:sz="0" w:space="0" w:color="auto"/>
        <w:bottom w:val="none" w:sz="0" w:space="0" w:color="auto"/>
        <w:right w:val="none" w:sz="0" w:space="0" w:color="auto"/>
      </w:divBdr>
    </w:div>
    <w:div w:id="846747226">
      <w:bodyDiv w:val="1"/>
      <w:marLeft w:val="0"/>
      <w:marRight w:val="0"/>
      <w:marTop w:val="0"/>
      <w:marBottom w:val="0"/>
      <w:divBdr>
        <w:top w:val="none" w:sz="0" w:space="0" w:color="auto"/>
        <w:left w:val="none" w:sz="0" w:space="0" w:color="auto"/>
        <w:bottom w:val="none" w:sz="0" w:space="0" w:color="auto"/>
        <w:right w:val="none" w:sz="0" w:space="0" w:color="auto"/>
      </w:divBdr>
    </w:div>
    <w:div w:id="932713456">
      <w:bodyDiv w:val="1"/>
      <w:marLeft w:val="0"/>
      <w:marRight w:val="0"/>
      <w:marTop w:val="0"/>
      <w:marBottom w:val="0"/>
      <w:divBdr>
        <w:top w:val="none" w:sz="0" w:space="0" w:color="auto"/>
        <w:left w:val="none" w:sz="0" w:space="0" w:color="auto"/>
        <w:bottom w:val="none" w:sz="0" w:space="0" w:color="auto"/>
        <w:right w:val="none" w:sz="0" w:space="0" w:color="auto"/>
      </w:divBdr>
    </w:div>
    <w:div w:id="962269650">
      <w:bodyDiv w:val="1"/>
      <w:marLeft w:val="0"/>
      <w:marRight w:val="0"/>
      <w:marTop w:val="0"/>
      <w:marBottom w:val="0"/>
      <w:divBdr>
        <w:top w:val="none" w:sz="0" w:space="0" w:color="auto"/>
        <w:left w:val="none" w:sz="0" w:space="0" w:color="auto"/>
        <w:bottom w:val="none" w:sz="0" w:space="0" w:color="auto"/>
        <w:right w:val="none" w:sz="0" w:space="0" w:color="auto"/>
      </w:divBdr>
    </w:div>
    <w:div w:id="1000044170">
      <w:bodyDiv w:val="1"/>
      <w:marLeft w:val="0"/>
      <w:marRight w:val="0"/>
      <w:marTop w:val="0"/>
      <w:marBottom w:val="0"/>
      <w:divBdr>
        <w:top w:val="none" w:sz="0" w:space="0" w:color="auto"/>
        <w:left w:val="none" w:sz="0" w:space="0" w:color="auto"/>
        <w:bottom w:val="none" w:sz="0" w:space="0" w:color="auto"/>
        <w:right w:val="none" w:sz="0" w:space="0" w:color="auto"/>
      </w:divBdr>
    </w:div>
    <w:div w:id="1032993558">
      <w:bodyDiv w:val="1"/>
      <w:marLeft w:val="0"/>
      <w:marRight w:val="0"/>
      <w:marTop w:val="0"/>
      <w:marBottom w:val="0"/>
      <w:divBdr>
        <w:top w:val="none" w:sz="0" w:space="0" w:color="auto"/>
        <w:left w:val="none" w:sz="0" w:space="0" w:color="auto"/>
        <w:bottom w:val="none" w:sz="0" w:space="0" w:color="auto"/>
        <w:right w:val="none" w:sz="0" w:space="0" w:color="auto"/>
      </w:divBdr>
    </w:div>
    <w:div w:id="1051616659">
      <w:bodyDiv w:val="1"/>
      <w:marLeft w:val="0"/>
      <w:marRight w:val="0"/>
      <w:marTop w:val="0"/>
      <w:marBottom w:val="0"/>
      <w:divBdr>
        <w:top w:val="none" w:sz="0" w:space="0" w:color="auto"/>
        <w:left w:val="none" w:sz="0" w:space="0" w:color="auto"/>
        <w:bottom w:val="none" w:sz="0" w:space="0" w:color="auto"/>
        <w:right w:val="none" w:sz="0" w:space="0" w:color="auto"/>
      </w:divBdr>
      <w:divsChild>
        <w:div w:id="1014650627">
          <w:marLeft w:val="0"/>
          <w:marRight w:val="0"/>
          <w:marTop w:val="0"/>
          <w:marBottom w:val="0"/>
          <w:divBdr>
            <w:top w:val="none" w:sz="0" w:space="0" w:color="auto"/>
            <w:left w:val="none" w:sz="0" w:space="0" w:color="auto"/>
            <w:bottom w:val="none" w:sz="0" w:space="0" w:color="auto"/>
            <w:right w:val="none" w:sz="0" w:space="0" w:color="auto"/>
          </w:divBdr>
        </w:div>
        <w:div w:id="1167089553">
          <w:marLeft w:val="0"/>
          <w:marRight w:val="0"/>
          <w:marTop w:val="0"/>
          <w:marBottom w:val="0"/>
          <w:divBdr>
            <w:top w:val="none" w:sz="0" w:space="0" w:color="auto"/>
            <w:left w:val="none" w:sz="0" w:space="0" w:color="auto"/>
            <w:bottom w:val="none" w:sz="0" w:space="0" w:color="auto"/>
            <w:right w:val="none" w:sz="0" w:space="0" w:color="auto"/>
          </w:divBdr>
          <w:divsChild>
            <w:div w:id="916981522">
              <w:marLeft w:val="0"/>
              <w:marRight w:val="0"/>
              <w:marTop w:val="0"/>
              <w:marBottom w:val="0"/>
              <w:divBdr>
                <w:top w:val="none" w:sz="0" w:space="0" w:color="auto"/>
                <w:left w:val="none" w:sz="0" w:space="0" w:color="auto"/>
                <w:bottom w:val="none" w:sz="0" w:space="0" w:color="auto"/>
                <w:right w:val="none" w:sz="0" w:space="0" w:color="auto"/>
              </w:divBdr>
              <w:divsChild>
                <w:div w:id="822356843">
                  <w:marLeft w:val="0"/>
                  <w:marRight w:val="0"/>
                  <w:marTop w:val="0"/>
                  <w:marBottom w:val="0"/>
                  <w:divBdr>
                    <w:top w:val="none" w:sz="0" w:space="0" w:color="auto"/>
                    <w:left w:val="none" w:sz="0" w:space="0" w:color="auto"/>
                    <w:bottom w:val="none" w:sz="0" w:space="0" w:color="auto"/>
                    <w:right w:val="none" w:sz="0" w:space="0" w:color="auto"/>
                  </w:divBdr>
                  <w:divsChild>
                    <w:div w:id="1825510422">
                      <w:marLeft w:val="0"/>
                      <w:marRight w:val="0"/>
                      <w:marTop w:val="0"/>
                      <w:marBottom w:val="0"/>
                      <w:divBdr>
                        <w:top w:val="none" w:sz="0" w:space="0" w:color="auto"/>
                        <w:left w:val="none" w:sz="0" w:space="0" w:color="auto"/>
                        <w:bottom w:val="none" w:sz="0" w:space="0" w:color="auto"/>
                        <w:right w:val="none" w:sz="0" w:space="0" w:color="auto"/>
                      </w:divBdr>
                      <w:divsChild>
                        <w:div w:id="1066803680">
                          <w:marLeft w:val="0"/>
                          <w:marRight w:val="0"/>
                          <w:marTop w:val="0"/>
                          <w:marBottom w:val="0"/>
                          <w:divBdr>
                            <w:top w:val="none" w:sz="0" w:space="0" w:color="auto"/>
                            <w:left w:val="none" w:sz="0" w:space="0" w:color="auto"/>
                            <w:bottom w:val="none" w:sz="0" w:space="0" w:color="auto"/>
                            <w:right w:val="none" w:sz="0" w:space="0" w:color="auto"/>
                          </w:divBdr>
                        </w:div>
                        <w:div w:id="813527832">
                          <w:marLeft w:val="0"/>
                          <w:marRight w:val="0"/>
                          <w:marTop w:val="0"/>
                          <w:marBottom w:val="0"/>
                          <w:divBdr>
                            <w:top w:val="none" w:sz="0" w:space="0" w:color="auto"/>
                            <w:left w:val="none" w:sz="0" w:space="0" w:color="auto"/>
                            <w:bottom w:val="none" w:sz="0" w:space="0" w:color="auto"/>
                            <w:right w:val="none" w:sz="0" w:space="0" w:color="auto"/>
                          </w:divBdr>
                        </w:div>
                        <w:div w:id="398285423">
                          <w:marLeft w:val="0"/>
                          <w:marRight w:val="0"/>
                          <w:marTop w:val="0"/>
                          <w:marBottom w:val="0"/>
                          <w:divBdr>
                            <w:top w:val="none" w:sz="0" w:space="0" w:color="auto"/>
                            <w:left w:val="none" w:sz="0" w:space="0" w:color="auto"/>
                            <w:bottom w:val="none" w:sz="0" w:space="0" w:color="auto"/>
                            <w:right w:val="none" w:sz="0" w:space="0" w:color="auto"/>
                          </w:divBdr>
                        </w:div>
                        <w:div w:id="2083790791">
                          <w:marLeft w:val="0"/>
                          <w:marRight w:val="0"/>
                          <w:marTop w:val="0"/>
                          <w:marBottom w:val="0"/>
                          <w:divBdr>
                            <w:top w:val="none" w:sz="0" w:space="0" w:color="auto"/>
                            <w:left w:val="none" w:sz="0" w:space="0" w:color="auto"/>
                            <w:bottom w:val="none" w:sz="0" w:space="0" w:color="auto"/>
                            <w:right w:val="none" w:sz="0" w:space="0" w:color="auto"/>
                          </w:divBdr>
                        </w:div>
                        <w:div w:id="815605276">
                          <w:marLeft w:val="0"/>
                          <w:marRight w:val="0"/>
                          <w:marTop w:val="0"/>
                          <w:marBottom w:val="0"/>
                          <w:divBdr>
                            <w:top w:val="none" w:sz="0" w:space="0" w:color="auto"/>
                            <w:left w:val="none" w:sz="0" w:space="0" w:color="auto"/>
                            <w:bottom w:val="none" w:sz="0" w:space="0" w:color="auto"/>
                            <w:right w:val="none" w:sz="0" w:space="0" w:color="auto"/>
                          </w:divBdr>
                        </w:div>
                        <w:div w:id="371997473">
                          <w:marLeft w:val="0"/>
                          <w:marRight w:val="0"/>
                          <w:marTop w:val="0"/>
                          <w:marBottom w:val="0"/>
                          <w:divBdr>
                            <w:top w:val="none" w:sz="0" w:space="0" w:color="auto"/>
                            <w:left w:val="none" w:sz="0" w:space="0" w:color="auto"/>
                            <w:bottom w:val="none" w:sz="0" w:space="0" w:color="auto"/>
                            <w:right w:val="none" w:sz="0" w:space="0" w:color="auto"/>
                          </w:divBdr>
                        </w:div>
                        <w:div w:id="1997760532">
                          <w:marLeft w:val="0"/>
                          <w:marRight w:val="0"/>
                          <w:marTop w:val="0"/>
                          <w:marBottom w:val="0"/>
                          <w:divBdr>
                            <w:top w:val="none" w:sz="0" w:space="0" w:color="auto"/>
                            <w:left w:val="none" w:sz="0" w:space="0" w:color="auto"/>
                            <w:bottom w:val="none" w:sz="0" w:space="0" w:color="auto"/>
                            <w:right w:val="none" w:sz="0" w:space="0" w:color="auto"/>
                          </w:divBdr>
                        </w:div>
                        <w:div w:id="1992321406">
                          <w:marLeft w:val="0"/>
                          <w:marRight w:val="0"/>
                          <w:marTop w:val="0"/>
                          <w:marBottom w:val="0"/>
                          <w:divBdr>
                            <w:top w:val="none" w:sz="0" w:space="0" w:color="auto"/>
                            <w:left w:val="none" w:sz="0" w:space="0" w:color="auto"/>
                            <w:bottom w:val="none" w:sz="0" w:space="0" w:color="auto"/>
                            <w:right w:val="none" w:sz="0" w:space="0" w:color="auto"/>
                          </w:divBdr>
                        </w:div>
                        <w:div w:id="896084385">
                          <w:marLeft w:val="0"/>
                          <w:marRight w:val="0"/>
                          <w:marTop w:val="0"/>
                          <w:marBottom w:val="0"/>
                          <w:divBdr>
                            <w:top w:val="none" w:sz="0" w:space="0" w:color="auto"/>
                            <w:left w:val="none" w:sz="0" w:space="0" w:color="auto"/>
                            <w:bottom w:val="none" w:sz="0" w:space="0" w:color="auto"/>
                            <w:right w:val="none" w:sz="0" w:space="0" w:color="auto"/>
                          </w:divBdr>
                        </w:div>
                        <w:div w:id="34513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885310">
          <w:marLeft w:val="0"/>
          <w:marRight w:val="0"/>
          <w:marTop w:val="0"/>
          <w:marBottom w:val="0"/>
          <w:divBdr>
            <w:top w:val="none" w:sz="0" w:space="0" w:color="auto"/>
            <w:left w:val="none" w:sz="0" w:space="0" w:color="auto"/>
            <w:bottom w:val="none" w:sz="0" w:space="0" w:color="auto"/>
            <w:right w:val="none" w:sz="0" w:space="0" w:color="auto"/>
          </w:divBdr>
          <w:divsChild>
            <w:div w:id="401759557">
              <w:marLeft w:val="0"/>
              <w:marRight w:val="0"/>
              <w:marTop w:val="0"/>
              <w:marBottom w:val="0"/>
              <w:divBdr>
                <w:top w:val="none" w:sz="0" w:space="0" w:color="auto"/>
                <w:left w:val="none" w:sz="0" w:space="0" w:color="auto"/>
                <w:bottom w:val="none" w:sz="0" w:space="0" w:color="auto"/>
                <w:right w:val="none" w:sz="0" w:space="0" w:color="auto"/>
              </w:divBdr>
              <w:divsChild>
                <w:div w:id="1851479744">
                  <w:marLeft w:val="0"/>
                  <w:marRight w:val="0"/>
                  <w:marTop w:val="0"/>
                  <w:marBottom w:val="0"/>
                  <w:divBdr>
                    <w:top w:val="none" w:sz="0" w:space="0" w:color="auto"/>
                    <w:left w:val="none" w:sz="0" w:space="0" w:color="auto"/>
                    <w:bottom w:val="none" w:sz="0" w:space="0" w:color="auto"/>
                    <w:right w:val="none" w:sz="0" w:space="0" w:color="auto"/>
                  </w:divBdr>
                  <w:divsChild>
                    <w:div w:id="1977106126">
                      <w:marLeft w:val="0"/>
                      <w:marRight w:val="0"/>
                      <w:marTop w:val="0"/>
                      <w:marBottom w:val="0"/>
                      <w:divBdr>
                        <w:top w:val="none" w:sz="0" w:space="0" w:color="auto"/>
                        <w:left w:val="none" w:sz="0" w:space="0" w:color="auto"/>
                        <w:bottom w:val="none" w:sz="0" w:space="0" w:color="auto"/>
                        <w:right w:val="none" w:sz="0" w:space="0" w:color="auto"/>
                      </w:divBdr>
                      <w:divsChild>
                        <w:div w:id="150925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0179564">
      <w:bodyDiv w:val="1"/>
      <w:marLeft w:val="0"/>
      <w:marRight w:val="0"/>
      <w:marTop w:val="0"/>
      <w:marBottom w:val="0"/>
      <w:divBdr>
        <w:top w:val="none" w:sz="0" w:space="0" w:color="auto"/>
        <w:left w:val="none" w:sz="0" w:space="0" w:color="auto"/>
        <w:bottom w:val="none" w:sz="0" w:space="0" w:color="auto"/>
        <w:right w:val="none" w:sz="0" w:space="0" w:color="auto"/>
      </w:divBdr>
      <w:divsChild>
        <w:div w:id="175578496">
          <w:marLeft w:val="0"/>
          <w:marRight w:val="0"/>
          <w:marTop w:val="0"/>
          <w:marBottom w:val="0"/>
          <w:divBdr>
            <w:top w:val="none" w:sz="0" w:space="0" w:color="auto"/>
            <w:left w:val="none" w:sz="0" w:space="0" w:color="auto"/>
            <w:bottom w:val="none" w:sz="0" w:space="0" w:color="auto"/>
            <w:right w:val="none" w:sz="0" w:space="0" w:color="auto"/>
          </w:divBdr>
          <w:divsChild>
            <w:div w:id="862942103">
              <w:marLeft w:val="0"/>
              <w:marRight w:val="0"/>
              <w:marTop w:val="0"/>
              <w:marBottom w:val="0"/>
              <w:divBdr>
                <w:top w:val="none" w:sz="0" w:space="0" w:color="auto"/>
                <w:left w:val="none" w:sz="0" w:space="0" w:color="auto"/>
                <w:bottom w:val="none" w:sz="0" w:space="0" w:color="auto"/>
                <w:right w:val="none" w:sz="0" w:space="0" w:color="auto"/>
              </w:divBdr>
              <w:divsChild>
                <w:div w:id="2033067566">
                  <w:marLeft w:val="0"/>
                  <w:marRight w:val="0"/>
                  <w:marTop w:val="0"/>
                  <w:marBottom w:val="0"/>
                  <w:divBdr>
                    <w:top w:val="none" w:sz="0" w:space="0" w:color="auto"/>
                    <w:left w:val="none" w:sz="0" w:space="0" w:color="auto"/>
                    <w:bottom w:val="none" w:sz="0" w:space="0" w:color="auto"/>
                    <w:right w:val="none" w:sz="0" w:space="0" w:color="auto"/>
                  </w:divBdr>
                  <w:divsChild>
                    <w:div w:id="30424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08160">
      <w:bodyDiv w:val="1"/>
      <w:marLeft w:val="0"/>
      <w:marRight w:val="0"/>
      <w:marTop w:val="0"/>
      <w:marBottom w:val="0"/>
      <w:divBdr>
        <w:top w:val="none" w:sz="0" w:space="0" w:color="auto"/>
        <w:left w:val="none" w:sz="0" w:space="0" w:color="auto"/>
        <w:bottom w:val="none" w:sz="0" w:space="0" w:color="auto"/>
        <w:right w:val="none" w:sz="0" w:space="0" w:color="auto"/>
      </w:divBdr>
      <w:divsChild>
        <w:div w:id="2117944489">
          <w:marLeft w:val="0"/>
          <w:marRight w:val="0"/>
          <w:marTop w:val="0"/>
          <w:marBottom w:val="0"/>
          <w:divBdr>
            <w:top w:val="none" w:sz="0" w:space="0" w:color="auto"/>
            <w:left w:val="none" w:sz="0" w:space="0" w:color="auto"/>
            <w:bottom w:val="none" w:sz="0" w:space="0" w:color="auto"/>
            <w:right w:val="none" w:sz="0" w:space="0" w:color="auto"/>
          </w:divBdr>
        </w:div>
        <w:div w:id="545332652">
          <w:marLeft w:val="0"/>
          <w:marRight w:val="0"/>
          <w:marTop w:val="0"/>
          <w:marBottom w:val="0"/>
          <w:divBdr>
            <w:top w:val="none" w:sz="0" w:space="0" w:color="auto"/>
            <w:left w:val="none" w:sz="0" w:space="0" w:color="auto"/>
            <w:bottom w:val="none" w:sz="0" w:space="0" w:color="auto"/>
            <w:right w:val="none" w:sz="0" w:space="0" w:color="auto"/>
          </w:divBdr>
        </w:div>
        <w:div w:id="1345592073">
          <w:marLeft w:val="0"/>
          <w:marRight w:val="0"/>
          <w:marTop w:val="0"/>
          <w:marBottom w:val="0"/>
          <w:divBdr>
            <w:top w:val="none" w:sz="0" w:space="0" w:color="auto"/>
            <w:left w:val="none" w:sz="0" w:space="0" w:color="auto"/>
            <w:bottom w:val="none" w:sz="0" w:space="0" w:color="auto"/>
            <w:right w:val="none" w:sz="0" w:space="0" w:color="auto"/>
          </w:divBdr>
        </w:div>
        <w:div w:id="1212038189">
          <w:marLeft w:val="0"/>
          <w:marRight w:val="0"/>
          <w:marTop w:val="0"/>
          <w:marBottom w:val="0"/>
          <w:divBdr>
            <w:top w:val="none" w:sz="0" w:space="0" w:color="auto"/>
            <w:left w:val="none" w:sz="0" w:space="0" w:color="auto"/>
            <w:bottom w:val="none" w:sz="0" w:space="0" w:color="auto"/>
            <w:right w:val="none" w:sz="0" w:space="0" w:color="auto"/>
          </w:divBdr>
        </w:div>
        <w:div w:id="474372247">
          <w:marLeft w:val="0"/>
          <w:marRight w:val="0"/>
          <w:marTop w:val="0"/>
          <w:marBottom w:val="0"/>
          <w:divBdr>
            <w:top w:val="none" w:sz="0" w:space="0" w:color="auto"/>
            <w:left w:val="none" w:sz="0" w:space="0" w:color="auto"/>
            <w:bottom w:val="none" w:sz="0" w:space="0" w:color="auto"/>
            <w:right w:val="none" w:sz="0" w:space="0" w:color="auto"/>
          </w:divBdr>
        </w:div>
      </w:divsChild>
    </w:div>
    <w:div w:id="1127511874">
      <w:bodyDiv w:val="1"/>
      <w:marLeft w:val="0"/>
      <w:marRight w:val="0"/>
      <w:marTop w:val="0"/>
      <w:marBottom w:val="0"/>
      <w:divBdr>
        <w:top w:val="none" w:sz="0" w:space="0" w:color="auto"/>
        <w:left w:val="none" w:sz="0" w:space="0" w:color="auto"/>
        <w:bottom w:val="none" w:sz="0" w:space="0" w:color="auto"/>
        <w:right w:val="none" w:sz="0" w:space="0" w:color="auto"/>
      </w:divBdr>
    </w:div>
    <w:div w:id="1163206218">
      <w:bodyDiv w:val="1"/>
      <w:marLeft w:val="0"/>
      <w:marRight w:val="0"/>
      <w:marTop w:val="0"/>
      <w:marBottom w:val="0"/>
      <w:divBdr>
        <w:top w:val="none" w:sz="0" w:space="0" w:color="auto"/>
        <w:left w:val="none" w:sz="0" w:space="0" w:color="auto"/>
        <w:bottom w:val="none" w:sz="0" w:space="0" w:color="auto"/>
        <w:right w:val="none" w:sz="0" w:space="0" w:color="auto"/>
      </w:divBdr>
    </w:div>
    <w:div w:id="1241986642">
      <w:bodyDiv w:val="1"/>
      <w:marLeft w:val="0"/>
      <w:marRight w:val="0"/>
      <w:marTop w:val="0"/>
      <w:marBottom w:val="0"/>
      <w:divBdr>
        <w:top w:val="none" w:sz="0" w:space="0" w:color="auto"/>
        <w:left w:val="none" w:sz="0" w:space="0" w:color="auto"/>
        <w:bottom w:val="none" w:sz="0" w:space="0" w:color="auto"/>
        <w:right w:val="none" w:sz="0" w:space="0" w:color="auto"/>
      </w:divBdr>
    </w:div>
    <w:div w:id="1307472766">
      <w:bodyDiv w:val="1"/>
      <w:marLeft w:val="0"/>
      <w:marRight w:val="0"/>
      <w:marTop w:val="0"/>
      <w:marBottom w:val="0"/>
      <w:divBdr>
        <w:top w:val="none" w:sz="0" w:space="0" w:color="auto"/>
        <w:left w:val="none" w:sz="0" w:space="0" w:color="auto"/>
        <w:bottom w:val="none" w:sz="0" w:space="0" w:color="auto"/>
        <w:right w:val="none" w:sz="0" w:space="0" w:color="auto"/>
      </w:divBdr>
    </w:div>
    <w:div w:id="1347367011">
      <w:bodyDiv w:val="1"/>
      <w:marLeft w:val="0"/>
      <w:marRight w:val="0"/>
      <w:marTop w:val="0"/>
      <w:marBottom w:val="0"/>
      <w:divBdr>
        <w:top w:val="none" w:sz="0" w:space="0" w:color="auto"/>
        <w:left w:val="none" w:sz="0" w:space="0" w:color="auto"/>
        <w:bottom w:val="none" w:sz="0" w:space="0" w:color="auto"/>
        <w:right w:val="none" w:sz="0" w:space="0" w:color="auto"/>
      </w:divBdr>
      <w:divsChild>
        <w:div w:id="895431909">
          <w:marLeft w:val="0"/>
          <w:marRight w:val="0"/>
          <w:marTop w:val="0"/>
          <w:marBottom w:val="0"/>
          <w:divBdr>
            <w:top w:val="none" w:sz="0" w:space="0" w:color="auto"/>
            <w:left w:val="none" w:sz="0" w:space="0" w:color="auto"/>
            <w:bottom w:val="none" w:sz="0" w:space="0" w:color="auto"/>
            <w:right w:val="none" w:sz="0" w:space="0" w:color="auto"/>
          </w:divBdr>
          <w:divsChild>
            <w:div w:id="631403359">
              <w:marLeft w:val="0"/>
              <w:marRight w:val="0"/>
              <w:marTop w:val="0"/>
              <w:marBottom w:val="0"/>
              <w:divBdr>
                <w:top w:val="none" w:sz="0" w:space="0" w:color="auto"/>
                <w:left w:val="none" w:sz="0" w:space="0" w:color="auto"/>
                <w:bottom w:val="none" w:sz="0" w:space="0" w:color="auto"/>
                <w:right w:val="none" w:sz="0" w:space="0" w:color="auto"/>
              </w:divBdr>
              <w:divsChild>
                <w:div w:id="28836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647254">
      <w:bodyDiv w:val="1"/>
      <w:marLeft w:val="0"/>
      <w:marRight w:val="0"/>
      <w:marTop w:val="0"/>
      <w:marBottom w:val="0"/>
      <w:divBdr>
        <w:top w:val="none" w:sz="0" w:space="0" w:color="auto"/>
        <w:left w:val="none" w:sz="0" w:space="0" w:color="auto"/>
        <w:bottom w:val="none" w:sz="0" w:space="0" w:color="auto"/>
        <w:right w:val="none" w:sz="0" w:space="0" w:color="auto"/>
      </w:divBdr>
    </w:div>
    <w:div w:id="1450855888">
      <w:bodyDiv w:val="1"/>
      <w:marLeft w:val="0"/>
      <w:marRight w:val="0"/>
      <w:marTop w:val="0"/>
      <w:marBottom w:val="0"/>
      <w:divBdr>
        <w:top w:val="none" w:sz="0" w:space="0" w:color="auto"/>
        <w:left w:val="none" w:sz="0" w:space="0" w:color="auto"/>
        <w:bottom w:val="none" w:sz="0" w:space="0" w:color="auto"/>
        <w:right w:val="none" w:sz="0" w:space="0" w:color="auto"/>
      </w:divBdr>
    </w:div>
    <w:div w:id="1502811958">
      <w:bodyDiv w:val="1"/>
      <w:marLeft w:val="0"/>
      <w:marRight w:val="0"/>
      <w:marTop w:val="0"/>
      <w:marBottom w:val="0"/>
      <w:divBdr>
        <w:top w:val="none" w:sz="0" w:space="0" w:color="auto"/>
        <w:left w:val="none" w:sz="0" w:space="0" w:color="auto"/>
        <w:bottom w:val="none" w:sz="0" w:space="0" w:color="auto"/>
        <w:right w:val="none" w:sz="0" w:space="0" w:color="auto"/>
      </w:divBdr>
      <w:divsChild>
        <w:div w:id="439375461">
          <w:marLeft w:val="0"/>
          <w:marRight w:val="0"/>
          <w:marTop w:val="0"/>
          <w:marBottom w:val="0"/>
          <w:divBdr>
            <w:top w:val="none" w:sz="0" w:space="0" w:color="auto"/>
            <w:left w:val="none" w:sz="0" w:space="0" w:color="auto"/>
            <w:bottom w:val="none" w:sz="0" w:space="0" w:color="auto"/>
            <w:right w:val="none" w:sz="0" w:space="0" w:color="auto"/>
          </w:divBdr>
        </w:div>
        <w:div w:id="1923486373">
          <w:marLeft w:val="0"/>
          <w:marRight w:val="0"/>
          <w:marTop w:val="0"/>
          <w:marBottom w:val="0"/>
          <w:divBdr>
            <w:top w:val="none" w:sz="0" w:space="0" w:color="auto"/>
            <w:left w:val="none" w:sz="0" w:space="0" w:color="auto"/>
            <w:bottom w:val="none" w:sz="0" w:space="0" w:color="auto"/>
            <w:right w:val="none" w:sz="0" w:space="0" w:color="auto"/>
          </w:divBdr>
        </w:div>
        <w:div w:id="1315258529">
          <w:marLeft w:val="0"/>
          <w:marRight w:val="0"/>
          <w:marTop w:val="0"/>
          <w:marBottom w:val="0"/>
          <w:divBdr>
            <w:top w:val="none" w:sz="0" w:space="0" w:color="auto"/>
            <w:left w:val="none" w:sz="0" w:space="0" w:color="auto"/>
            <w:bottom w:val="none" w:sz="0" w:space="0" w:color="auto"/>
            <w:right w:val="none" w:sz="0" w:space="0" w:color="auto"/>
          </w:divBdr>
        </w:div>
        <w:div w:id="1974407829">
          <w:marLeft w:val="0"/>
          <w:marRight w:val="0"/>
          <w:marTop w:val="0"/>
          <w:marBottom w:val="0"/>
          <w:divBdr>
            <w:top w:val="none" w:sz="0" w:space="0" w:color="auto"/>
            <w:left w:val="none" w:sz="0" w:space="0" w:color="auto"/>
            <w:bottom w:val="none" w:sz="0" w:space="0" w:color="auto"/>
            <w:right w:val="none" w:sz="0" w:space="0" w:color="auto"/>
          </w:divBdr>
        </w:div>
        <w:div w:id="1638758951">
          <w:marLeft w:val="0"/>
          <w:marRight w:val="0"/>
          <w:marTop w:val="0"/>
          <w:marBottom w:val="0"/>
          <w:divBdr>
            <w:top w:val="none" w:sz="0" w:space="0" w:color="auto"/>
            <w:left w:val="none" w:sz="0" w:space="0" w:color="auto"/>
            <w:bottom w:val="none" w:sz="0" w:space="0" w:color="auto"/>
            <w:right w:val="none" w:sz="0" w:space="0" w:color="auto"/>
          </w:divBdr>
        </w:div>
      </w:divsChild>
    </w:div>
    <w:div w:id="1519466203">
      <w:bodyDiv w:val="1"/>
      <w:marLeft w:val="0"/>
      <w:marRight w:val="0"/>
      <w:marTop w:val="0"/>
      <w:marBottom w:val="0"/>
      <w:divBdr>
        <w:top w:val="none" w:sz="0" w:space="0" w:color="auto"/>
        <w:left w:val="none" w:sz="0" w:space="0" w:color="auto"/>
        <w:bottom w:val="none" w:sz="0" w:space="0" w:color="auto"/>
        <w:right w:val="none" w:sz="0" w:space="0" w:color="auto"/>
      </w:divBdr>
    </w:div>
    <w:div w:id="1557427425">
      <w:bodyDiv w:val="1"/>
      <w:marLeft w:val="0"/>
      <w:marRight w:val="0"/>
      <w:marTop w:val="0"/>
      <w:marBottom w:val="0"/>
      <w:divBdr>
        <w:top w:val="none" w:sz="0" w:space="0" w:color="auto"/>
        <w:left w:val="none" w:sz="0" w:space="0" w:color="auto"/>
        <w:bottom w:val="none" w:sz="0" w:space="0" w:color="auto"/>
        <w:right w:val="none" w:sz="0" w:space="0" w:color="auto"/>
      </w:divBdr>
    </w:div>
    <w:div w:id="1568999397">
      <w:bodyDiv w:val="1"/>
      <w:marLeft w:val="0"/>
      <w:marRight w:val="0"/>
      <w:marTop w:val="0"/>
      <w:marBottom w:val="0"/>
      <w:divBdr>
        <w:top w:val="none" w:sz="0" w:space="0" w:color="auto"/>
        <w:left w:val="none" w:sz="0" w:space="0" w:color="auto"/>
        <w:bottom w:val="none" w:sz="0" w:space="0" w:color="auto"/>
        <w:right w:val="none" w:sz="0" w:space="0" w:color="auto"/>
      </w:divBdr>
    </w:div>
    <w:div w:id="1577939120">
      <w:bodyDiv w:val="1"/>
      <w:marLeft w:val="0"/>
      <w:marRight w:val="0"/>
      <w:marTop w:val="0"/>
      <w:marBottom w:val="0"/>
      <w:divBdr>
        <w:top w:val="none" w:sz="0" w:space="0" w:color="auto"/>
        <w:left w:val="none" w:sz="0" w:space="0" w:color="auto"/>
        <w:bottom w:val="none" w:sz="0" w:space="0" w:color="auto"/>
        <w:right w:val="none" w:sz="0" w:space="0" w:color="auto"/>
      </w:divBdr>
      <w:divsChild>
        <w:div w:id="82070152">
          <w:marLeft w:val="0"/>
          <w:marRight w:val="0"/>
          <w:marTop w:val="0"/>
          <w:marBottom w:val="0"/>
          <w:divBdr>
            <w:top w:val="none" w:sz="0" w:space="0" w:color="auto"/>
            <w:left w:val="none" w:sz="0" w:space="0" w:color="auto"/>
            <w:bottom w:val="none" w:sz="0" w:space="0" w:color="auto"/>
            <w:right w:val="none" w:sz="0" w:space="0" w:color="auto"/>
          </w:divBdr>
          <w:divsChild>
            <w:div w:id="1878470109">
              <w:marLeft w:val="0"/>
              <w:marRight w:val="0"/>
              <w:marTop w:val="0"/>
              <w:marBottom w:val="0"/>
              <w:divBdr>
                <w:top w:val="none" w:sz="0" w:space="0" w:color="auto"/>
                <w:left w:val="none" w:sz="0" w:space="0" w:color="auto"/>
                <w:bottom w:val="none" w:sz="0" w:space="0" w:color="auto"/>
                <w:right w:val="none" w:sz="0" w:space="0" w:color="auto"/>
              </w:divBdr>
              <w:divsChild>
                <w:div w:id="53158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812445">
      <w:bodyDiv w:val="1"/>
      <w:marLeft w:val="0"/>
      <w:marRight w:val="0"/>
      <w:marTop w:val="0"/>
      <w:marBottom w:val="0"/>
      <w:divBdr>
        <w:top w:val="none" w:sz="0" w:space="0" w:color="auto"/>
        <w:left w:val="none" w:sz="0" w:space="0" w:color="auto"/>
        <w:bottom w:val="none" w:sz="0" w:space="0" w:color="auto"/>
        <w:right w:val="none" w:sz="0" w:space="0" w:color="auto"/>
      </w:divBdr>
    </w:div>
    <w:div w:id="1632242737">
      <w:bodyDiv w:val="1"/>
      <w:marLeft w:val="0"/>
      <w:marRight w:val="0"/>
      <w:marTop w:val="0"/>
      <w:marBottom w:val="0"/>
      <w:divBdr>
        <w:top w:val="none" w:sz="0" w:space="0" w:color="auto"/>
        <w:left w:val="none" w:sz="0" w:space="0" w:color="auto"/>
        <w:bottom w:val="none" w:sz="0" w:space="0" w:color="auto"/>
        <w:right w:val="none" w:sz="0" w:space="0" w:color="auto"/>
      </w:divBdr>
      <w:divsChild>
        <w:div w:id="494541488">
          <w:marLeft w:val="0"/>
          <w:marRight w:val="0"/>
          <w:marTop w:val="0"/>
          <w:marBottom w:val="0"/>
          <w:divBdr>
            <w:top w:val="none" w:sz="0" w:space="0" w:color="auto"/>
            <w:left w:val="none" w:sz="0" w:space="0" w:color="auto"/>
            <w:bottom w:val="none" w:sz="0" w:space="0" w:color="auto"/>
            <w:right w:val="none" w:sz="0" w:space="0" w:color="auto"/>
          </w:divBdr>
          <w:divsChild>
            <w:div w:id="1507400480">
              <w:marLeft w:val="0"/>
              <w:marRight w:val="0"/>
              <w:marTop w:val="0"/>
              <w:marBottom w:val="0"/>
              <w:divBdr>
                <w:top w:val="none" w:sz="0" w:space="0" w:color="auto"/>
                <w:left w:val="none" w:sz="0" w:space="0" w:color="auto"/>
                <w:bottom w:val="none" w:sz="0" w:space="0" w:color="auto"/>
                <w:right w:val="none" w:sz="0" w:space="0" w:color="auto"/>
              </w:divBdr>
              <w:divsChild>
                <w:div w:id="60997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102467">
      <w:bodyDiv w:val="1"/>
      <w:marLeft w:val="0"/>
      <w:marRight w:val="0"/>
      <w:marTop w:val="0"/>
      <w:marBottom w:val="0"/>
      <w:divBdr>
        <w:top w:val="none" w:sz="0" w:space="0" w:color="auto"/>
        <w:left w:val="none" w:sz="0" w:space="0" w:color="auto"/>
        <w:bottom w:val="none" w:sz="0" w:space="0" w:color="auto"/>
        <w:right w:val="none" w:sz="0" w:space="0" w:color="auto"/>
      </w:divBdr>
      <w:divsChild>
        <w:div w:id="1209760472">
          <w:marLeft w:val="0"/>
          <w:marRight w:val="0"/>
          <w:marTop w:val="0"/>
          <w:marBottom w:val="0"/>
          <w:divBdr>
            <w:top w:val="none" w:sz="0" w:space="0" w:color="auto"/>
            <w:left w:val="none" w:sz="0" w:space="0" w:color="auto"/>
            <w:bottom w:val="none" w:sz="0" w:space="0" w:color="auto"/>
            <w:right w:val="none" w:sz="0" w:space="0" w:color="auto"/>
          </w:divBdr>
          <w:divsChild>
            <w:div w:id="790713035">
              <w:marLeft w:val="0"/>
              <w:marRight w:val="0"/>
              <w:marTop w:val="0"/>
              <w:marBottom w:val="0"/>
              <w:divBdr>
                <w:top w:val="none" w:sz="0" w:space="0" w:color="auto"/>
                <w:left w:val="none" w:sz="0" w:space="0" w:color="auto"/>
                <w:bottom w:val="none" w:sz="0" w:space="0" w:color="auto"/>
                <w:right w:val="none" w:sz="0" w:space="0" w:color="auto"/>
              </w:divBdr>
              <w:divsChild>
                <w:div w:id="152158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226877">
      <w:bodyDiv w:val="1"/>
      <w:marLeft w:val="0"/>
      <w:marRight w:val="0"/>
      <w:marTop w:val="0"/>
      <w:marBottom w:val="0"/>
      <w:divBdr>
        <w:top w:val="none" w:sz="0" w:space="0" w:color="auto"/>
        <w:left w:val="none" w:sz="0" w:space="0" w:color="auto"/>
        <w:bottom w:val="none" w:sz="0" w:space="0" w:color="auto"/>
        <w:right w:val="none" w:sz="0" w:space="0" w:color="auto"/>
      </w:divBdr>
    </w:div>
    <w:div w:id="1663120860">
      <w:bodyDiv w:val="1"/>
      <w:marLeft w:val="0"/>
      <w:marRight w:val="0"/>
      <w:marTop w:val="0"/>
      <w:marBottom w:val="0"/>
      <w:divBdr>
        <w:top w:val="none" w:sz="0" w:space="0" w:color="auto"/>
        <w:left w:val="none" w:sz="0" w:space="0" w:color="auto"/>
        <w:bottom w:val="none" w:sz="0" w:space="0" w:color="auto"/>
        <w:right w:val="none" w:sz="0" w:space="0" w:color="auto"/>
      </w:divBdr>
      <w:divsChild>
        <w:div w:id="2434892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2464890">
              <w:marLeft w:val="0"/>
              <w:marRight w:val="0"/>
              <w:marTop w:val="0"/>
              <w:marBottom w:val="0"/>
              <w:divBdr>
                <w:top w:val="none" w:sz="0" w:space="0" w:color="auto"/>
                <w:left w:val="none" w:sz="0" w:space="0" w:color="auto"/>
                <w:bottom w:val="none" w:sz="0" w:space="0" w:color="auto"/>
                <w:right w:val="none" w:sz="0" w:space="0" w:color="auto"/>
              </w:divBdr>
              <w:divsChild>
                <w:div w:id="2046516318">
                  <w:marLeft w:val="0"/>
                  <w:marRight w:val="0"/>
                  <w:marTop w:val="0"/>
                  <w:marBottom w:val="0"/>
                  <w:divBdr>
                    <w:top w:val="none" w:sz="0" w:space="0" w:color="auto"/>
                    <w:left w:val="none" w:sz="0" w:space="0" w:color="auto"/>
                    <w:bottom w:val="none" w:sz="0" w:space="0" w:color="auto"/>
                    <w:right w:val="none" w:sz="0" w:space="0" w:color="auto"/>
                  </w:divBdr>
                  <w:divsChild>
                    <w:div w:id="38549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40327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mh.com.au/business/small-business/monster-health-food-company-upstages-rivals-after-aiming-for-the-stars-20140415-36pmp.html" TargetMode="External"/><Relationship Id="rId21" Type="http://schemas.openxmlformats.org/officeDocument/2006/relationships/hyperlink" Target="http://www.healthstarrating.gov.au/internet/healthstarrating/publishing.nsf/content/guide-for-industry-document" TargetMode="External"/><Relationship Id="rId42" Type="http://schemas.openxmlformats.org/officeDocument/2006/relationships/hyperlink" Target="http://www.abs.gov.au/ausstats/abs@.nsf/Lookup/4363.0.55.001Chapter65062011-13" TargetMode="External"/><Relationship Id="rId63" Type="http://schemas.openxmlformats.org/officeDocument/2006/relationships/hyperlink" Target="https://www.eatwellatiga.com.au/" TargetMode="External"/><Relationship Id="rId84" Type="http://schemas.openxmlformats.org/officeDocument/2006/relationships/image" Target="media/image29.tiff"/><Relationship Id="rId138" Type="http://schemas.openxmlformats.org/officeDocument/2006/relationships/hyperlink" Target="https://www.foodswitch.com.au/" TargetMode="External"/><Relationship Id="rId159" Type="http://schemas.openxmlformats.org/officeDocument/2006/relationships/hyperlink" Target="http://www.foodstandards.gov.au/industry/labelling/Pages/Consumer-guide-to-NPSC.aspx" TargetMode="External"/><Relationship Id="rId170" Type="http://schemas.openxmlformats.org/officeDocument/2006/relationships/hyperlink" Target="http://sydney.edu.au/medicine/public-health/prevention-research/news/reports/PANORG%20Sugar%20&amp;%20Health%20Rapid%20Evid%20Review%2009102015%20Web.pdf" TargetMode="External"/><Relationship Id="rId191" Type="http://schemas.openxmlformats.org/officeDocument/2006/relationships/hyperlink" Target="https://www.vichealth.vic.gov.au/media-and-resources/media-releases/state-of-salt-in-victoria" TargetMode="External"/><Relationship Id="rId205" Type="http://schemas.openxmlformats.org/officeDocument/2006/relationships/hyperlink" Target="http://www.fao.org/fao-who-codexalimentarius/sh-proxy/es/?lnk=1&amp;url=https%253A%252F%252Fworkspace.fao.org%252Fsites%252Fcodex%252FStandards%252FCAC%2BGL%2B2-1985%252FCXG_002e.pdf" TargetMode="External"/><Relationship Id="rId107" Type="http://schemas.openxmlformats.org/officeDocument/2006/relationships/hyperlink" Target="https://www.countdown.co.nz/media/8939/countdown-health-and-nutrition-targets-2017.pdf" TargetMode="External"/><Relationship Id="rId11" Type="http://schemas.openxmlformats.org/officeDocument/2006/relationships/hyperlink" Target="https://www.legislation.gov.au/Details/F2018C00942" TargetMode="External"/><Relationship Id="rId32" Type="http://schemas.openxmlformats.org/officeDocument/2006/relationships/hyperlink" Target="http://www.healthstarrating.gov.au/internet/healthstarrating/publishing.nsf/Content/873516DC76D23EC2CA257DA500196043/$File/Process%20for%20assessing%20a%20potential%20anomaly.pdf" TargetMode="External"/><Relationship Id="rId37" Type="http://schemas.openxmlformats.org/officeDocument/2006/relationships/hyperlink" Target="http://healthstarrating.gov.au/internet/healthstarrating/publishing.nsf/Content/monitoring" TargetMode="External"/><Relationship Id="rId53" Type="http://schemas.openxmlformats.org/officeDocument/2006/relationships/hyperlink" Target="https://www.youtube.com/watch?v=3lgo_uaLUKg&amp;index=6&amp;list=PLFuNzCi2KRzdSHeVKyfS_N1mxdn1sr05u" TargetMode="External"/><Relationship Id="rId58" Type="http://schemas.openxmlformats.org/officeDocument/2006/relationships/hyperlink" Target="https://www.hpa.org.nz/" TargetMode="External"/><Relationship Id="rId74" Type="http://schemas.openxmlformats.org/officeDocument/2006/relationships/hyperlink" Target="https://www.legislation.gov.au/Details/F2017C00721" TargetMode="External"/><Relationship Id="rId79" Type="http://schemas.openxmlformats.org/officeDocument/2006/relationships/hyperlink" Target="https://www.legislation.gov.au/Details/F2019C00226" TargetMode="External"/><Relationship Id="rId102" Type="http://schemas.openxmlformats.org/officeDocument/2006/relationships/hyperlink" Target="https://www.sahealth.sa.gov.au/wps/wcm/connect/1216d280492a309e8a0afe7675638bd8/Consumer+Resource+Order+Form+Dec+2018.pdf?MOD=AJPERES&amp;CACHEID=ROOTWORKSPACE-1216d280492a309e8a0afe7675638bd8-mwBZTd9" TargetMode="External"/><Relationship Id="rId123" Type="http://schemas.openxmlformats.org/officeDocument/2006/relationships/hyperlink" Target="https://www.woolworths.com.au/shop/discover/healthy-eating/health-star-rating" TargetMode="External"/><Relationship Id="rId128" Type="http://schemas.openxmlformats.org/officeDocument/2006/relationships/hyperlink" Target="https://www.unilever.com.au/news/news-and-features/2015/understanding-the-health-star-rating-system.html" TargetMode="External"/><Relationship Id="rId144" Type="http://schemas.openxmlformats.org/officeDocument/2006/relationships/hyperlink" Target="http://www.foodstandards.gov.au/code/fofr/pages/default.aspx" TargetMode="External"/><Relationship Id="rId149" Type="http://schemas.openxmlformats.org/officeDocument/2006/relationships/hyperlink" Target="http://www.abs.gov.au/ausstats/abs@.nsf/Lookup/4363.0.55.001Chapter65062011-13" TargetMode="External"/><Relationship Id="rId5" Type="http://schemas.openxmlformats.org/officeDocument/2006/relationships/webSettings" Target="webSettings.xml"/><Relationship Id="rId90" Type="http://schemas.openxmlformats.org/officeDocument/2006/relationships/hyperlink" Target="http://www.mpconsulting.com.au/hsr-system-enhancements-consultation/" TargetMode="External"/><Relationship Id="rId95" Type="http://schemas.openxmlformats.org/officeDocument/2006/relationships/hyperlink" Target="https://www.oecd.org/governance/regulatory-policy/49990817.pdf" TargetMode="External"/><Relationship Id="rId160" Type="http://schemas.openxmlformats.org/officeDocument/2006/relationships/hyperlink" Target="https://www.health.govt.nz/system/files/documents/publications/eating-activity-guidelines-for-new-zealand-adults-oct15_0.pdf" TargetMode="External"/><Relationship Id="rId165" Type="http://schemas.openxmlformats.org/officeDocument/2006/relationships/hyperlink" Target="http://www.healthstarrating.gov.au/internet/healthstarrating/publishing.nsf/Content/guide-for-industry-document" TargetMode="External"/><Relationship Id="rId181" Type="http://schemas.openxmlformats.org/officeDocument/2006/relationships/hyperlink" Target="http://iris.paho.org/xmlui/bitstream/handle/123456789/18621/9789275118733_eng.pdf" TargetMode="External"/><Relationship Id="rId186" Type="http://schemas.openxmlformats.org/officeDocument/2006/relationships/hyperlink" Target="https://www.wto.org/english/tratop_e/tbt_e/8_Chile_e.pdf" TargetMode="External"/><Relationship Id="rId211" Type="http://schemas.openxmlformats.org/officeDocument/2006/relationships/hyperlink" Target="http://www.eatforhealth.gov.au/" TargetMode="External"/><Relationship Id="rId22" Type="http://schemas.openxmlformats.org/officeDocument/2006/relationships/hyperlink" Target="http://www.healthstarrating.gov.au/internet/healthstarrating/publishing.nsf/content/guide-for-industry-document" TargetMode="External"/><Relationship Id="rId27" Type="http://schemas.openxmlformats.org/officeDocument/2006/relationships/hyperlink" Target="https://www.legislation.gov.au/Details/F2018C00942" TargetMode="External"/><Relationship Id="rId43" Type="http://schemas.openxmlformats.org/officeDocument/2006/relationships/hyperlink" Target="https://www.legislation.gov.au/Details/F2017C00711" TargetMode="External"/><Relationship Id="rId48" Type="http://schemas.openxmlformats.org/officeDocument/2006/relationships/image" Target="media/image14.png"/><Relationship Id="rId64" Type="http://schemas.openxmlformats.org/officeDocument/2006/relationships/hyperlink" Target="https://www.eatwellatiga.com.au/" TargetMode="External"/><Relationship Id="rId69" Type="http://schemas.openxmlformats.org/officeDocument/2006/relationships/image" Target="media/image24.tiff"/><Relationship Id="rId113" Type="http://schemas.openxmlformats.org/officeDocument/2006/relationships/hyperlink" Target="https://www.eatwellatiga.com.au/" TargetMode="External"/><Relationship Id="rId118" Type="http://schemas.openxmlformats.org/officeDocument/2006/relationships/hyperlink" Target="https://www.nestle.com.au/nhw/foodlabelling/health-star-ratings" TargetMode="External"/><Relationship Id="rId134" Type="http://schemas.openxmlformats.org/officeDocument/2006/relationships/hyperlink" Target="https://foodwatch.com.au/blog/additives-and-labels/item/the-health-star-rating-what-is-it-and-what-does-it-mean-for-you.html" TargetMode="External"/><Relationship Id="rId139" Type="http://schemas.openxmlformats.org/officeDocument/2006/relationships/hyperlink" Target="https://www.glnc.org.au/resources/consumers/" TargetMode="External"/><Relationship Id="rId80" Type="http://schemas.openxmlformats.org/officeDocument/2006/relationships/image" Target="media/image27.png"/><Relationship Id="rId85" Type="http://schemas.openxmlformats.org/officeDocument/2006/relationships/hyperlink" Target="http://healthstarrating.gov.au/internet/healthstarrating/publishing.nsf/Content/Governance" TargetMode="External"/><Relationship Id="rId150" Type="http://schemas.openxmlformats.org/officeDocument/2006/relationships/hyperlink" Target="http://www.foodstandards.gov.au/code/Pages/default.aspx" TargetMode="External"/><Relationship Id="rId155" Type="http://schemas.openxmlformats.org/officeDocument/2006/relationships/hyperlink" Target="https://www.heartfoundation.org.au/for-professionals/food-and-nutrition/what-is-foodtrack" TargetMode="External"/><Relationship Id="rId171" Type="http://schemas.openxmlformats.org/officeDocument/2006/relationships/hyperlink" Target="https://webarchive.nationalarchives.gov.uk/20120403230459/http:/www.food.gov.uk/multimedia/pdfs/quantrationale.pdf" TargetMode="External"/><Relationship Id="rId176" Type="http://schemas.openxmlformats.org/officeDocument/2006/relationships/hyperlink" Target="https://www.vichealth.vic.gov.au/-/media/Images/VicHealth/Images-and-Files/MediaResources/Publications/HealthyEating/State-of-Salt/AppendixC_Salt-Reduction-Vic_Economic-business-case_June15.pdf?la=en&amp;hash=31C6D146B70B46CCF1B3425B546D8569F0C1EFDB" TargetMode="External"/><Relationship Id="rId192" Type="http://schemas.openxmlformats.org/officeDocument/2006/relationships/hyperlink" Target="http://wcrf.org/frontofpack" TargetMode="External"/><Relationship Id="rId197" Type="http://schemas.openxmlformats.org/officeDocument/2006/relationships/hyperlink" Target="https://www.smh.com.au/healthcare/nestle-wipes-4-5-health-star-rating-off-flagship-milo-product-20180301-p4z295.html" TargetMode="External"/><Relationship Id="rId206" Type="http://schemas.openxmlformats.org/officeDocument/2006/relationships/hyperlink" Target="http://www.healthstarrating.gov.au/internet/healthstarrating/publishing.nsf/Content/E380CCCA07E1E42FCA257DA500196044/$File/Guide%20for%20Industry%20to%20the%20Health%20Star%20Rating%20Calculator.pdf" TargetMode="External"/><Relationship Id="rId201" Type="http://schemas.openxmlformats.org/officeDocument/2006/relationships/hyperlink" Target="https://www.abc.net.au/news/2018-03-01/milos-4.5-health-star-rating-stripped-away-by-nestle/9496890" TargetMode="External"/><Relationship Id="rId12" Type="http://schemas.openxmlformats.org/officeDocument/2006/relationships/hyperlink" Target="https://www.legislation.gov.au/Series/F2015L00475" TargetMode="External"/><Relationship Id="rId17" Type="http://schemas.openxmlformats.org/officeDocument/2006/relationships/image" Target="media/image6.tiff"/><Relationship Id="rId33" Type="http://schemas.openxmlformats.org/officeDocument/2006/relationships/hyperlink" Target="http://www.healthstarrating.gov.au/internet/healthstarrating/publishing.nsf/Content/873516DC76D23EC2CA257DA500196043/$File/Form%20for%20submission%20of%20anomalies.pdf" TargetMode="External"/><Relationship Id="rId38" Type="http://schemas.openxmlformats.org/officeDocument/2006/relationships/hyperlink" Target="http://healthstarrating.gov.au/internet/healthstarrating/publishing.nsf/Content/formal-review-of-the-system-after-five-years" TargetMode="External"/><Relationship Id="rId59" Type="http://schemas.openxmlformats.org/officeDocument/2006/relationships/hyperlink" Target="http://www.eatforhealth.gov.au/" TargetMode="External"/><Relationship Id="rId103" Type="http://schemas.openxmlformats.org/officeDocument/2006/relationships/hyperlink" Target="https://www.anchordairy.com/nz/en/nutrition-stories/health-star-rating.html" TargetMode="External"/><Relationship Id="rId108" Type="http://schemas.openxmlformats.org/officeDocument/2006/relationships/hyperlink" Target="http://dailyjuice.com.au/health-star-rating" TargetMode="External"/><Relationship Id="rId124" Type="http://schemas.openxmlformats.org/officeDocument/2006/relationships/hyperlink" Target="https://www.simplot.com.au/health-nutrition/healthy-choices/" TargetMode="External"/><Relationship Id="rId129" Type="http://schemas.openxmlformats.org/officeDocument/2006/relationships/hyperlink" Target="https://www.woolworths.com.au/shop/discover/healthy-eating/health-star-rating" TargetMode="External"/><Relationship Id="rId54" Type="http://schemas.openxmlformats.org/officeDocument/2006/relationships/image" Target="media/image17.jpeg"/><Relationship Id="rId70" Type="http://schemas.openxmlformats.org/officeDocument/2006/relationships/image" Target="media/image25.tiff"/><Relationship Id="rId75" Type="http://schemas.openxmlformats.org/officeDocument/2006/relationships/hyperlink" Target="https://www.legislation.gov.au/Details/F2017C00711" TargetMode="External"/><Relationship Id="rId91" Type="http://schemas.openxmlformats.org/officeDocument/2006/relationships/hyperlink" Target="https://ndb.nal.usda.gov/ndb/" TargetMode="External"/><Relationship Id="rId96" Type="http://schemas.openxmlformats.org/officeDocument/2006/relationships/hyperlink" Target="http://www.foodstandards.gov.au/code/Pages/default.aspx" TargetMode="External"/><Relationship Id="rId140" Type="http://schemas.openxmlformats.org/officeDocument/2006/relationships/hyperlink" Target="https://www.nutsforlife.com.au/wp_super_faq/what-are-the-health-star-ratings-for-nuts/" TargetMode="External"/><Relationship Id="rId145" Type="http://schemas.openxmlformats.org/officeDocument/2006/relationships/hyperlink" Target="http://foodregulation.gov.au/internet/fr/publishing.nsf/Content/forum-members" TargetMode="External"/><Relationship Id="rId161" Type="http://schemas.openxmlformats.org/officeDocument/2006/relationships/hyperlink" Target="http://healthstarrating.gov.au/internet/healthstarrating/publishing.nsf/content/hsr-technical-advisory-group" TargetMode="External"/><Relationship Id="rId166" Type="http://schemas.openxmlformats.org/officeDocument/2006/relationships/hyperlink" Target="http://www.healthstarrating.gov.au/internet/healthstarrating/publishing.nsf/Content/style-guide" TargetMode="External"/><Relationship Id="rId182" Type="http://schemas.openxmlformats.org/officeDocument/2006/relationships/hyperlink" Target="https://assets.publishing.service.gov.uk/government/uploads/system/uploads/attachment_data/file/750782/consultation_on_the_UK_nutrient_profiling_model_2018_review_summary_of_consultation_responses.pdf" TargetMode="External"/><Relationship Id="rId187" Type="http://schemas.openxmlformats.org/officeDocument/2006/relationships/hyperlink" Target="https://assets.publishing.service.gov.uk/government/uploads/system/uploads/attachment_data/file/445503/SACN_Carbohydrates_and_Health.pdf"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hyperlink" Target="https://www.legislation.gov.au/Details/F2018C00944" TargetMode="External"/><Relationship Id="rId28" Type="http://schemas.openxmlformats.org/officeDocument/2006/relationships/image" Target="media/image10.tiff"/><Relationship Id="rId49" Type="http://schemas.openxmlformats.org/officeDocument/2006/relationships/hyperlink" Target="http://www.healthstarrating.gov.au/internet/healthstarrating/publishing.nsf/Content/formative-research" TargetMode="External"/><Relationship Id="rId114" Type="http://schemas.openxmlformats.org/officeDocument/2006/relationships/hyperlink" Target="https://www.kelloggs.com.au/en_AU/hcp/healthprofessional/our-food/hsr.html" TargetMode="External"/><Relationship Id="rId119" Type="http://schemas.openxmlformats.org/officeDocument/2006/relationships/hyperlink" Target="https://www.fgc.org.nz/product-labelling-consumer-information-education/" TargetMode="External"/><Relationship Id="rId44" Type="http://schemas.openxmlformats.org/officeDocument/2006/relationships/image" Target="media/image11.tiff"/><Relationship Id="rId60" Type="http://schemas.openxmlformats.org/officeDocument/2006/relationships/hyperlink" Target="http://healthstarrating.gov.au/internet/healthstarrating/publishing.nsf/Content/6B596250A88252E0CA257FAE0004CD0F/$File/As%20prepared%20discussion%20paper%20-%20second%20round%20of%20public%20workshops.pdf" TargetMode="External"/><Relationship Id="rId65" Type="http://schemas.openxmlformats.org/officeDocument/2006/relationships/image" Target="media/image20.tiff"/><Relationship Id="rId81" Type="http://schemas.openxmlformats.org/officeDocument/2006/relationships/image" Target="media/image28.png"/><Relationship Id="rId86" Type="http://schemas.openxmlformats.org/officeDocument/2006/relationships/hyperlink" Target="http://healthstarrating.gov.au/internet/healthstarrating/publishing.nsf/Content/health-star-rating-campaign" TargetMode="External"/><Relationship Id="rId130" Type="http://schemas.openxmlformats.org/officeDocument/2006/relationships/hyperlink" Target="https://www.cancercouncil.com.au/22267/cancer-prevention/diet-exercise/nutrition-policy/food-labelling/reading-food-labels/" TargetMode="External"/><Relationship Id="rId135" Type="http://schemas.openxmlformats.org/officeDocument/2006/relationships/hyperlink" Target="https://healthy-kids.com.au/health-star-rating-scheme-2/" TargetMode="External"/><Relationship Id="rId151" Type="http://schemas.openxmlformats.org/officeDocument/2006/relationships/hyperlink" Target="http://www.fao.org/home/en/" TargetMode="External"/><Relationship Id="rId156" Type="http://schemas.openxmlformats.org/officeDocument/2006/relationships/hyperlink" Target="http://healthstarrating.gov.au/internet/healthstarrating/publishing.nsf/Content/guide-for-industry-document" TargetMode="External"/><Relationship Id="rId177" Type="http://schemas.openxmlformats.org/officeDocument/2006/relationships/hyperlink" Target="https://www.glnc.org.au/index.php?wlmfile=2011/07/GoGrainsReport220410.pdf" TargetMode="External"/><Relationship Id="rId198" Type="http://schemas.openxmlformats.org/officeDocument/2006/relationships/hyperlink" Target="https://www.smh.com.au/healthcare/nestle-wipes-4-5-health-star-rating-off-flagship-milo-product-20180301-p4z295.html" TargetMode="External"/><Relationship Id="rId172" Type="http://schemas.openxmlformats.org/officeDocument/2006/relationships/hyperlink" Target="http://foodregulation.gov.au/internet/fr/publishing.nsf/Content/E6C6919B62C492BCCA257F720076F4C8/$File/HSR%20system%20for%20small%20business.pdf" TargetMode="External"/><Relationship Id="rId193" Type="http://schemas.openxmlformats.org/officeDocument/2006/relationships/hyperlink" Target="https://www.abc.net.au/news/2018-06-25/soft-drink-industry-pledge-to-cut-sugar-criticised-by-ama/9906502" TargetMode="External"/><Relationship Id="rId202" Type="http://schemas.openxmlformats.org/officeDocument/2006/relationships/hyperlink" Target="https://www.news.com.au/lifestyle/food/eat/nestle-drops-milos-45-health-star-rating-after-criticism-from-health-experts/news-story/e7f5c81ce450b8843b1df1dd505baf2c" TargetMode="External"/><Relationship Id="rId207" Type="http://schemas.openxmlformats.org/officeDocument/2006/relationships/hyperlink" Target="http://www.healthstarrating.gov.au/internet/healthstarrating/publishing.nsf/Content/651EEFA223A6A659CA257DA500196046/$File/HSR%20Style%20Guide-v5.pdf" TargetMode="External"/><Relationship Id="rId13" Type="http://schemas.openxmlformats.org/officeDocument/2006/relationships/hyperlink" Target="http://www.healthstarrating.gov.au/internet/healthstarrating/publishing.nsf/Content/style-guide" TargetMode="External"/><Relationship Id="rId18" Type="http://schemas.openxmlformats.org/officeDocument/2006/relationships/image" Target="media/image7.tiff"/><Relationship Id="rId39" Type="http://schemas.openxmlformats.org/officeDocument/2006/relationships/hyperlink" Target="http://healthstarrating.gov.au/internet/healthstarrating/publishing.nsf/Content/formal-review-of-the-system-after-five-years" TargetMode="External"/><Relationship Id="rId109" Type="http://schemas.openxmlformats.org/officeDocument/2006/relationships/hyperlink" Target="https://www.foodstuffs.co.nz/corporate-responsibility/foodstuffs&#8217;-pledge-to-promote-healthier-eating/health-star-ratings/" TargetMode="External"/><Relationship Id="rId34" Type="http://schemas.openxmlformats.org/officeDocument/2006/relationships/hyperlink" Target="http://www.healthstarrating.gov.au/internet/healthstarrating/publishing.nsf/Content/873516DC76D23EC2CA257DA500196043/$File/Register%20of%20Potential%20Anomalies.pdf" TargetMode="External"/><Relationship Id="rId50" Type="http://schemas.openxmlformats.org/officeDocument/2006/relationships/image" Target="media/image15.tiff"/><Relationship Id="rId55" Type="http://schemas.openxmlformats.org/officeDocument/2006/relationships/image" Target="media/image18.jpeg"/><Relationship Id="rId76" Type="http://schemas.openxmlformats.org/officeDocument/2006/relationships/hyperlink" Target="https://www.legislation.gov.au/Series/F2015L00442" TargetMode="External"/><Relationship Id="rId97" Type="http://schemas.openxmlformats.org/officeDocument/2006/relationships/hyperlink" Target="https://www.legislation.gov.au/Details/F2018C00942" TargetMode="External"/><Relationship Id="rId104" Type="http://schemas.openxmlformats.org/officeDocument/2006/relationships/hyperlink" Target="https://www.arnotts.com/nutrition/understanding-food-labels/guide-to-health-star-ratings/" TargetMode="External"/><Relationship Id="rId120" Type="http://schemas.openxmlformats.org/officeDocument/2006/relationships/hyperlink" Target="https://www.nzbeveragecouncil.co.nz/positions/labelling/" TargetMode="External"/><Relationship Id="rId125" Type="http://schemas.openxmlformats.org/officeDocument/2006/relationships/hyperlink" Target="https://www.tegel.co.nz/our-story/" TargetMode="External"/><Relationship Id="rId141" Type="http://schemas.openxmlformats.org/officeDocument/2006/relationships/hyperlink" Target="http://sarahmoorewellness.com.au/health-star-rating-how-to/" TargetMode="External"/><Relationship Id="rId146" Type="http://schemas.openxmlformats.org/officeDocument/2006/relationships/hyperlink" Target="https://www.eatforhealth.gov.au/guidelines" TargetMode="External"/><Relationship Id="rId167" Type="http://schemas.openxmlformats.org/officeDocument/2006/relationships/hyperlink" Target="http://foodregulation.gov.au/internet/fr/publishing.nsf/Content/7F1E2F73C65A6463CA25801B0010D7FB/$File/2009-10-Forum-Policy%20Statement-Front%20of%20Pack%20Labelling.pdf" TargetMode="External"/><Relationship Id="rId188" Type="http://schemas.openxmlformats.org/officeDocument/2006/relationships/hyperlink" Target="https://www.foodstandards.gov.au/consumer/labelling/nutrition/documents/P293%20PFAR%20Att%202%20-%20Technical%20Report%20Consumer%20Research.pdf" TargetMode="External"/><Relationship Id="rId7" Type="http://schemas.openxmlformats.org/officeDocument/2006/relationships/endnotes" Target="endnotes.xml"/><Relationship Id="rId71" Type="http://schemas.openxmlformats.org/officeDocument/2006/relationships/chart" Target="charts/chart1.xml"/><Relationship Id="rId92" Type="http://schemas.openxmlformats.org/officeDocument/2006/relationships/hyperlink" Target="https://www.pmc.gov.au/sites/default/files/publications/Australian_Government_Guide_to_Regulation.pdf" TargetMode="External"/><Relationship Id="rId162" Type="http://schemas.openxmlformats.org/officeDocument/2006/relationships/hyperlink" Target="https://www.health.govt.nz/system/files/documents/publications/eating-activity-guidelines-for-new-zealand-adults-oct15_0.pdf" TargetMode="External"/><Relationship Id="rId183" Type="http://schemas.openxmlformats.org/officeDocument/2006/relationships/hyperlink" Target="https://www.desarrollando-ideas.com/wp-content/uploads/sites/5/2016/05/160504_DI_report_food_chile_ENG.pdf" TargetMode="External"/><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healthstarrating.gov.au/internet/healthstarrating/publishing.nsf/Content/guide-for-industry-document" TargetMode="External"/><Relationship Id="rId24" Type="http://schemas.openxmlformats.org/officeDocument/2006/relationships/hyperlink" Target="http://www.foodstandards.gov.au/code/Pages/default.aspx" TargetMode="External"/><Relationship Id="rId40" Type="http://schemas.openxmlformats.org/officeDocument/2006/relationships/hyperlink" Target="http://healthstarrating.gov.au/internet/healthstarrating/publishing.nsf/Content/formal-review-of-the-system-after-five-years" TargetMode="External"/><Relationship Id="rId45" Type="http://schemas.openxmlformats.org/officeDocument/2006/relationships/image" Target="media/image12.tiff"/><Relationship Id="rId66" Type="http://schemas.openxmlformats.org/officeDocument/2006/relationships/image" Target="media/image21.tiff"/><Relationship Id="rId87" Type="http://schemas.openxmlformats.org/officeDocument/2006/relationships/hyperlink" Target="http://healthstarrating.gov.au/internet/healthstarrating/publishing.nsf/Content/monitoring" TargetMode="External"/><Relationship Id="rId110" Type="http://schemas.openxmlformats.org/officeDocument/2006/relationships/hyperlink" Target="https://frucorsuntory.com/percentage-daily-intake-guide/" TargetMode="External"/><Relationship Id="rId115" Type="http://schemas.openxmlformats.org/officeDocument/2006/relationships/hyperlink" Target="http://lionco.com/sociability-living-well/tips-for-living-well/reading-food-labels" TargetMode="External"/><Relationship Id="rId131" Type="http://schemas.openxmlformats.org/officeDocument/2006/relationships/hyperlink" Target="https://www.choice.com.au/food-and-drink/nutrition/food-labelling/articles/health-star-ratings-5-year-review" TargetMode="External"/><Relationship Id="rId136" Type="http://schemas.openxmlformats.org/officeDocument/2006/relationships/hyperlink" Target="http://www.opc.org.au/downloads/policy-briefs/improving-the-effectiveness-of-the-health-star-rating-system.pdf" TargetMode="External"/><Relationship Id="rId157" Type="http://schemas.openxmlformats.org/officeDocument/2006/relationships/hyperlink" Target="http://healthstarrating.gov.au/internet/healthstarrating/publishing.nsf/Content/style-guide" TargetMode="External"/><Relationship Id="rId178" Type="http://schemas.openxmlformats.org/officeDocument/2006/relationships/hyperlink" Target="https://www.glnc.org.au/codeofpractice/" TargetMode="External"/><Relationship Id="rId61" Type="http://schemas.openxmlformats.org/officeDocument/2006/relationships/hyperlink" Target="https://www.legislation.gov.au/Details/F2019C00125" TargetMode="External"/><Relationship Id="rId82" Type="http://schemas.openxmlformats.org/officeDocument/2006/relationships/hyperlink" Target="https://www.legislation.gov.au/Details/F2017C00328" TargetMode="External"/><Relationship Id="rId152" Type="http://schemas.openxmlformats.org/officeDocument/2006/relationships/hyperlink" Target="http://www.who.int/en/" TargetMode="External"/><Relationship Id="rId173" Type="http://schemas.openxmlformats.org/officeDocument/2006/relationships/hyperlink" Target="https://assets.publishing.service.gov.uk/government/uploads/system/uploads/attachment_data/file/566251/FoP_Nutrition_labelling_UK_guidance.pdf" TargetMode="External"/><Relationship Id="rId194" Type="http://schemas.openxmlformats.org/officeDocument/2006/relationships/hyperlink" Target="https://www.gov.uk/government/news/final-design-of-consistent-nutritional-labelling-system-given-green-light" TargetMode="External"/><Relationship Id="rId199" Type="http://schemas.openxmlformats.org/officeDocument/2006/relationships/hyperlink" Target="https://www.nutritionandactivity.govt.nz/health-star-ratings" TargetMode="External"/><Relationship Id="rId203" Type="http://schemas.openxmlformats.org/officeDocument/2006/relationships/hyperlink" Target="https://www.euractiv.com/section/agriculture-food/news/france-opts-for-colour-coded-nutrition-labelling/" TargetMode="External"/><Relationship Id="rId208" Type="http://schemas.openxmlformats.org/officeDocument/2006/relationships/hyperlink" Target="http://www.health.gov.au/internet/fr/publishing.nsf/Content/C6995F10A56B5D56CA2581EE00177CA8/$File/ISLA2017.pdf" TargetMode="External"/><Relationship Id="rId19" Type="http://schemas.openxmlformats.org/officeDocument/2006/relationships/image" Target="media/image8.png"/><Relationship Id="rId14" Type="http://schemas.openxmlformats.org/officeDocument/2006/relationships/image" Target="media/image3.tiff"/><Relationship Id="rId30" Type="http://schemas.openxmlformats.org/officeDocument/2006/relationships/hyperlink" Target="http://healthstarrating.gov.au/internet/healthstarrating/publishing.nsf/Content/calculator" TargetMode="External"/><Relationship Id="rId35" Type="http://schemas.openxmlformats.org/officeDocument/2006/relationships/hyperlink" Target="http://www.healthstarrating.gov.au/internet/healthstarrating/publishing.nsf/Content/873516DC76D23EC2CA257DA500196043/$File/Final%20Dispute%20Resolution%20Proces.pdf" TargetMode="External"/><Relationship Id="rId56" Type="http://schemas.openxmlformats.org/officeDocument/2006/relationships/image" Target="media/image19.jpeg"/><Relationship Id="rId77" Type="http://schemas.openxmlformats.org/officeDocument/2006/relationships/hyperlink" Target="https://www.legislation.gov.au/Details/F2019C00128" TargetMode="External"/><Relationship Id="rId100" Type="http://schemas.openxmlformats.org/officeDocument/2006/relationships/hyperlink" Target="https://www.health.nsw.gov.au/heal/Pages/healthy-school-canteens.aspx" TargetMode="External"/><Relationship Id="rId105" Type="http://schemas.openxmlformats.org/officeDocument/2006/relationships/hyperlink" Target="https://www.coles.com.au/corporate-responsibility/community/healthy-communities" TargetMode="External"/><Relationship Id="rId126" Type="http://schemas.openxmlformats.org/officeDocument/2006/relationships/hyperlink" Target="https://happysnackcompany.com.au/5-star-health-rating/" TargetMode="External"/><Relationship Id="rId147" Type="http://schemas.openxmlformats.org/officeDocument/2006/relationships/hyperlink" Target="https://www.eatforhealth.gov.au/guidelines/australian-guide-healthy-eating" TargetMode="External"/><Relationship Id="rId168" Type="http://schemas.openxmlformats.org/officeDocument/2006/relationships/hyperlink" Target="https://www.cereal4brekkie.org.au/wp-content/uploads/2017/08/ABCMF_2017_Bowled_over_at_Breakfast.pdf" TargetMode="External"/><Relationship Id="rId8" Type="http://schemas.openxmlformats.org/officeDocument/2006/relationships/image" Target="media/image1.png"/><Relationship Id="rId51" Type="http://schemas.openxmlformats.org/officeDocument/2006/relationships/image" Target="media/image16.tiff"/><Relationship Id="rId72" Type="http://schemas.openxmlformats.org/officeDocument/2006/relationships/chart" Target="charts/chart2.xml"/><Relationship Id="rId93" Type="http://schemas.openxmlformats.org/officeDocument/2006/relationships/hyperlink" Target="http://productivity.nsw.gov.au/sites/default/files/2018-05/Guide_to_Better_Regulation-October_2016.pdf" TargetMode="External"/><Relationship Id="rId98" Type="http://schemas.openxmlformats.org/officeDocument/2006/relationships/footer" Target="footer2.xml"/><Relationship Id="rId121" Type="http://schemas.openxmlformats.org/officeDocument/2006/relationships/hyperlink" Target="http://www.pepsico.com.au/purpose/human/" TargetMode="External"/><Relationship Id="rId142" Type="http://schemas.openxmlformats.org/officeDocument/2006/relationships/hyperlink" Target="http://www.mpconsulting.com.au/wp-content/uploads/2019/02/Health-Star-Rating-System-Five-Year-Review-Draft-Report-compressed.pdf" TargetMode="External"/><Relationship Id="rId163" Type="http://schemas.openxmlformats.org/officeDocument/2006/relationships/hyperlink" Target="https://www.eatforhealth.gov.au/sites/default/files/content/n55_australian_dietary_guidelines.pdf" TargetMode="External"/><Relationship Id="rId184" Type="http://schemas.openxmlformats.org/officeDocument/2006/relationships/hyperlink" Target="https://www.researchgate.net/publication/266447771_Nutrient_profiles_Development_of_Final_Model_Final_Report/download" TargetMode="External"/><Relationship Id="rId189" Type="http://schemas.openxmlformats.org/officeDocument/2006/relationships/hyperlink" Target="https://unpackthesalt.com.au/wp-content/uploads/2017/08/HFO0012-Advocacy-Leaflet-A5_V7_LoRes.pdf" TargetMode="External"/><Relationship Id="rId3" Type="http://schemas.openxmlformats.org/officeDocument/2006/relationships/styles" Target="styles.xml"/><Relationship Id="rId25" Type="http://schemas.openxmlformats.org/officeDocument/2006/relationships/hyperlink" Target="https://www.legislation.gov.au/Details/F2018C00942" TargetMode="External"/><Relationship Id="rId46" Type="http://schemas.openxmlformats.org/officeDocument/2006/relationships/image" Target="media/image13.tiff"/><Relationship Id="rId67" Type="http://schemas.openxmlformats.org/officeDocument/2006/relationships/image" Target="media/image22.tiff"/><Relationship Id="rId116" Type="http://schemas.openxmlformats.org/officeDocument/2006/relationships/hyperlink" Target="https://www.mhfco.com.au/" TargetMode="External"/><Relationship Id="rId137" Type="http://schemas.openxmlformats.org/officeDocument/2006/relationships/hyperlink" Target="https://www.georgeinstitute.org.au/media-coverage/health-star-rating-measures-up" TargetMode="External"/><Relationship Id="rId158" Type="http://schemas.openxmlformats.org/officeDocument/2006/relationships/hyperlink" Target="http://www.foodstandards.gov.au/consumer/labelling/panels/Pages/default.aspx" TargetMode="External"/><Relationship Id="rId20" Type="http://schemas.openxmlformats.org/officeDocument/2006/relationships/image" Target="media/image9.png"/><Relationship Id="rId41" Type="http://schemas.openxmlformats.org/officeDocument/2006/relationships/hyperlink" Target="http://www.mpconsulting.com.au/hsr-system-enhancements-consultation/" TargetMode="External"/><Relationship Id="rId62" Type="http://schemas.openxmlformats.org/officeDocument/2006/relationships/hyperlink" Target="http://www.mpconsulting.com.au/hsr-system-enhancements-consultation/" TargetMode="External"/><Relationship Id="rId83" Type="http://schemas.openxmlformats.org/officeDocument/2006/relationships/hyperlink" Target="https://www.legislation.gov.au/Details/F2015L00426" TargetMode="External"/><Relationship Id="rId88" Type="http://schemas.openxmlformats.org/officeDocument/2006/relationships/hyperlink" Target="http://www.healthstarrating.gov.au/internet/healthstarrating/publishing.nsf/Content/Applying-to-your-products" TargetMode="External"/><Relationship Id="rId111" Type="http://schemas.openxmlformats.org/officeDocument/2006/relationships/hyperlink" Target="https://www.gonatural.com.au/nutrition-wellness/health-star-rating-system" TargetMode="External"/><Relationship Id="rId132" Type="http://schemas.openxmlformats.org/officeDocument/2006/relationships/hyperlink" Target="https://www.choice.com.au/food-and-drink/nutrition/food-labelling/articles/health-star-ratings-faq" TargetMode="External"/><Relationship Id="rId153" Type="http://schemas.openxmlformats.org/officeDocument/2006/relationships/hyperlink" Target="http://www.foodstandards.gov.au/Pages/default.aspx" TargetMode="External"/><Relationship Id="rId174" Type="http://schemas.openxmlformats.org/officeDocument/2006/relationships/hyperlink" Target="https://www.vzbv.de/sites/default/files/.../beuc_foodstuffs_labelling_09_2005.pdf" TargetMode="External"/><Relationship Id="rId179" Type="http://schemas.openxmlformats.org/officeDocument/2006/relationships/hyperlink" Target="https://consultations.health.gov.au/population-health-and-sport-division-1/hfp-reformulation/user_uploads/final-reformulation-rationale-paper---final-for-consultation-v3--at-3-sept-2018.pdf" TargetMode="External"/><Relationship Id="rId195" Type="http://schemas.openxmlformats.org/officeDocument/2006/relationships/hyperlink" Target="https://www.eatforhealth.gov.au/eating-well/how-understand-food-labels" TargetMode="External"/><Relationship Id="rId209" Type="http://schemas.openxmlformats.org/officeDocument/2006/relationships/hyperlink" Target="http://www.foodstandards.gov.au/science/monitoringnutrients/ausnut/foodnutrient/Pages/Determining-the-amount-of-added-sugars-and-free-sugars-in-foods-listed-in-the-AUSNUT-201113-dataset.aspx" TargetMode="External"/><Relationship Id="rId190" Type="http://schemas.openxmlformats.org/officeDocument/2006/relationships/hyperlink" Target="https://unpackthesalt.com.au/salt-reformulation-in-australia/" TargetMode="External"/><Relationship Id="rId204" Type="http://schemas.openxmlformats.org/officeDocument/2006/relationships/hyperlink" Target="https://www.fda.gov/Food/GuidanceRegulation/GuidanceDocumentsRegulatoryInformation/LabelingNutrition/ucm385663.htm" TargetMode="External"/><Relationship Id="rId15" Type="http://schemas.openxmlformats.org/officeDocument/2006/relationships/image" Target="media/image4.tiff"/><Relationship Id="rId36" Type="http://schemas.openxmlformats.org/officeDocument/2006/relationships/hyperlink" Target="http://www.healthstarrating.gov.au/internet/healthstarrating/publishing.nsf/Content/hff" TargetMode="External"/><Relationship Id="rId57" Type="http://schemas.openxmlformats.org/officeDocument/2006/relationships/hyperlink" Target="https://www.mpi.govt.nz/food-safety/food-safety-for-consumers/food-labelling/health-star-ratings/monitoring-implementation/" TargetMode="External"/><Relationship Id="rId106" Type="http://schemas.openxmlformats.org/officeDocument/2006/relationships/hyperlink" Target="https://www.countdown.co.nz/food-hub/healthy-hub/health-star-rating" TargetMode="External"/><Relationship Id="rId127" Type="http://schemas.openxmlformats.org/officeDocument/2006/relationships/hyperlink" Target="https://www.uncletobys.com.au/health-nutrition/nutritional-labelling/read-health-stars" TargetMode="External"/><Relationship Id="rId10" Type="http://schemas.openxmlformats.org/officeDocument/2006/relationships/footer" Target="footer1.xml"/><Relationship Id="rId31" Type="http://schemas.openxmlformats.org/officeDocument/2006/relationships/hyperlink" Target="http://healthstarrating.gov.au/internet/healthstarrating/publishing.nsf/Content/style-guide" TargetMode="External"/><Relationship Id="rId52" Type="http://schemas.openxmlformats.org/officeDocument/2006/relationships/hyperlink" Target="http://healthstarrating.gov.au/internet/healthstarrating/publishing.nsf/Content/formative-research" TargetMode="External"/><Relationship Id="rId73" Type="http://schemas.openxmlformats.org/officeDocument/2006/relationships/image" Target="media/image26.tiff"/><Relationship Id="rId78" Type="http://schemas.openxmlformats.org/officeDocument/2006/relationships/hyperlink" Target="https://www.legislation.gov.au/Details/F2018C00912" TargetMode="External"/><Relationship Id="rId94" Type="http://schemas.openxmlformats.org/officeDocument/2006/relationships/hyperlink" Target="https://treasury.govt.nz/sites/default/files/2015-09/good-reg-practice.pdf" TargetMode="External"/><Relationship Id="rId99" Type="http://schemas.openxmlformats.org/officeDocument/2006/relationships/hyperlink" Target="http://healthstarrating.gov.au/internet/healthstarrating/publishing.nsf/Content/E380CCCA07E1E42FCA257DA500196044/$File/Guide%20for%20Industry%20to%20the%20Health%20Star%20Rating%20Calculator.pdf" TargetMode="External"/><Relationship Id="rId101" Type="http://schemas.openxmlformats.org/officeDocument/2006/relationships/hyperlink" Target="https://www.health.nsw.gov.au/heal/Pages/healthy-food-framework.aspx" TargetMode="External"/><Relationship Id="rId122" Type="http://schemas.openxmlformats.org/officeDocument/2006/relationships/hyperlink" Target="https://www.picspeanutbutter.com/au/pics-peanut-butter-products/peanut-butter-slugs" TargetMode="External"/><Relationship Id="rId143" Type="http://schemas.openxmlformats.org/officeDocument/2006/relationships/hyperlink" Target="https://www.legislation.gov.au/Details/F2018C00944" TargetMode="External"/><Relationship Id="rId148" Type="http://schemas.openxmlformats.org/officeDocument/2006/relationships/hyperlink" Target="http://www.abs.gov.au/australianhealthsurvey" TargetMode="External"/><Relationship Id="rId164" Type="http://schemas.openxmlformats.org/officeDocument/2006/relationships/hyperlink" Target="https://apps.who.int/iris/bitstream/handle/10665/149782/9789241549028_eng.pdf;jsessionid=BA20C7DB38820DF2647A214EFB2B0466?sequence=1" TargetMode="External"/><Relationship Id="rId169" Type="http://schemas.openxmlformats.org/officeDocument/2006/relationships/hyperlink" Target="http://www.health.gov.au/internet/fr/publishing.nsf/Content/C6995F10A56B5D56CA2581EE00177CA8/$File/Policy%20Context%202017.pdf" TargetMode="External"/><Relationship Id="rId185" Type="http://schemas.openxmlformats.org/officeDocument/2006/relationships/hyperlink" Target="https://www.ndph.ox.ac.uk/cpnp/files/about/uk-ofcom-nutrient-profile-model.pdf"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wholegrainscouncil.org/sites/default/.../WGResearchSummary_WGCJan09.pdf" TargetMode="External"/><Relationship Id="rId210" Type="http://schemas.openxmlformats.org/officeDocument/2006/relationships/hyperlink" Target="http://www.foodstandards.gov.au/code/proposals/Pages/P1047.aspx" TargetMode="External"/><Relationship Id="rId26" Type="http://schemas.openxmlformats.org/officeDocument/2006/relationships/hyperlink" Target="http://www.foodstandards.gov.au/code/Pages/default.aspx" TargetMode="External"/><Relationship Id="rId47" Type="http://schemas.openxmlformats.org/officeDocument/2006/relationships/hyperlink" Target="http://www.betreatwise.info/consumers/" TargetMode="External"/><Relationship Id="rId68" Type="http://schemas.openxmlformats.org/officeDocument/2006/relationships/image" Target="media/image23.tiff"/><Relationship Id="rId89" Type="http://schemas.openxmlformats.org/officeDocument/2006/relationships/hyperlink" Target="http://www.healthstarrating.gov.au/internet/healthstarrating/publishing.nsf/Content/hsr-in-store" TargetMode="External"/><Relationship Id="rId112" Type="http://schemas.openxmlformats.org/officeDocument/2006/relationships/hyperlink" Target="https://gr8start.com.au/our-cereal/" TargetMode="External"/><Relationship Id="rId133" Type="http://schemas.openxmlformats.org/officeDocument/2006/relationships/hyperlink" Target="https://diabetesnsw.com.au/about-us/blog/making-sense-of-the-health-star-rating-2/" TargetMode="External"/><Relationship Id="rId154" Type="http://schemas.openxmlformats.org/officeDocument/2006/relationships/hyperlink" Target="https://www.foodswitch.com.au/" TargetMode="External"/><Relationship Id="rId175" Type="http://schemas.openxmlformats.org/officeDocument/2006/relationships/hyperlink" Target="https://www.fda.gov/downloads/Food/GuidanceRegulation/GuidanceDocumentsRegulatoryInformation/UCM535372.pdf" TargetMode="External"/><Relationship Id="rId196" Type="http://schemas.openxmlformats.org/officeDocument/2006/relationships/hyperlink" Target="https://guidingstars.ca/about/" TargetMode="External"/><Relationship Id="rId200" Type="http://schemas.openxmlformats.org/officeDocument/2006/relationships/hyperlink" Target="https://livelighter.com.au/assets/resource/wallet-card/LiveLighter_Wallet_card_REVISED_JUNE_13_FINAL.pdf" TargetMode="External"/><Relationship Id="rId16" Type="http://schemas.openxmlformats.org/officeDocument/2006/relationships/image" Target="media/image5.tiff"/></Relationships>
</file>

<file path=word/_rels/footnotes.xml.rels><?xml version="1.0" encoding="UTF-8" standalone="yes"?>
<Relationships xmlns="http://schemas.openxmlformats.org/package/2006/relationships"><Relationship Id="rId8" Type="http://schemas.openxmlformats.org/officeDocument/2006/relationships/hyperlink" Target="http://www.eatforhealth.gov.au/" TargetMode="External"/><Relationship Id="rId13" Type="http://schemas.openxmlformats.org/officeDocument/2006/relationships/hyperlink" Target="https://www.legislation.gov.au/Details/F2018C00912" TargetMode="External"/><Relationship Id="rId18" Type="http://schemas.openxmlformats.org/officeDocument/2006/relationships/hyperlink" Target="https://www.coles.com.au/corporate-responsibility/community/healthy-communities" TargetMode="External"/><Relationship Id="rId3" Type="http://schemas.openxmlformats.org/officeDocument/2006/relationships/hyperlink" Target="file:///\\central.health\Users\mpconsulting\Dropbox\HSR%20Health%20Star%20Rating\11.%20MPC%20documents\Draft%20Reports\Final%20Review%20Report\accessed%20at%20https:\www.legislation.gov.au\Details\F2017C00711" TargetMode="External"/><Relationship Id="rId21" Type="http://schemas.openxmlformats.org/officeDocument/2006/relationships/hyperlink" Target="https://www.legislation.gov.au/Details/F2018C00944" TargetMode="External"/><Relationship Id="rId7" Type="http://schemas.openxmlformats.org/officeDocument/2006/relationships/hyperlink" Target="http://www.nrv.gov.au/" TargetMode="External"/><Relationship Id="rId12" Type="http://schemas.openxmlformats.org/officeDocument/2006/relationships/hyperlink" Target="https://www.legislation.gov.au/Details/F2017C00711" TargetMode="External"/><Relationship Id="rId17" Type="http://schemas.openxmlformats.org/officeDocument/2006/relationships/hyperlink" Target="https://www.nestle.com.au/media/newsandfeatures/milo-and-the-health-star-rating" TargetMode="External"/><Relationship Id="rId25" Type="http://schemas.openxmlformats.org/officeDocument/2006/relationships/hyperlink" Target="http://www.eatforhealth.gov.au/" TargetMode="External"/><Relationship Id="rId2" Type="http://schemas.openxmlformats.org/officeDocument/2006/relationships/hyperlink" Target="http://www.healthstarrating.gov.au/internet/healthstarrating/publishing.nsf/Content/651EEFA223A6A659CA257DA500196046/$File/HSR%20Style%20Guide-v5.pdf" TargetMode="External"/><Relationship Id="rId16" Type="http://schemas.openxmlformats.org/officeDocument/2006/relationships/hyperlink" Target="https://www.smh.com.au/healthcare/nestle-wipes-4-5-health-star-rating-off-flagship-milo-product-20180301-p4z295.html" TargetMode="External"/><Relationship Id="rId20" Type="http://schemas.openxmlformats.org/officeDocument/2006/relationships/hyperlink" Target="https://www.eatwellatiga.com.au/" TargetMode="External"/><Relationship Id="rId1" Type="http://schemas.openxmlformats.org/officeDocument/2006/relationships/hyperlink" Target="http://foodregulation.gov.au/internet/fr/publishing.nsf/Content/7F1E2F73C65A6463CA25801B0010D7FB/$File/2009-10-Forum-Policy%20Statement-Front%20of%20Pack%20Labelling.pdf" TargetMode="External"/><Relationship Id="rId6" Type="http://schemas.openxmlformats.org/officeDocument/2006/relationships/hyperlink" Target="http://healthstarrating.gov.au/internet/healthstarrating/publishing.nsf/Content/news-20180808" TargetMode="External"/><Relationship Id="rId11" Type="http://schemas.openxmlformats.org/officeDocument/2006/relationships/hyperlink" Target="file:///\\central.health\Users\mpconsulting\Dropbox\HSR%20Health%20Star%20Rating\11.%20MPC%20documents\Draft%20Reports\Final%20Review%20Report\accessed%20at%20https:\www.legislation.gov.au\Details\F2017C00711" TargetMode="External"/><Relationship Id="rId24" Type="http://schemas.openxmlformats.org/officeDocument/2006/relationships/hyperlink" Target="http://www.foodstandards.gov.au/code/proposals/Pages/P1047.aspx" TargetMode="External"/><Relationship Id="rId5" Type="http://schemas.openxmlformats.org/officeDocument/2006/relationships/hyperlink" Target="http://healthstarrating.gov.au/internet/healthstarrating/publishing.nsf/Content/formal-review-of-the-system-after-five-years" TargetMode="External"/><Relationship Id="rId15" Type="http://schemas.openxmlformats.org/officeDocument/2006/relationships/hyperlink" Target="https://data.nal.usda.gov/dataset/usda-branded-food-products-database" TargetMode="External"/><Relationship Id="rId23" Type="http://schemas.openxmlformats.org/officeDocument/2006/relationships/hyperlink" Target="http://www.foodstandards.gov.au/code/proposals/Documents/P293%20Health%20Claims%20FAR%20Attach%206%20FINAL.pdf" TargetMode="External"/><Relationship Id="rId10" Type="http://schemas.openxmlformats.org/officeDocument/2006/relationships/hyperlink" Target="file:///\\central.health\Users\mpconsulting\Dropbox\HSR%20Health%20Star%20Rating\11.%20MPC%20documents\Draft%20Reports\Final%20Review%20Report\accessed%20at%20https:\www.legislation.gov.au\Details\F2017C00711" TargetMode="External"/><Relationship Id="rId19" Type="http://schemas.openxmlformats.org/officeDocument/2006/relationships/hyperlink" Target="http://foodstuffs.co.nz/corporate-responsibility/foodstuffs&#8217;-pledge-to-promote-healthier-eating/health-star-ratings/" TargetMode="External"/><Relationship Id="rId4" Type="http://schemas.openxmlformats.org/officeDocument/2006/relationships/hyperlink" Target="http://healthstarrating.gov.au/internet/healthstarrating/publishing.nsf/Content/health-star-rating-campaign" TargetMode="External"/><Relationship Id="rId9" Type="http://schemas.openxmlformats.org/officeDocument/2006/relationships/hyperlink" Target="https://www.health.govt.nz/system/files/documents/publications/eating-activity-guidelines-for-new-zealand-adults-oct15_0.pdf" TargetMode="External"/><Relationship Id="rId14" Type="http://schemas.openxmlformats.org/officeDocument/2006/relationships/hyperlink" Target="https://data.nal.usda.gov/dataset/usda-branded-food-products-database" TargetMode="External"/><Relationship Id="rId22" Type="http://schemas.openxmlformats.org/officeDocument/2006/relationships/hyperlink" Target="https://www.ndph.ox.ac.uk/cpnp/files/about/uk-ofcom-nutrient-profile-model.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ashleighkennedy\Dropbox\HSR%20Health%20Star%20Rating\13.%20Submissions%20to%20the%20Review\Modelling%20results\Final%20Test%20Calculators\20190131%20-%20total%20enhancements,%20sodium%20options%20-%20DEIDENTIFIED%20-%20fixed%20aga....xlsb"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shleighkennedy\Dropbox\HSR%20Health%20Star%20Rating\13.%20Submissions%20to%20the%20Review\Modelling%20results\Final%20external%20modelling%20results\Comparison.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solidFill>
                  <a:schemeClr val="tx1"/>
                </a:solidFill>
              </a:rPr>
              <a:t>Proportion of products in the TAG database impacted by proposed System</a:t>
            </a:r>
            <a:r>
              <a:rPr lang="en-US" sz="1200" b="1" baseline="0">
                <a:solidFill>
                  <a:schemeClr val="tx1"/>
                </a:solidFill>
              </a:rPr>
              <a:t> enhancements</a:t>
            </a:r>
            <a:endParaRPr lang="en-US" sz="1200" b="1">
              <a:solidFill>
                <a:schemeClr val="tx1"/>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pieChart>
        <c:varyColors val="1"/>
        <c:ser>
          <c:idx val="0"/>
          <c:order val="0"/>
          <c:tx>
            <c:strRef>
              <c:f>Sheet1!$C$3</c:f>
              <c:strCache>
                <c:ptCount val="1"/>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397-4046-BD37-F001770A098E}"/>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D397-4046-BD37-F001770A098E}"/>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D397-4046-BD37-F001770A098E}"/>
              </c:ext>
            </c:extLst>
          </c:dPt>
          <c:dLbls>
            <c:dLbl>
              <c:idx val="0"/>
              <c:tx>
                <c:rich>
                  <a:bodyPr/>
                  <a:lstStyle/>
                  <a:p>
                    <a:r>
                      <a:rPr lang="en-US"/>
                      <a:t>14%</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397-4046-BD37-F001770A098E}"/>
                </c:ext>
              </c:extLst>
            </c:dLbl>
            <c:dLbl>
              <c:idx val="2"/>
              <c:tx>
                <c:rich>
                  <a:bodyPr/>
                  <a:lstStyle/>
                  <a:p>
                    <a:r>
                      <a:rPr lang="en-US"/>
                      <a:t>78%</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D397-4046-BD37-F001770A098E}"/>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Sheet1!$B$4:$B$6</c:f>
              <c:strCache>
                <c:ptCount val="3"/>
                <c:pt idx="0">
                  <c:v>Increased HSR</c:v>
                </c:pt>
                <c:pt idx="1">
                  <c:v>Decreased HSR</c:v>
                </c:pt>
                <c:pt idx="2">
                  <c:v>Unchanged HSR</c:v>
                </c:pt>
              </c:strCache>
            </c:strRef>
          </c:cat>
          <c:val>
            <c:numRef>
              <c:f>Sheet1!$C$4:$C$6</c:f>
              <c:numCache>
                <c:formatCode>0%</c:formatCode>
                <c:ptCount val="3"/>
                <c:pt idx="0">
                  <c:v>0.15</c:v>
                </c:pt>
                <c:pt idx="1">
                  <c:v>0.08</c:v>
                </c:pt>
                <c:pt idx="2">
                  <c:v>0.77</c:v>
                </c:pt>
              </c:numCache>
            </c:numRef>
          </c:val>
          <c:extLst>
            <c:ext xmlns:c16="http://schemas.microsoft.com/office/drawing/2014/chart" uri="{C3380CC4-5D6E-409C-BE32-E72D297353CC}">
              <c16:uniqueId val="{00000006-D397-4046-BD37-F001770A098E}"/>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001946049519477"/>
          <c:y val="0.43023467046934094"/>
          <c:w val="0.22020318990237361"/>
          <c:h val="0.250034799963103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solidFill>
                  <a:schemeClr val="tx1"/>
                </a:solidFill>
              </a:rPr>
              <a:t>Proportion of products impacted by </a:t>
            </a:r>
            <a:r>
              <a:rPr lang="en-US" sz="1200" b="1" i="0" u="none" strike="noStrike" baseline="0">
                <a:effectLst/>
              </a:rPr>
              <a:t>proposed System enhancements</a:t>
            </a:r>
            <a:r>
              <a:rPr lang="en-US" sz="1200" b="1" i="0" u="none" strike="noStrike" baseline="0"/>
              <a:t> </a:t>
            </a:r>
            <a:endParaRPr lang="en-US" sz="1200" b="1">
              <a:solidFill>
                <a:schemeClr val="tx1"/>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607-754A-9B86-DC27AC7C97D5}"/>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4607-754A-9B86-DC27AC7C97D5}"/>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4607-754A-9B86-DC27AC7C97D5}"/>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Sheet5!$A$2:$A$4</c:f>
              <c:strCache>
                <c:ptCount val="3"/>
                <c:pt idx="0">
                  <c:v>Increased HSR</c:v>
                </c:pt>
                <c:pt idx="1">
                  <c:v>Decreased HSR</c:v>
                </c:pt>
                <c:pt idx="2">
                  <c:v>Unchanged HSR</c:v>
                </c:pt>
              </c:strCache>
            </c:strRef>
          </c:cat>
          <c:val>
            <c:numRef>
              <c:f>Sheet5!$B$2:$B$4</c:f>
              <c:numCache>
                <c:formatCode>General</c:formatCode>
                <c:ptCount val="3"/>
                <c:pt idx="0">
                  <c:v>5.7</c:v>
                </c:pt>
                <c:pt idx="1">
                  <c:v>9.8000000000000007</c:v>
                </c:pt>
                <c:pt idx="2">
                  <c:v>84.6</c:v>
                </c:pt>
              </c:numCache>
            </c:numRef>
          </c:val>
          <c:extLst>
            <c:ext xmlns:c16="http://schemas.microsoft.com/office/drawing/2014/chart" uri="{C3380CC4-5D6E-409C-BE32-E72D297353CC}">
              <c16:uniqueId val="{00000006-4607-754A-9B86-DC27AC7C97D5}"/>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141156135970812"/>
          <c:y val="0.36983727034120734"/>
          <c:w val="0.26264186488884012"/>
          <c:h val="0.29940089746846155"/>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015C1ED-5B28-4009-B665-F2F8F1A1D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56935</Words>
  <Characters>324530</Characters>
  <Application>Microsoft Office Word</Application>
  <DocSecurity>0</DocSecurity>
  <Lines>2704</Lines>
  <Paragraphs>761</Paragraphs>
  <ScaleCrop>false</ScaleCrop>
  <Manager/>
  <Company/>
  <LinksUpToDate>false</LinksUpToDate>
  <CharactersWithSpaces>380704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2024-12-02T01:14:00Z</dcterms:created>
  <dcterms:modified xsi:type="dcterms:W3CDTF">2024-12-02T01:14:00Z</dcterms:modified>
  <cp:category/>
</cp:coreProperties>
</file>